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CB4993" w:rsidRDefault="00CB4993" w:rsidP="00D531AF">
      <w:pPr>
        <w:jc w:val="center"/>
        <w:rPr>
          <w:rFonts w:eastAsia="Calibri"/>
          <w:bCs/>
          <w:sz w:val="22"/>
          <w:szCs w:val="22"/>
        </w:rPr>
      </w:pPr>
      <w:r w:rsidRPr="00CB4993">
        <w:rPr>
          <w:rFonts w:eastAsia="Calibri"/>
          <w:bCs/>
          <w:sz w:val="22"/>
          <w:szCs w:val="22"/>
        </w:rPr>
        <w:t xml:space="preserve">Medicininė technika infekcinių ligų korpusui </w:t>
      </w:r>
    </w:p>
    <w:p w:rsidR="00444D4B" w:rsidRPr="001E2615" w:rsidRDefault="00444D4B" w:rsidP="00D531AF">
      <w:pPr>
        <w:jc w:val="center"/>
        <w:rPr>
          <w:rFonts w:eastAsia="Calibri"/>
          <w:bCs/>
          <w:sz w:val="22"/>
          <w:szCs w:val="22"/>
        </w:rPr>
      </w:pPr>
      <w:bookmarkStart w:id="0" w:name="_GoBack"/>
      <w:bookmarkEnd w:id="0"/>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CB4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B4993"/>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2864</Words>
  <Characters>1633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2025-11-13T07:04:00Z</dcterms:modified>
</cp:coreProperties>
</file>