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96C74" w14:textId="5E7C0BD1" w:rsidR="006C550C" w:rsidRPr="00BD371B" w:rsidRDefault="006C550C" w:rsidP="006C550C">
      <w:pPr>
        <w:pStyle w:val="Heading"/>
        <w:jc w:val="right"/>
        <w:rPr>
          <w:b w:val="0"/>
          <w:i/>
          <w:color w:val="auto"/>
          <w:sz w:val="20"/>
          <w:szCs w:val="20"/>
          <w:lang w:val="lt-LT"/>
        </w:rPr>
      </w:pPr>
      <w:r w:rsidRPr="00BD371B">
        <w:rPr>
          <w:b w:val="0"/>
          <w:i/>
          <w:caps w:val="0"/>
          <w:color w:val="auto"/>
          <w:sz w:val="20"/>
          <w:szCs w:val="20"/>
          <w:lang w:val="lt-LT"/>
        </w:rPr>
        <w:t xml:space="preserve">Pirkimo sąlygų </w:t>
      </w:r>
      <w:r w:rsidR="00FE1874">
        <w:rPr>
          <w:b w:val="0"/>
          <w:i/>
          <w:caps w:val="0"/>
          <w:color w:val="auto"/>
          <w:sz w:val="20"/>
          <w:szCs w:val="20"/>
          <w:lang w:val="lt-LT"/>
        </w:rPr>
        <w:t>P</w:t>
      </w:r>
      <w:r w:rsidRPr="00BD371B">
        <w:rPr>
          <w:b w:val="0"/>
          <w:i/>
          <w:caps w:val="0"/>
          <w:color w:val="auto"/>
          <w:sz w:val="20"/>
          <w:szCs w:val="20"/>
          <w:lang w:val="lt-LT"/>
        </w:rPr>
        <w:t>riedas</w:t>
      </w:r>
      <w:r w:rsidR="00B955F5">
        <w:rPr>
          <w:b w:val="0"/>
          <w:i/>
          <w:caps w:val="0"/>
          <w:color w:val="auto"/>
          <w:sz w:val="20"/>
          <w:szCs w:val="20"/>
          <w:lang w:val="lt-LT"/>
        </w:rPr>
        <w:t xml:space="preserve"> Nr.3</w:t>
      </w:r>
      <w:r w:rsidRPr="00BD371B">
        <w:rPr>
          <w:b w:val="0"/>
          <w:i/>
          <w:caps w:val="0"/>
          <w:color w:val="auto"/>
          <w:sz w:val="20"/>
          <w:szCs w:val="20"/>
          <w:lang w:val="lt-LT"/>
        </w:rPr>
        <w:t xml:space="preserve"> </w:t>
      </w:r>
    </w:p>
    <w:p w14:paraId="25B2810C" w14:textId="77777777" w:rsidR="006C550C" w:rsidRPr="00104EDA" w:rsidRDefault="006C550C" w:rsidP="006C550C">
      <w:pPr>
        <w:pStyle w:val="Body2"/>
        <w:rPr>
          <w:lang w:val="lt-LT"/>
        </w:rPr>
      </w:pPr>
    </w:p>
    <w:p w14:paraId="4C0D7A35" w14:textId="77777777" w:rsidR="006C550C" w:rsidRDefault="006C550C" w:rsidP="006C550C">
      <w:pPr>
        <w:pStyle w:val="Heading"/>
        <w:jc w:val="center"/>
        <w:rPr>
          <w:color w:val="auto"/>
          <w:lang w:val="lt-LT"/>
        </w:rPr>
      </w:pPr>
      <w:r w:rsidRPr="00104EDA">
        <w:rPr>
          <w:color w:val="auto"/>
          <w:lang w:val="lt-LT"/>
        </w:rPr>
        <w:t xml:space="preserve">Kokybės kriterijai ir jų vertinimas </w:t>
      </w:r>
    </w:p>
    <w:p w14:paraId="3758940A" w14:textId="77777777" w:rsidR="006C550C" w:rsidRPr="00104EDA" w:rsidRDefault="006C550C" w:rsidP="006C550C">
      <w:pPr>
        <w:pStyle w:val="Body"/>
        <w:spacing w:line="240" w:lineRule="auto"/>
        <w:jc w:val="right"/>
        <w:rPr>
          <w:rFonts w:ascii="Times New Roman" w:eastAsia="Times New Roman" w:hAnsi="Times New Roman" w:cs="Times New Roman"/>
          <w:color w:val="auto"/>
          <w:sz w:val="22"/>
          <w:szCs w:val="22"/>
          <w:lang w:val="lt-LT"/>
        </w:rPr>
      </w:pPr>
    </w:p>
    <w:p w14:paraId="5C340B43" w14:textId="2937218C" w:rsidR="006C550C" w:rsidRPr="00104EDA" w:rsidRDefault="001071A9" w:rsidP="001071A9">
      <w:pPr>
        <w:pStyle w:val="Heading"/>
        <w:tabs>
          <w:tab w:val="left" w:pos="567"/>
        </w:tabs>
        <w:rPr>
          <w:color w:val="auto"/>
          <w:lang w:val="lt-LT"/>
        </w:rPr>
      </w:pPr>
      <w:r>
        <w:rPr>
          <w:color w:val="auto"/>
          <w:lang w:val="lt-LT"/>
        </w:rPr>
        <w:t xml:space="preserve">         </w:t>
      </w:r>
      <w:r w:rsidR="006C550C" w:rsidRPr="00104EDA">
        <w:rPr>
          <w:color w:val="auto"/>
          <w:lang w:val="lt-LT"/>
        </w:rPr>
        <w:t>1. BENDROSIOS NUOSTATOS</w:t>
      </w:r>
    </w:p>
    <w:p w14:paraId="53A0FC0E" w14:textId="77777777" w:rsidR="006C550C" w:rsidRPr="00104EDA" w:rsidRDefault="006C550C" w:rsidP="001071A9">
      <w:pPr>
        <w:pStyle w:val="Body2"/>
        <w:tabs>
          <w:tab w:val="left" w:pos="567"/>
        </w:tabs>
        <w:spacing w:after="0"/>
        <w:rPr>
          <w:color w:val="auto"/>
          <w:lang w:val="lt-LT"/>
        </w:rPr>
      </w:pPr>
    </w:p>
    <w:p w14:paraId="61F28272" w14:textId="320F1D8D" w:rsidR="006C550C" w:rsidRPr="00846598" w:rsidRDefault="001071A9" w:rsidP="001071A9">
      <w:pPr>
        <w:pStyle w:val="Body2"/>
        <w:tabs>
          <w:tab w:val="left" w:pos="567"/>
        </w:tabs>
        <w:spacing w:after="0"/>
        <w:rPr>
          <w:color w:val="auto"/>
          <w:sz w:val="21"/>
          <w:szCs w:val="21"/>
          <w:lang w:val="lt-LT"/>
        </w:rPr>
      </w:pPr>
      <w:r>
        <w:rPr>
          <w:color w:val="auto"/>
          <w:lang w:val="lt-LT"/>
        </w:rPr>
        <w:t xml:space="preserve">         </w:t>
      </w:r>
      <w:r w:rsidR="006C550C" w:rsidRPr="00846598">
        <w:rPr>
          <w:color w:val="auto"/>
          <w:sz w:val="21"/>
          <w:szCs w:val="21"/>
          <w:lang w:val="lt-LT"/>
        </w:rPr>
        <w:t>1.1. Perkančiosios organizacijos neatmesti pasiūlymai vertinami pagal kainos ir kokybės santykį (pasiūlymo techninės charakteristikos vertinamos kiekybiškai) šiame priede nurodyta tvarka.</w:t>
      </w:r>
    </w:p>
    <w:p w14:paraId="2F8335B1" w14:textId="26A45ED6" w:rsidR="006C550C" w:rsidRPr="00846598" w:rsidRDefault="001071A9" w:rsidP="001071A9">
      <w:pPr>
        <w:pStyle w:val="Body2"/>
        <w:tabs>
          <w:tab w:val="left" w:pos="567"/>
        </w:tabs>
        <w:spacing w:after="0"/>
        <w:rPr>
          <w:color w:val="auto"/>
          <w:sz w:val="21"/>
          <w:szCs w:val="21"/>
          <w:lang w:val="lt-LT"/>
        </w:rPr>
      </w:pPr>
      <w:r w:rsidRPr="00846598">
        <w:rPr>
          <w:color w:val="auto"/>
          <w:sz w:val="21"/>
          <w:szCs w:val="21"/>
          <w:lang w:val="lt-LT"/>
        </w:rPr>
        <w:t xml:space="preserve">          </w:t>
      </w:r>
      <w:r w:rsidR="006C550C" w:rsidRPr="00846598">
        <w:rPr>
          <w:color w:val="auto"/>
          <w:sz w:val="21"/>
          <w:szCs w:val="21"/>
          <w:lang w:val="lt-LT"/>
        </w:rPr>
        <w:t>1.2. Ekonomiškai naudingiausias pasiūlymas – tai pasiūlymas, kurio balų suma, apskaičiuota pagal toliau nustatytus pasiūlymų vertinimo kriterijus ir sąlygas, yra didžiausia.</w:t>
      </w:r>
    </w:p>
    <w:p w14:paraId="57AF9ED1" w14:textId="77777777" w:rsidR="006C550C" w:rsidRPr="00104EDA" w:rsidRDefault="006C550C" w:rsidP="006C550C">
      <w:pPr>
        <w:pStyle w:val="Body2"/>
        <w:spacing w:after="0"/>
        <w:rPr>
          <w:color w:val="auto"/>
          <w:lang w:val="lt-LT"/>
        </w:rPr>
      </w:pPr>
    </w:p>
    <w:p w14:paraId="076C97C3" w14:textId="064EA8FA" w:rsidR="006C550C" w:rsidRPr="00104EDA" w:rsidRDefault="001071A9" w:rsidP="006C550C">
      <w:pPr>
        <w:pStyle w:val="Heading"/>
        <w:rPr>
          <w:color w:val="auto"/>
          <w:lang w:val="lt-LT"/>
        </w:rPr>
      </w:pPr>
      <w:r>
        <w:rPr>
          <w:color w:val="auto"/>
          <w:lang w:val="lt-LT"/>
        </w:rPr>
        <w:t xml:space="preserve">         </w:t>
      </w:r>
      <w:r w:rsidR="006C550C" w:rsidRPr="00104EDA">
        <w:rPr>
          <w:color w:val="auto"/>
          <w:lang w:val="lt-LT"/>
        </w:rPr>
        <w:t>2. PASIŪLYMŲ VERTINIMO KRITERIJAI</w:t>
      </w:r>
    </w:p>
    <w:p w14:paraId="6C06D387" w14:textId="77777777" w:rsidR="006C550C" w:rsidRPr="00104EDA" w:rsidRDefault="006C550C" w:rsidP="001071A9">
      <w:pPr>
        <w:pStyle w:val="Body2"/>
        <w:tabs>
          <w:tab w:val="left" w:pos="567"/>
        </w:tabs>
        <w:spacing w:after="0"/>
        <w:rPr>
          <w:color w:val="auto"/>
          <w:lang w:val="lt-LT"/>
        </w:rPr>
      </w:pPr>
    </w:p>
    <w:p w14:paraId="5CEDCB04" w14:textId="05D86501" w:rsidR="006C550C" w:rsidRPr="00846598" w:rsidRDefault="001071A9" w:rsidP="006C550C">
      <w:pPr>
        <w:pStyle w:val="Body2"/>
        <w:spacing w:after="0"/>
        <w:rPr>
          <w:color w:val="auto"/>
          <w:sz w:val="21"/>
          <w:szCs w:val="21"/>
          <w:lang w:val="lt-LT"/>
        </w:rPr>
      </w:pPr>
      <w:r>
        <w:rPr>
          <w:color w:val="auto"/>
          <w:lang w:val="lt-LT"/>
        </w:rPr>
        <w:t xml:space="preserve">          </w:t>
      </w:r>
      <w:r w:rsidR="006C550C" w:rsidRPr="00846598">
        <w:rPr>
          <w:color w:val="auto"/>
          <w:sz w:val="21"/>
          <w:szCs w:val="21"/>
          <w:lang w:val="lt-LT"/>
        </w:rPr>
        <w:t xml:space="preserve">2.1. Nustatomas maksimalus bendras balų skaičius - 100 balų. Kriterijų tarpusavio santykis bendrame bale yra nustatomas pagal lyginamuosius svorius: </w:t>
      </w:r>
    </w:p>
    <w:p w14:paraId="299244BA" w14:textId="059EFEE4" w:rsidR="006C550C" w:rsidRPr="00846598" w:rsidRDefault="001071A9" w:rsidP="006C550C">
      <w:pPr>
        <w:pStyle w:val="Body2"/>
        <w:rPr>
          <w:color w:val="auto"/>
          <w:sz w:val="21"/>
          <w:szCs w:val="21"/>
          <w:lang w:val="lt-LT"/>
        </w:rPr>
      </w:pPr>
      <w:r w:rsidRPr="00846598">
        <w:rPr>
          <w:color w:val="auto"/>
          <w:sz w:val="21"/>
          <w:szCs w:val="21"/>
          <w:lang w:val="lt-LT"/>
        </w:rPr>
        <w:t xml:space="preserve">          </w:t>
      </w:r>
      <w:r w:rsidR="006C550C" w:rsidRPr="00846598">
        <w:rPr>
          <w:color w:val="auto"/>
          <w:sz w:val="21"/>
          <w:szCs w:val="21"/>
          <w:lang w:val="lt-LT"/>
        </w:rPr>
        <w:t xml:space="preserve">2.1.1. Pirmas kriterijus - </w:t>
      </w:r>
      <w:r w:rsidR="006C550C" w:rsidRPr="00846598">
        <w:rPr>
          <w:b/>
          <w:i/>
          <w:color w:val="auto"/>
          <w:sz w:val="21"/>
          <w:szCs w:val="21"/>
          <w:lang w:val="lt-LT"/>
        </w:rPr>
        <w:t>Kaina</w:t>
      </w:r>
      <w:r w:rsidR="006C550C" w:rsidRPr="00846598">
        <w:rPr>
          <w:color w:val="auto"/>
          <w:sz w:val="21"/>
          <w:szCs w:val="21"/>
          <w:lang w:val="lt-LT"/>
        </w:rPr>
        <w:t xml:space="preserve"> (C). Kriterijaus lyginamasis svoris ekonominio naudingumo įvertinime (X) yra </w:t>
      </w:r>
      <w:r w:rsidR="00FE1874" w:rsidRPr="00FE1874">
        <w:rPr>
          <w:b/>
          <w:color w:val="auto"/>
          <w:sz w:val="21"/>
          <w:szCs w:val="21"/>
          <w:lang w:val="lt-LT"/>
        </w:rPr>
        <w:t>9</w:t>
      </w:r>
      <w:r w:rsidR="00307499" w:rsidRPr="00FE1874">
        <w:rPr>
          <w:b/>
          <w:color w:val="auto"/>
          <w:sz w:val="21"/>
          <w:szCs w:val="21"/>
          <w:lang w:val="lt-LT"/>
        </w:rPr>
        <w:t>0</w:t>
      </w:r>
      <w:r w:rsidR="006C550C" w:rsidRPr="007A0854">
        <w:rPr>
          <w:b/>
          <w:color w:val="auto"/>
          <w:sz w:val="21"/>
          <w:szCs w:val="21"/>
          <w:lang w:val="lt-LT"/>
        </w:rPr>
        <w:t>.</w:t>
      </w:r>
      <w:r w:rsidR="006C550C" w:rsidRPr="00846598">
        <w:rPr>
          <w:color w:val="auto"/>
          <w:sz w:val="21"/>
          <w:szCs w:val="21"/>
          <w:lang w:val="lt-LT"/>
        </w:rPr>
        <w:t> </w:t>
      </w:r>
    </w:p>
    <w:p w14:paraId="6B63591A" w14:textId="3C4F22F1" w:rsidR="006C550C" w:rsidRPr="00846598" w:rsidRDefault="001071A9" w:rsidP="006C550C">
      <w:pPr>
        <w:pStyle w:val="Body2"/>
        <w:spacing w:after="0"/>
        <w:rPr>
          <w:b/>
          <w:color w:val="auto"/>
          <w:sz w:val="21"/>
          <w:szCs w:val="21"/>
          <w:lang w:val="lt-LT"/>
        </w:rPr>
      </w:pPr>
      <w:r w:rsidRPr="00846598">
        <w:rPr>
          <w:color w:val="auto"/>
          <w:sz w:val="21"/>
          <w:szCs w:val="21"/>
          <w:lang w:val="lt-LT"/>
        </w:rPr>
        <w:t xml:space="preserve">         </w:t>
      </w:r>
      <w:r w:rsidR="006C550C" w:rsidRPr="00846598">
        <w:rPr>
          <w:color w:val="auto"/>
          <w:sz w:val="21"/>
          <w:szCs w:val="21"/>
          <w:lang w:val="lt-LT"/>
        </w:rPr>
        <w:t xml:space="preserve">2.1.2. Antras kriterijus – </w:t>
      </w:r>
      <w:r w:rsidR="006C550C" w:rsidRPr="00846598">
        <w:rPr>
          <w:b/>
          <w:i/>
          <w:color w:val="auto"/>
          <w:sz w:val="21"/>
          <w:szCs w:val="21"/>
          <w:lang w:val="lt-LT"/>
        </w:rPr>
        <w:t>Techniniai privalumai</w:t>
      </w:r>
      <w:r w:rsidR="006C550C" w:rsidRPr="00846598">
        <w:rPr>
          <w:color w:val="auto"/>
          <w:sz w:val="21"/>
          <w:szCs w:val="21"/>
          <w:lang w:val="lt-LT"/>
        </w:rPr>
        <w:t xml:space="preserve"> (T), kriterijaus lyginamasis svoris ekonominio naudingumo įvertinime</w:t>
      </w:r>
      <w:r w:rsidR="00755F6D" w:rsidRPr="00846598">
        <w:rPr>
          <w:color w:val="auto"/>
          <w:sz w:val="21"/>
          <w:szCs w:val="21"/>
          <w:lang w:val="lt-LT"/>
        </w:rPr>
        <w:t xml:space="preserve"> (Y)</w:t>
      </w:r>
      <w:r w:rsidR="006C550C" w:rsidRPr="00846598">
        <w:rPr>
          <w:color w:val="auto"/>
          <w:sz w:val="21"/>
          <w:szCs w:val="21"/>
          <w:lang w:val="lt-LT"/>
        </w:rPr>
        <w:t xml:space="preserve"> yra </w:t>
      </w:r>
      <w:r w:rsidR="00FE1874" w:rsidRPr="00FE1874">
        <w:rPr>
          <w:b/>
          <w:color w:val="auto"/>
          <w:sz w:val="21"/>
          <w:szCs w:val="21"/>
          <w:lang w:val="lt-LT"/>
        </w:rPr>
        <w:t>1</w:t>
      </w:r>
      <w:r w:rsidR="00307499" w:rsidRPr="00FE1874">
        <w:rPr>
          <w:b/>
          <w:color w:val="auto"/>
          <w:sz w:val="21"/>
          <w:szCs w:val="21"/>
          <w:lang w:val="lt-LT"/>
        </w:rPr>
        <w:t>0</w:t>
      </w:r>
      <w:r w:rsidR="006C550C" w:rsidRPr="00FE1874">
        <w:rPr>
          <w:b/>
          <w:color w:val="auto"/>
          <w:sz w:val="21"/>
          <w:szCs w:val="21"/>
          <w:lang w:val="lt-LT"/>
        </w:rPr>
        <w:t>.</w:t>
      </w:r>
    </w:p>
    <w:p w14:paraId="5D5E29DD" w14:textId="77777777" w:rsidR="006C550C" w:rsidRPr="00B03E16" w:rsidRDefault="006C550C" w:rsidP="006C550C">
      <w:pPr>
        <w:pStyle w:val="Body2"/>
        <w:spacing w:after="0"/>
        <w:rPr>
          <w:color w:val="auto"/>
          <w:lang w:val="lt-LT"/>
        </w:rPr>
      </w:pPr>
      <w:r w:rsidRPr="00B03E16">
        <w:rPr>
          <w:color w:val="auto"/>
          <w:lang w:val="lt-LT"/>
        </w:rPr>
        <w:tab/>
      </w:r>
    </w:p>
    <w:p w14:paraId="0078E106" w14:textId="4D3BBDC3" w:rsidR="006C550C" w:rsidRPr="00B03E16" w:rsidRDefault="001071A9" w:rsidP="006C550C">
      <w:pPr>
        <w:pStyle w:val="Heading"/>
        <w:rPr>
          <w:color w:val="auto"/>
          <w:lang w:val="lt-LT"/>
        </w:rPr>
      </w:pPr>
      <w:r>
        <w:rPr>
          <w:color w:val="auto"/>
          <w:lang w:val="lt-LT"/>
        </w:rPr>
        <w:t xml:space="preserve">         </w:t>
      </w:r>
      <w:r w:rsidR="006C550C" w:rsidRPr="00B03E16">
        <w:rPr>
          <w:color w:val="auto"/>
          <w:lang w:val="lt-LT"/>
        </w:rPr>
        <w:t>3. BALŲ APSKAIČIAVIMAS</w:t>
      </w:r>
    </w:p>
    <w:p w14:paraId="385D5F93" w14:textId="77777777" w:rsidR="006C550C" w:rsidRDefault="006C550C" w:rsidP="006C550C">
      <w:pPr>
        <w:pStyle w:val="Body2"/>
        <w:spacing w:after="0"/>
        <w:rPr>
          <w:color w:val="auto"/>
          <w:lang w:val="lt-LT"/>
        </w:rPr>
      </w:pPr>
    </w:p>
    <w:p w14:paraId="71284D50" w14:textId="77777777" w:rsidR="006C550C" w:rsidRPr="00846598" w:rsidRDefault="006C550C" w:rsidP="001071A9">
      <w:pPr>
        <w:pStyle w:val="Body2"/>
        <w:tabs>
          <w:tab w:val="left" w:pos="1134"/>
        </w:tabs>
        <w:ind w:firstLine="567"/>
        <w:rPr>
          <w:color w:val="auto"/>
          <w:sz w:val="21"/>
          <w:szCs w:val="21"/>
          <w:lang w:val="lt-LT"/>
        </w:rPr>
      </w:pPr>
      <w:r w:rsidRPr="00846598">
        <w:rPr>
          <w:sz w:val="21"/>
          <w:szCs w:val="21"/>
          <w:lang w:val="lt-LT"/>
        </w:rPr>
        <w:t>3.1.</w:t>
      </w:r>
      <w:r w:rsidRPr="00846598">
        <w:rPr>
          <w:sz w:val="21"/>
          <w:szCs w:val="21"/>
          <w:lang w:val="lt-LT"/>
        </w:rPr>
        <w:tab/>
      </w:r>
      <w:r w:rsidRPr="00846598">
        <w:rPr>
          <w:color w:val="auto"/>
          <w:sz w:val="21"/>
          <w:szCs w:val="21"/>
          <w:lang w:val="lt-LT"/>
        </w:rPr>
        <w:t>Tiekėjo pasiūlymo ekonominio naudingumo balas (S) apskaičiuojamas sudėjus tiekėjui skirtus balus už visus vertinimo kriterijus taikant formulę S=C+T.</w:t>
      </w:r>
    </w:p>
    <w:p w14:paraId="322AE33C" w14:textId="77777777" w:rsidR="006C550C" w:rsidRPr="00846598" w:rsidRDefault="006C550C" w:rsidP="001071A9">
      <w:pPr>
        <w:pStyle w:val="Body2"/>
        <w:tabs>
          <w:tab w:val="left" w:pos="1134"/>
        </w:tabs>
        <w:ind w:firstLine="567"/>
        <w:rPr>
          <w:color w:val="auto"/>
          <w:sz w:val="21"/>
          <w:szCs w:val="21"/>
          <w:lang w:val="lt-LT"/>
        </w:rPr>
      </w:pPr>
      <w:r w:rsidRPr="00846598">
        <w:rPr>
          <w:color w:val="auto"/>
          <w:sz w:val="21"/>
          <w:szCs w:val="21"/>
          <w:lang w:val="lt-LT"/>
        </w:rPr>
        <w:t xml:space="preserve">3.2. </w:t>
      </w:r>
      <w:r w:rsidRPr="00846598">
        <w:rPr>
          <w:sz w:val="21"/>
          <w:szCs w:val="21"/>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C=(Cmin/Cp)*X.</w:t>
      </w:r>
    </w:p>
    <w:p w14:paraId="325C414D" w14:textId="39A76160" w:rsidR="006C550C" w:rsidRPr="00846598" w:rsidRDefault="006C550C" w:rsidP="001071A9">
      <w:pPr>
        <w:pStyle w:val="Body2"/>
        <w:tabs>
          <w:tab w:val="left" w:pos="1134"/>
        </w:tabs>
        <w:ind w:firstLine="567"/>
        <w:rPr>
          <w:sz w:val="21"/>
          <w:szCs w:val="21"/>
          <w:lang w:val="lt-LT"/>
        </w:rPr>
      </w:pPr>
      <w:r w:rsidRPr="00846598">
        <w:rPr>
          <w:color w:val="auto"/>
          <w:sz w:val="21"/>
          <w:szCs w:val="21"/>
          <w:lang w:val="lt-LT"/>
        </w:rPr>
        <w:t xml:space="preserve">3.3. </w:t>
      </w:r>
      <w:r w:rsidRPr="00846598">
        <w:rPr>
          <w:sz w:val="21"/>
          <w:szCs w:val="21"/>
          <w:lang w:val="lt-LT"/>
        </w:rPr>
        <w:t>Kiekvieno tiekėjo pasiūlymo kokybės kriterijų (T</w:t>
      </w:r>
      <w:r w:rsidRPr="00846598">
        <w:rPr>
          <w:color w:val="auto"/>
          <w:sz w:val="21"/>
          <w:szCs w:val="21"/>
          <w:lang w:val="lt-LT"/>
        </w:rPr>
        <w:t xml:space="preserve">) </w:t>
      </w:r>
      <w:r w:rsidRPr="00846598">
        <w:rPr>
          <w:sz w:val="21"/>
          <w:szCs w:val="21"/>
          <w:lang w:val="lt-LT"/>
        </w:rPr>
        <w:t>balai apskaičiuojami šia tvarka:</w:t>
      </w:r>
    </w:p>
    <w:p w14:paraId="4AAB3503" w14:textId="4FFC2435" w:rsidR="00755F6D" w:rsidRPr="00846598" w:rsidRDefault="00755F6D" w:rsidP="00755F6D">
      <w:pPr>
        <w:pStyle w:val="Body2"/>
        <w:tabs>
          <w:tab w:val="left" w:pos="1134"/>
        </w:tabs>
        <w:ind w:firstLine="567"/>
        <w:rPr>
          <w:sz w:val="21"/>
          <w:szCs w:val="21"/>
          <w:lang w:val="lt-LT"/>
        </w:rPr>
      </w:pPr>
      <w:r w:rsidRPr="00846598">
        <w:rPr>
          <w:sz w:val="21"/>
          <w:szCs w:val="21"/>
          <w:lang w:val="lt-LT"/>
        </w:rPr>
        <w:t>3.3.1.</w:t>
      </w:r>
      <w:r w:rsidRPr="00846598">
        <w:rPr>
          <w:b/>
          <w:sz w:val="21"/>
          <w:szCs w:val="21"/>
          <w:lang w:val="lt-LT"/>
        </w:rPr>
        <w:t xml:space="preserve"> </w:t>
      </w:r>
      <w:r w:rsidRPr="00846598">
        <w:rPr>
          <w:sz w:val="21"/>
          <w:szCs w:val="21"/>
          <w:lang w:val="lt-LT"/>
        </w:rPr>
        <w:t xml:space="preserve">kiekvieno tiekėjo pasiūlymo </w:t>
      </w:r>
      <w:bookmarkStart w:id="0" w:name="_Hlk1555904"/>
      <w:r w:rsidRPr="00846598">
        <w:rPr>
          <w:sz w:val="21"/>
          <w:szCs w:val="21"/>
          <w:lang w:val="lt-LT"/>
        </w:rPr>
        <w:t>kokybės kriterijų</w:t>
      </w:r>
      <w:bookmarkEnd w:id="0"/>
      <w:r w:rsidRPr="00846598">
        <w:rPr>
          <w:sz w:val="21"/>
          <w:szCs w:val="21"/>
          <w:lang w:val="lt-LT"/>
        </w:rPr>
        <w:t xml:space="preserve"> (T</w:t>
      </w:r>
      <w:r w:rsidRPr="00846598">
        <w:rPr>
          <w:color w:val="auto"/>
          <w:sz w:val="21"/>
          <w:szCs w:val="21"/>
          <w:lang w:val="lt-LT"/>
        </w:rPr>
        <w:t xml:space="preserve">) </w:t>
      </w:r>
      <w:r w:rsidRPr="00846598">
        <w:rPr>
          <w:sz w:val="21"/>
          <w:szCs w:val="21"/>
          <w:lang w:val="lt-LT"/>
        </w:rPr>
        <w:t>bal</w:t>
      </w:r>
      <w:r w:rsidR="00DB46F4" w:rsidRPr="00846598">
        <w:rPr>
          <w:sz w:val="21"/>
          <w:szCs w:val="21"/>
          <w:lang w:val="lt-LT"/>
        </w:rPr>
        <w:t>ų suma</w:t>
      </w:r>
      <w:r w:rsidRPr="00846598">
        <w:rPr>
          <w:sz w:val="21"/>
          <w:szCs w:val="21"/>
          <w:lang w:val="lt-LT"/>
        </w:rPr>
        <w:t xml:space="preserve"> apskaičiuojam</w:t>
      </w:r>
      <w:r w:rsidR="00DB46F4" w:rsidRPr="00846598">
        <w:rPr>
          <w:sz w:val="21"/>
          <w:szCs w:val="21"/>
          <w:lang w:val="lt-LT"/>
        </w:rPr>
        <w:t>a</w:t>
      </w:r>
      <w:r w:rsidRPr="00846598">
        <w:rPr>
          <w:sz w:val="21"/>
          <w:szCs w:val="21"/>
          <w:lang w:val="lt-LT"/>
        </w:rPr>
        <w:t xml:space="preserve"> taikant formulę T = T1+ T2. Kiekvieno tiekėjo pasiūlymo kokybės kriterijų (T1</w:t>
      </w:r>
      <w:r w:rsidR="00FE1874">
        <w:rPr>
          <w:sz w:val="21"/>
          <w:szCs w:val="21"/>
          <w:lang w:val="lt-LT"/>
        </w:rPr>
        <w:t xml:space="preserve"> ir </w:t>
      </w:r>
      <w:r w:rsidR="00530056">
        <w:rPr>
          <w:sz w:val="21"/>
          <w:szCs w:val="21"/>
          <w:lang w:val="lt-LT"/>
        </w:rPr>
        <w:t>T2</w:t>
      </w:r>
      <w:r w:rsidRPr="00846598">
        <w:rPr>
          <w:color w:val="auto"/>
          <w:sz w:val="21"/>
          <w:szCs w:val="21"/>
          <w:lang w:val="lt-LT"/>
        </w:rPr>
        <w:t xml:space="preserve">) </w:t>
      </w:r>
      <w:r w:rsidRPr="00846598">
        <w:rPr>
          <w:sz w:val="21"/>
          <w:szCs w:val="21"/>
          <w:lang w:val="lt-LT"/>
        </w:rPr>
        <w:t>balai apskaičiuojami šia tvarka:</w:t>
      </w:r>
    </w:p>
    <w:p w14:paraId="1841EBE9" w14:textId="77777777" w:rsidR="006C550C" w:rsidRDefault="006C550C" w:rsidP="006C550C">
      <w:pPr>
        <w:pStyle w:val="Body2"/>
        <w:tabs>
          <w:tab w:val="left" w:pos="1134"/>
        </w:tabs>
        <w:ind w:firstLine="709"/>
        <w:rPr>
          <w:color w:val="auto"/>
          <w:lang w:val="lt-LT"/>
        </w:rPr>
      </w:pPr>
    </w:p>
    <w:tbl>
      <w:tblPr>
        <w:tblStyle w:val="TableGrid"/>
        <w:tblW w:w="10314" w:type="dxa"/>
        <w:tblLook w:val="04A0" w:firstRow="1" w:lastRow="0" w:firstColumn="1" w:lastColumn="0" w:noHBand="0" w:noVBand="1"/>
      </w:tblPr>
      <w:tblGrid>
        <w:gridCol w:w="1526"/>
        <w:gridCol w:w="2410"/>
        <w:gridCol w:w="3118"/>
        <w:gridCol w:w="3260"/>
      </w:tblGrid>
      <w:tr w:rsidR="0048571A" w:rsidRPr="00FF1060" w14:paraId="3360B177" w14:textId="77777777" w:rsidTr="00C90A04">
        <w:trPr>
          <w:trHeight w:val="512"/>
        </w:trPr>
        <w:tc>
          <w:tcPr>
            <w:tcW w:w="1526" w:type="dxa"/>
            <w:shd w:val="clear" w:color="auto" w:fill="D0CECE" w:themeFill="background2" w:themeFillShade="E6"/>
            <w:vAlign w:val="center"/>
          </w:tcPr>
          <w:p w14:paraId="34040151" w14:textId="77777777"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Kokybės kriterijus</w:t>
            </w:r>
          </w:p>
        </w:tc>
        <w:tc>
          <w:tcPr>
            <w:tcW w:w="2410" w:type="dxa"/>
            <w:shd w:val="clear" w:color="auto" w:fill="D0CECE" w:themeFill="background2" w:themeFillShade="E6"/>
          </w:tcPr>
          <w:p w14:paraId="18B358B2" w14:textId="2E6BAB6D"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Kriterijaus reikšmė</w:t>
            </w:r>
          </w:p>
        </w:tc>
        <w:tc>
          <w:tcPr>
            <w:tcW w:w="3118" w:type="dxa"/>
            <w:shd w:val="clear" w:color="auto" w:fill="D0CECE" w:themeFill="background2" w:themeFillShade="E6"/>
            <w:vAlign w:val="center"/>
          </w:tcPr>
          <w:p w14:paraId="50023FC8" w14:textId="6FE1EBFE" w:rsidR="0048571A" w:rsidRDefault="0048571A"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sz w:val="22"/>
                <w:szCs w:val="22"/>
                <w:lang w:val="lt-LT"/>
              </w:rPr>
            </w:pPr>
            <w:r w:rsidRPr="000B256D">
              <w:rPr>
                <w:rFonts w:cs="Times New Roman"/>
                <w:b/>
                <w:sz w:val="22"/>
                <w:szCs w:val="22"/>
                <w:lang w:val="lt-LT"/>
              </w:rPr>
              <w:t>Lyginamasis svoris Y=</w:t>
            </w:r>
            <w:r w:rsidR="00C90A04">
              <w:rPr>
                <w:rFonts w:cs="Times New Roman"/>
                <w:b/>
                <w:sz w:val="22"/>
                <w:szCs w:val="22"/>
                <w:lang w:val="lt-LT"/>
              </w:rPr>
              <w:t>10</w:t>
            </w:r>
          </w:p>
          <w:p w14:paraId="335E5718" w14:textId="2D454E44" w:rsidR="00A505D8" w:rsidRPr="000B256D" w:rsidRDefault="00A505D8"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p>
        </w:tc>
        <w:tc>
          <w:tcPr>
            <w:tcW w:w="3260" w:type="dxa"/>
            <w:shd w:val="clear" w:color="auto" w:fill="D0CECE" w:themeFill="background2" w:themeFillShade="E6"/>
            <w:vAlign w:val="center"/>
          </w:tcPr>
          <w:p w14:paraId="453FF08F" w14:textId="77777777"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r w:rsidRPr="000B256D">
              <w:rPr>
                <w:rFonts w:cs="Times New Roman"/>
                <w:b/>
                <w:bCs/>
                <w:sz w:val="22"/>
                <w:szCs w:val="22"/>
                <w:lang w:val="lt-LT"/>
              </w:rPr>
              <w:t>Balo skyrimo sąlyga</w:t>
            </w:r>
          </w:p>
          <w:p w14:paraId="40FC8AAC" w14:textId="47784249" w:rsidR="0048571A" w:rsidRPr="000B256D" w:rsidRDefault="0048571A" w:rsidP="006F53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sz w:val="22"/>
                <w:szCs w:val="22"/>
                <w:lang w:val="lt-LT"/>
              </w:rPr>
            </w:pPr>
          </w:p>
        </w:tc>
      </w:tr>
      <w:tr w:rsidR="0048571A" w:rsidRPr="00CB3F48" w14:paraId="022E01E6" w14:textId="77777777" w:rsidTr="00C90A04">
        <w:trPr>
          <w:trHeight w:val="1505"/>
        </w:trPr>
        <w:tc>
          <w:tcPr>
            <w:tcW w:w="1526" w:type="dxa"/>
            <w:vAlign w:val="center"/>
          </w:tcPr>
          <w:p w14:paraId="577B8899" w14:textId="00F64CF9" w:rsidR="0048571A" w:rsidRPr="00C90A04"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noProof/>
                <w:lang w:val="lt-LT"/>
              </w:rPr>
            </w:pPr>
            <w:r w:rsidRPr="00C90A04">
              <w:rPr>
                <w:rFonts w:cs="Times New Roman"/>
                <w:b/>
                <w:noProof/>
                <w:lang w:val="lt-LT"/>
              </w:rPr>
              <w:t>T1</w:t>
            </w:r>
          </w:p>
          <w:p w14:paraId="3F14B265" w14:textId="5B3233EB"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841BAC">
              <w:rPr>
                <w:rFonts w:cs="Times New Roman"/>
                <w:noProof/>
                <w:lang w:val="lt-LT"/>
              </w:rPr>
              <w:t xml:space="preserve">Žr. TS </w:t>
            </w:r>
            <w:r w:rsidR="000D254B">
              <w:rPr>
                <w:rFonts w:cs="Times New Roman"/>
                <w:noProof/>
                <w:lang w:val="lt-LT"/>
              </w:rPr>
              <w:t>1</w:t>
            </w:r>
            <w:r w:rsidR="00136BD3">
              <w:rPr>
                <w:rFonts w:cs="Times New Roman"/>
                <w:noProof/>
                <w:lang w:val="lt-LT"/>
              </w:rPr>
              <w:t>7</w:t>
            </w:r>
            <w:r w:rsidR="000D254B">
              <w:rPr>
                <w:rFonts w:cs="Times New Roman"/>
                <w:noProof/>
                <w:lang w:val="lt-LT"/>
              </w:rPr>
              <w:t>.</w:t>
            </w:r>
            <w:r w:rsidR="00620700">
              <w:rPr>
                <w:rFonts w:cs="Times New Roman"/>
                <w:noProof/>
                <w:lang w:val="lt-LT"/>
              </w:rPr>
              <w:t>2.3</w:t>
            </w:r>
            <w:r w:rsidRPr="00841BAC">
              <w:rPr>
                <w:rFonts w:cs="Times New Roman"/>
                <w:noProof/>
                <w:lang w:val="lt-LT"/>
              </w:rPr>
              <w:t xml:space="preserve"> p.</w:t>
            </w:r>
          </w:p>
          <w:p w14:paraId="180CB49F" w14:textId="77777777"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p w14:paraId="1F84F8ED" w14:textId="7014E9F5" w:rsidR="0048571A" w:rsidRPr="00841BAC"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p>
        </w:tc>
        <w:tc>
          <w:tcPr>
            <w:tcW w:w="2410" w:type="dxa"/>
          </w:tcPr>
          <w:p w14:paraId="0856F3CC" w14:textId="77777777" w:rsidR="00C90A04" w:rsidRDefault="00C90A04"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sz w:val="21"/>
                <w:szCs w:val="21"/>
                <w:lang w:val="lt-LT"/>
              </w:rPr>
            </w:pPr>
          </w:p>
          <w:p w14:paraId="4B4E55A4" w14:textId="700BA54D" w:rsidR="0048571A" w:rsidRPr="00FE1874" w:rsidRDefault="00FE1874"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eastAsia="Times New Roman" w:cs="Times New Roman"/>
                <w:sz w:val="21"/>
                <w:szCs w:val="21"/>
                <w:lang w:val="lt-LT"/>
              </w:rPr>
              <w:t>Mobilaus gyvybinių funkcijų multiparametrų modulio monitoriaus ekranas ≥ 6“</w:t>
            </w:r>
          </w:p>
        </w:tc>
        <w:tc>
          <w:tcPr>
            <w:tcW w:w="3118" w:type="dxa"/>
            <w:vAlign w:val="center"/>
          </w:tcPr>
          <w:p w14:paraId="37089A76" w14:textId="2CDC7EFD" w:rsidR="00FE1874" w:rsidRPr="00FE1874" w:rsidRDefault="0048571A" w:rsidP="00755F6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cs="Times New Roman"/>
                <w:noProof/>
                <w:sz w:val="21"/>
                <w:szCs w:val="21"/>
                <w:lang w:val="lt-LT"/>
              </w:rPr>
              <w:t>Y1=</w:t>
            </w:r>
            <w:r w:rsidR="005E0787" w:rsidRPr="00FE1874">
              <w:rPr>
                <w:rFonts w:cs="Times New Roman"/>
                <w:noProof/>
                <w:sz w:val="21"/>
                <w:szCs w:val="21"/>
                <w:lang w:val="lt-LT"/>
              </w:rPr>
              <w:t xml:space="preserve"> </w:t>
            </w:r>
            <w:r w:rsidR="00FE1874" w:rsidRPr="00FE1874">
              <w:rPr>
                <w:rFonts w:cs="Times New Roman"/>
                <w:noProof/>
                <w:sz w:val="21"/>
                <w:szCs w:val="21"/>
                <w:lang w:val="lt-LT"/>
              </w:rPr>
              <w:t>5</w:t>
            </w:r>
            <w:r w:rsidRPr="00FE1874">
              <w:rPr>
                <w:rFonts w:cs="Times New Roman"/>
                <w:noProof/>
                <w:sz w:val="21"/>
                <w:szCs w:val="21"/>
                <w:lang w:val="lt-LT"/>
              </w:rPr>
              <w:t xml:space="preserve">, </w:t>
            </w:r>
            <w:r w:rsidR="00FE1874" w:rsidRPr="00FE1874">
              <w:rPr>
                <w:rFonts w:cs="Times New Roman"/>
                <w:noProof/>
                <w:sz w:val="21"/>
                <w:szCs w:val="21"/>
                <w:lang w:val="lt-LT"/>
              </w:rPr>
              <w:t>kai m</w:t>
            </w:r>
            <w:r w:rsidR="00FE1874" w:rsidRPr="00FE1874">
              <w:rPr>
                <w:rFonts w:eastAsia="Times New Roman" w:cs="Times New Roman"/>
                <w:sz w:val="21"/>
                <w:szCs w:val="21"/>
                <w:lang w:val="lt-LT"/>
              </w:rPr>
              <w:t>obilaus gyvybinių funkcijų multiparametrų modulio monitoriaus ekranas ≥ 6“;</w:t>
            </w:r>
          </w:p>
          <w:p w14:paraId="1738619A" w14:textId="49276B94" w:rsidR="0048571A" w:rsidRPr="00FE1874" w:rsidRDefault="0048571A" w:rsidP="00FE1874">
            <w:pPr>
              <w:pStyle w:val="Body2"/>
              <w:jc w:val="left"/>
              <w:rPr>
                <w:rFonts w:cs="Times New Roman"/>
                <w:noProof/>
                <w:sz w:val="21"/>
                <w:szCs w:val="21"/>
                <w:lang w:val="lt-LT"/>
              </w:rPr>
            </w:pPr>
            <w:r w:rsidRPr="00FE1874">
              <w:rPr>
                <w:rFonts w:cs="Times New Roman"/>
                <w:noProof/>
                <w:sz w:val="21"/>
                <w:szCs w:val="21"/>
                <w:lang w:val="lt-LT"/>
              </w:rPr>
              <w:t xml:space="preserve">Y1 = 0, </w:t>
            </w:r>
            <w:r w:rsidR="00FE1874" w:rsidRPr="00FE1874">
              <w:rPr>
                <w:rFonts w:cs="Times New Roman"/>
                <w:noProof/>
                <w:sz w:val="21"/>
                <w:szCs w:val="21"/>
                <w:lang w:val="lt-LT"/>
              </w:rPr>
              <w:t>kai m</w:t>
            </w:r>
            <w:r w:rsidR="00FE1874" w:rsidRPr="00FE1874">
              <w:rPr>
                <w:rFonts w:eastAsia="Times New Roman" w:cs="Times New Roman"/>
                <w:sz w:val="21"/>
                <w:szCs w:val="21"/>
                <w:lang w:val="lt-LT"/>
              </w:rPr>
              <w:t xml:space="preserve">obilaus gyvybinių funkcijų multiparametrų modulio monitoriaus ekranas </w:t>
            </w:r>
            <w:r w:rsidR="00FE1874" w:rsidRPr="00FE1874">
              <w:rPr>
                <w:sz w:val="21"/>
                <w:szCs w:val="21"/>
              </w:rPr>
              <w:t>&lt;</w:t>
            </w:r>
            <w:r w:rsidR="00FE1874" w:rsidRPr="00FE1874">
              <w:rPr>
                <w:rFonts w:eastAsia="Times New Roman" w:cs="Times New Roman"/>
                <w:sz w:val="21"/>
                <w:szCs w:val="21"/>
                <w:lang w:val="lt-LT"/>
              </w:rPr>
              <w:t xml:space="preserve"> 6“, bet </w:t>
            </w:r>
            <w:r w:rsidR="00FE1874" w:rsidRPr="00FE1874">
              <w:rPr>
                <w:rFonts w:eastAsia="Times New Roman" w:cs="Times New Roman" w:hint="eastAsia"/>
                <w:sz w:val="21"/>
                <w:szCs w:val="21"/>
                <w:lang w:val="lt-LT"/>
              </w:rPr>
              <w:t>≥ 5,7“</w:t>
            </w:r>
            <w:r w:rsidR="00C90A04">
              <w:rPr>
                <w:rFonts w:eastAsia="Times New Roman" w:cs="Times New Roman"/>
                <w:sz w:val="21"/>
                <w:szCs w:val="21"/>
                <w:lang w:val="lt-LT"/>
              </w:rPr>
              <w:t>.</w:t>
            </w:r>
          </w:p>
        </w:tc>
        <w:tc>
          <w:tcPr>
            <w:tcW w:w="3260" w:type="dxa"/>
            <w:vAlign w:val="center"/>
          </w:tcPr>
          <w:p w14:paraId="7B1E3F9D" w14:textId="068FC321" w:rsidR="0048571A" w:rsidRPr="00FE1874" w:rsidRDefault="00FE1874" w:rsidP="00FE187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17"/>
              <w:jc w:val="left"/>
              <w:rPr>
                <w:rFonts w:cs="Times New Roman"/>
                <w:noProof/>
                <w:sz w:val="21"/>
                <w:szCs w:val="21"/>
                <w:lang w:val="lt-LT"/>
              </w:rPr>
            </w:pPr>
            <w:r>
              <w:rPr>
                <w:rFonts w:cs="Times New Roman"/>
                <w:noProof/>
                <w:sz w:val="21"/>
                <w:szCs w:val="21"/>
                <w:lang w:val="lt-LT"/>
              </w:rPr>
              <w:t>5</w:t>
            </w:r>
            <w:r w:rsidR="0048571A" w:rsidRPr="00FE1874">
              <w:rPr>
                <w:rFonts w:cs="Times New Roman"/>
                <w:noProof/>
                <w:sz w:val="21"/>
                <w:szCs w:val="21"/>
                <w:lang w:val="lt-LT"/>
              </w:rPr>
              <w:t xml:space="preserve"> bal</w:t>
            </w:r>
            <w:r>
              <w:rPr>
                <w:rFonts w:cs="Times New Roman"/>
                <w:noProof/>
                <w:sz w:val="21"/>
                <w:szCs w:val="21"/>
                <w:lang w:val="lt-LT"/>
              </w:rPr>
              <w:t xml:space="preserve">ai, kai </w:t>
            </w:r>
            <w:r w:rsidRPr="00FE1874">
              <w:rPr>
                <w:rFonts w:cs="Times New Roman"/>
                <w:noProof/>
                <w:sz w:val="21"/>
                <w:szCs w:val="21"/>
                <w:lang w:val="lt-LT"/>
              </w:rPr>
              <w:t>m</w:t>
            </w:r>
            <w:r w:rsidRPr="00FE1874">
              <w:rPr>
                <w:rFonts w:eastAsia="Times New Roman" w:cs="Times New Roman"/>
                <w:sz w:val="21"/>
                <w:szCs w:val="21"/>
                <w:lang w:val="lt-LT"/>
              </w:rPr>
              <w:t xml:space="preserve">obilaus </w:t>
            </w:r>
            <w:r>
              <w:rPr>
                <w:rFonts w:eastAsia="Times New Roman" w:cs="Times New Roman"/>
                <w:sz w:val="21"/>
                <w:szCs w:val="21"/>
                <w:lang w:val="lt-LT"/>
              </w:rPr>
              <w:t>g</w:t>
            </w:r>
            <w:r w:rsidRPr="00FE1874">
              <w:rPr>
                <w:rFonts w:eastAsia="Times New Roman" w:cs="Times New Roman"/>
                <w:sz w:val="21"/>
                <w:szCs w:val="21"/>
                <w:lang w:val="lt-LT"/>
              </w:rPr>
              <w:t>yvybinių funkcijų multiparametrų modulio monitoriaus ekranas ≥ 6“</w:t>
            </w:r>
            <w:r w:rsidR="00374B90">
              <w:rPr>
                <w:rFonts w:eastAsia="Times New Roman" w:cs="Times New Roman"/>
                <w:sz w:val="21"/>
                <w:szCs w:val="21"/>
                <w:lang w:val="lt-LT"/>
              </w:rPr>
              <w:t>;</w:t>
            </w:r>
          </w:p>
          <w:p w14:paraId="69050F6F" w14:textId="543D7B7D" w:rsidR="0048571A" w:rsidRPr="00FE1874" w:rsidRDefault="0048571A" w:rsidP="00FE1874">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17" w:hanging="283"/>
              <w:jc w:val="left"/>
              <w:rPr>
                <w:rFonts w:cs="Times New Roman"/>
                <w:noProof/>
                <w:sz w:val="21"/>
                <w:szCs w:val="21"/>
                <w:lang w:val="lt-LT"/>
              </w:rPr>
            </w:pPr>
            <w:r w:rsidRPr="00FE1874">
              <w:rPr>
                <w:rFonts w:cs="Times New Roman"/>
                <w:noProof/>
                <w:sz w:val="21"/>
                <w:szCs w:val="21"/>
                <w:lang w:val="lt-LT"/>
              </w:rPr>
              <w:t>0 balų</w:t>
            </w:r>
            <w:r w:rsidR="00FE1874">
              <w:rPr>
                <w:rFonts w:cs="Times New Roman"/>
                <w:noProof/>
                <w:sz w:val="21"/>
                <w:szCs w:val="21"/>
                <w:lang w:val="lt-LT"/>
              </w:rPr>
              <w:t xml:space="preserve">, kai </w:t>
            </w:r>
            <w:r w:rsidR="00FE1874" w:rsidRPr="00FE1874">
              <w:rPr>
                <w:rFonts w:cs="Times New Roman"/>
                <w:noProof/>
                <w:sz w:val="21"/>
                <w:szCs w:val="21"/>
                <w:lang w:val="lt-LT"/>
              </w:rPr>
              <w:t>m</w:t>
            </w:r>
            <w:r w:rsidR="00FE1874" w:rsidRPr="00FE1874">
              <w:rPr>
                <w:rFonts w:eastAsia="Times New Roman" w:cs="Times New Roman"/>
                <w:sz w:val="21"/>
                <w:szCs w:val="21"/>
                <w:lang w:val="lt-LT"/>
              </w:rPr>
              <w:t xml:space="preserve">obilaus gyvybinių funkcijų multiparametrų modulio monitoriaus ekranas </w:t>
            </w:r>
            <w:r w:rsidR="00FE1874" w:rsidRPr="00FE1874">
              <w:rPr>
                <w:sz w:val="21"/>
                <w:szCs w:val="21"/>
              </w:rPr>
              <w:t>&lt;</w:t>
            </w:r>
            <w:r w:rsidR="00FE1874" w:rsidRPr="00FE1874">
              <w:rPr>
                <w:rFonts w:eastAsia="Times New Roman" w:cs="Times New Roman"/>
                <w:sz w:val="21"/>
                <w:szCs w:val="21"/>
                <w:lang w:val="lt-LT"/>
              </w:rPr>
              <w:t xml:space="preserve"> 6“, bet </w:t>
            </w:r>
            <w:r w:rsidR="00FE1874" w:rsidRPr="00FE1874">
              <w:rPr>
                <w:rFonts w:eastAsia="Times New Roman" w:cs="Times New Roman" w:hint="eastAsia"/>
                <w:sz w:val="21"/>
                <w:szCs w:val="21"/>
                <w:lang w:val="lt-LT"/>
              </w:rPr>
              <w:t>≥ 5,7“</w:t>
            </w:r>
            <w:r w:rsidR="00374B90">
              <w:rPr>
                <w:rFonts w:eastAsia="Times New Roman" w:cs="Times New Roman"/>
                <w:sz w:val="21"/>
                <w:szCs w:val="21"/>
                <w:lang w:val="lt-LT"/>
              </w:rPr>
              <w:t>.</w:t>
            </w:r>
          </w:p>
        </w:tc>
      </w:tr>
      <w:tr w:rsidR="0048571A" w:rsidRPr="00307499" w14:paraId="09220EF4" w14:textId="77777777" w:rsidTr="00C90A04">
        <w:trPr>
          <w:trHeight w:val="970"/>
        </w:trPr>
        <w:tc>
          <w:tcPr>
            <w:tcW w:w="1526" w:type="dxa"/>
            <w:vAlign w:val="center"/>
          </w:tcPr>
          <w:p w14:paraId="4FF77D31" w14:textId="071B7497" w:rsidR="0048571A" w:rsidRPr="0018293F"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b/>
                <w:noProof/>
                <w:lang w:val="lt-LT"/>
              </w:rPr>
            </w:pPr>
            <w:r w:rsidRPr="0018293F">
              <w:rPr>
                <w:rFonts w:cs="Times New Roman"/>
                <w:b/>
                <w:noProof/>
                <w:lang w:val="lt-LT"/>
              </w:rPr>
              <w:t>T2</w:t>
            </w:r>
          </w:p>
          <w:p w14:paraId="648A9757" w14:textId="109806EC" w:rsidR="0048571A" w:rsidRPr="00841BAC" w:rsidRDefault="0048571A" w:rsidP="00136BD3">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lang w:val="lt-LT"/>
              </w:rPr>
            </w:pPr>
            <w:r w:rsidRPr="0018293F">
              <w:rPr>
                <w:rFonts w:cs="Times New Roman"/>
                <w:noProof/>
                <w:lang w:val="lt-LT"/>
              </w:rPr>
              <w:t xml:space="preserve">Žr.TS </w:t>
            </w:r>
            <w:r w:rsidR="000D254B" w:rsidRPr="0018293F">
              <w:rPr>
                <w:rFonts w:cs="Times New Roman"/>
                <w:noProof/>
                <w:lang w:val="lt-LT"/>
              </w:rPr>
              <w:t>16</w:t>
            </w:r>
            <w:r w:rsidRPr="0018293F">
              <w:rPr>
                <w:rFonts w:cs="Times New Roman"/>
                <w:noProof/>
                <w:lang w:val="lt-LT"/>
              </w:rPr>
              <w:t xml:space="preserve"> p.</w:t>
            </w:r>
            <w:bookmarkStart w:id="1" w:name="_GoBack"/>
            <w:bookmarkEnd w:id="1"/>
          </w:p>
        </w:tc>
        <w:tc>
          <w:tcPr>
            <w:tcW w:w="2410" w:type="dxa"/>
          </w:tcPr>
          <w:p w14:paraId="2342A27B" w14:textId="77777777" w:rsidR="0048571A" w:rsidRPr="00FE1874" w:rsidRDefault="0048571A" w:rsidP="00841BAC">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p>
          <w:p w14:paraId="3B14D873" w14:textId="12BE4987" w:rsidR="0048571A" w:rsidRPr="00FE1874" w:rsidRDefault="00FE1874" w:rsidP="00FE187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eastAsia="Times New Roman" w:cs="Times New Roman"/>
                <w:sz w:val="21"/>
                <w:szCs w:val="21"/>
                <w:lang w:val="lt-LT" w:eastAsia="lt-LT"/>
              </w:rPr>
              <w:t xml:space="preserve">Kapnometrijos matavimo modulis arba atskiras monitorius: deguonies vartojimas (VO2 ), anglies dioksido apykaita (VCO2), energijos suvartojimas (EE).  </w:t>
            </w:r>
          </w:p>
        </w:tc>
        <w:tc>
          <w:tcPr>
            <w:tcW w:w="3118" w:type="dxa"/>
            <w:vAlign w:val="center"/>
          </w:tcPr>
          <w:p w14:paraId="6931B9D8" w14:textId="22759C63" w:rsidR="0048571A" w:rsidRPr="00FE1874" w:rsidRDefault="0048571A" w:rsidP="000B256D">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cs="Times New Roman"/>
                <w:noProof/>
                <w:sz w:val="21"/>
                <w:szCs w:val="21"/>
                <w:lang w:val="lt-LT"/>
              </w:rPr>
              <w:t xml:space="preserve">Y2= </w:t>
            </w:r>
            <w:r w:rsidR="007A0854" w:rsidRPr="00FE1874">
              <w:rPr>
                <w:rFonts w:cs="Times New Roman"/>
                <w:noProof/>
                <w:sz w:val="21"/>
                <w:szCs w:val="21"/>
                <w:lang w:val="lt-LT"/>
              </w:rPr>
              <w:t>5</w:t>
            </w:r>
            <w:r w:rsidRPr="00FE1874">
              <w:rPr>
                <w:rFonts w:cs="Times New Roman"/>
                <w:noProof/>
                <w:sz w:val="21"/>
                <w:szCs w:val="21"/>
                <w:lang w:val="lt-LT"/>
              </w:rPr>
              <w:t xml:space="preserve">, kai </w:t>
            </w:r>
            <w:r w:rsidR="00874708" w:rsidRPr="00FE1874">
              <w:rPr>
                <w:rFonts w:cs="Times New Roman"/>
                <w:noProof/>
                <w:sz w:val="21"/>
                <w:szCs w:val="21"/>
                <w:lang w:val="lt-LT"/>
              </w:rPr>
              <w:t>įranga turi</w:t>
            </w:r>
            <w:r w:rsidR="00FE1874" w:rsidRPr="00FE1874">
              <w:rPr>
                <w:rFonts w:cs="Times New Roman"/>
                <w:noProof/>
                <w:sz w:val="21"/>
                <w:szCs w:val="21"/>
                <w:lang w:val="lt-LT"/>
              </w:rPr>
              <w:t xml:space="preserve"> k</w:t>
            </w:r>
            <w:r w:rsidR="00FE1874" w:rsidRPr="00FE1874">
              <w:rPr>
                <w:rFonts w:eastAsia="Times New Roman" w:cs="Times New Roman"/>
                <w:sz w:val="21"/>
                <w:szCs w:val="21"/>
                <w:lang w:val="lt-LT" w:eastAsia="lt-LT"/>
              </w:rPr>
              <w:t>apnometrijos matavimo modulį arba atskirą monitorių: deguonies vartojimas (VO2 ), anglies dioksido apykaita (VCO2), energijos suvartojimas (EE)</w:t>
            </w:r>
            <w:r w:rsidRPr="00FE1874">
              <w:rPr>
                <w:rFonts w:cs="Times New Roman"/>
                <w:noProof/>
                <w:sz w:val="21"/>
                <w:szCs w:val="21"/>
                <w:lang w:val="lt-LT"/>
              </w:rPr>
              <w:t>;</w:t>
            </w:r>
          </w:p>
          <w:p w14:paraId="29C097E2" w14:textId="2E19EA67" w:rsidR="0048571A" w:rsidRPr="00FE1874" w:rsidRDefault="0048571A" w:rsidP="00FE187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sz w:val="21"/>
                <w:szCs w:val="21"/>
                <w:lang w:val="lt-LT"/>
              </w:rPr>
            </w:pPr>
            <w:r w:rsidRPr="00FE1874">
              <w:rPr>
                <w:rFonts w:cs="Times New Roman"/>
                <w:noProof/>
                <w:sz w:val="21"/>
                <w:szCs w:val="21"/>
                <w:lang w:val="lt-LT"/>
              </w:rPr>
              <w:t>Y</w:t>
            </w:r>
            <w:r w:rsidR="005153A8" w:rsidRPr="00FE1874">
              <w:rPr>
                <w:rFonts w:cs="Times New Roman"/>
                <w:noProof/>
                <w:sz w:val="21"/>
                <w:szCs w:val="21"/>
                <w:lang w:val="lt-LT"/>
              </w:rPr>
              <w:t>2</w:t>
            </w:r>
            <w:r w:rsidRPr="00FE1874">
              <w:rPr>
                <w:rFonts w:cs="Times New Roman"/>
                <w:noProof/>
                <w:sz w:val="21"/>
                <w:szCs w:val="21"/>
                <w:lang w:val="lt-LT"/>
              </w:rPr>
              <w:t xml:space="preserve"> = 0, kai </w:t>
            </w:r>
            <w:r w:rsidR="00874708" w:rsidRPr="00FE1874">
              <w:rPr>
                <w:rFonts w:cs="Times New Roman"/>
                <w:noProof/>
                <w:sz w:val="21"/>
                <w:szCs w:val="21"/>
                <w:lang w:val="lt-LT"/>
              </w:rPr>
              <w:t>įranga netu</w:t>
            </w:r>
            <w:r w:rsidR="009150DF" w:rsidRPr="00FE1874">
              <w:rPr>
                <w:rFonts w:cs="Times New Roman"/>
                <w:noProof/>
                <w:sz w:val="21"/>
                <w:szCs w:val="21"/>
                <w:lang w:val="lt-LT"/>
              </w:rPr>
              <w:t>r</w:t>
            </w:r>
            <w:r w:rsidR="00874708" w:rsidRPr="00FE1874">
              <w:rPr>
                <w:rFonts w:cs="Times New Roman"/>
                <w:noProof/>
                <w:sz w:val="21"/>
                <w:szCs w:val="21"/>
                <w:lang w:val="lt-LT"/>
              </w:rPr>
              <w:t xml:space="preserve">i </w:t>
            </w:r>
            <w:r w:rsidR="00FE1874" w:rsidRPr="00FE1874">
              <w:rPr>
                <w:rFonts w:cs="Times New Roman"/>
                <w:noProof/>
                <w:sz w:val="21"/>
                <w:szCs w:val="21"/>
                <w:lang w:val="lt-LT"/>
              </w:rPr>
              <w:t>k</w:t>
            </w:r>
            <w:r w:rsidR="00FE1874" w:rsidRPr="00FE1874">
              <w:rPr>
                <w:rFonts w:eastAsia="Times New Roman" w:cs="Times New Roman"/>
                <w:sz w:val="21"/>
                <w:szCs w:val="21"/>
                <w:lang w:val="lt-LT" w:eastAsia="lt-LT"/>
              </w:rPr>
              <w:t xml:space="preserve">apnometrijos matavimo modulio arba atskiro monitoriaus: deguonies vartojimas (VO2 ), anglies dioksido apykaita (VCO2), energijos suvartojimas (EE). </w:t>
            </w:r>
          </w:p>
        </w:tc>
        <w:tc>
          <w:tcPr>
            <w:tcW w:w="3260" w:type="dxa"/>
            <w:vAlign w:val="center"/>
          </w:tcPr>
          <w:p w14:paraId="5AF784ED" w14:textId="5DECE404" w:rsidR="000D254B" w:rsidRPr="00FE1874" w:rsidRDefault="000D254B" w:rsidP="000D254B">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sidRPr="00FE1874">
              <w:rPr>
                <w:rFonts w:cs="Times New Roman"/>
                <w:noProof/>
                <w:sz w:val="21"/>
                <w:szCs w:val="21"/>
                <w:lang w:val="lt-LT"/>
              </w:rPr>
              <w:t xml:space="preserve">Yra – </w:t>
            </w:r>
            <w:r w:rsidR="007A0854" w:rsidRPr="00FE1874">
              <w:rPr>
                <w:rFonts w:cs="Times New Roman"/>
                <w:noProof/>
                <w:sz w:val="21"/>
                <w:szCs w:val="21"/>
                <w:lang w:val="lt-LT"/>
              </w:rPr>
              <w:t>5</w:t>
            </w:r>
            <w:r w:rsidRPr="00FE1874">
              <w:rPr>
                <w:rFonts w:cs="Times New Roman"/>
                <w:noProof/>
                <w:sz w:val="21"/>
                <w:szCs w:val="21"/>
                <w:lang w:val="lt-LT"/>
              </w:rPr>
              <w:t xml:space="preserve"> bal</w:t>
            </w:r>
            <w:r w:rsidR="007A0854" w:rsidRPr="00FE1874">
              <w:rPr>
                <w:rFonts w:cs="Times New Roman"/>
                <w:noProof/>
                <w:sz w:val="21"/>
                <w:szCs w:val="21"/>
                <w:lang w:val="lt-LT"/>
              </w:rPr>
              <w:t>ai</w:t>
            </w:r>
            <w:r w:rsidRPr="00FE1874">
              <w:rPr>
                <w:rFonts w:cs="Times New Roman"/>
                <w:noProof/>
                <w:sz w:val="21"/>
                <w:szCs w:val="21"/>
                <w:lang w:val="lt-LT"/>
              </w:rPr>
              <w:t>;</w:t>
            </w:r>
          </w:p>
          <w:p w14:paraId="7E17B7D1" w14:textId="28F1AC60" w:rsidR="000D254B" w:rsidRPr="00FE1874" w:rsidRDefault="000D254B" w:rsidP="000D254B">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01"/>
              <w:jc w:val="left"/>
              <w:rPr>
                <w:rFonts w:cs="Times New Roman"/>
                <w:noProof/>
                <w:sz w:val="21"/>
                <w:szCs w:val="21"/>
                <w:lang w:val="lt-LT"/>
              </w:rPr>
            </w:pPr>
            <w:r w:rsidRPr="00FE1874">
              <w:rPr>
                <w:rFonts w:cs="Times New Roman"/>
                <w:noProof/>
                <w:sz w:val="21"/>
                <w:szCs w:val="21"/>
                <w:lang w:val="lt-LT"/>
              </w:rPr>
              <w:t>Nėra – 0 balų.</w:t>
            </w:r>
          </w:p>
          <w:p w14:paraId="5C8F865A" w14:textId="4E506AA2" w:rsidR="0048571A" w:rsidRPr="00FE1874" w:rsidRDefault="0048571A" w:rsidP="000D254B">
            <w:pPr>
              <w:pStyle w:val="Body2"/>
              <w:pBdr>
                <w:top w:val="none" w:sz="0" w:space="0" w:color="auto"/>
                <w:left w:val="none" w:sz="0" w:space="0" w:color="auto"/>
                <w:bottom w:val="none" w:sz="0" w:space="0" w:color="auto"/>
                <w:right w:val="none" w:sz="0" w:space="0" w:color="auto"/>
                <w:between w:val="none" w:sz="0" w:space="0" w:color="auto"/>
                <w:bar w:val="none" w:sz="0" w:color="auto"/>
              </w:pBdr>
              <w:ind w:left="360"/>
              <w:jc w:val="left"/>
              <w:rPr>
                <w:rFonts w:cs="Times New Roman"/>
                <w:noProof/>
                <w:sz w:val="21"/>
                <w:szCs w:val="21"/>
                <w:lang w:val="lt-LT"/>
              </w:rPr>
            </w:pPr>
          </w:p>
        </w:tc>
      </w:tr>
    </w:tbl>
    <w:p w14:paraId="7FB9D5A3" w14:textId="77777777" w:rsidR="00B955F5" w:rsidRDefault="00B955F5" w:rsidP="006C550C">
      <w:pPr>
        <w:ind w:left="360"/>
        <w:rPr>
          <w:sz w:val="22"/>
          <w:szCs w:val="22"/>
          <w:lang w:val="lt-LT"/>
        </w:rPr>
      </w:pPr>
    </w:p>
    <w:p w14:paraId="66B2763C" w14:textId="26B41211" w:rsidR="006C550C" w:rsidRPr="004A05D0" w:rsidRDefault="004A05D0" w:rsidP="004A05D0">
      <w:pPr>
        <w:pStyle w:val="Heading"/>
        <w:tabs>
          <w:tab w:val="left" w:pos="567"/>
        </w:tabs>
        <w:rPr>
          <w:color w:val="auto"/>
          <w:lang w:val="lt-LT"/>
        </w:rPr>
      </w:pPr>
      <w:r>
        <w:rPr>
          <w:color w:val="auto"/>
          <w:lang w:val="lt-LT"/>
        </w:rPr>
        <w:t xml:space="preserve">          </w:t>
      </w:r>
      <w:r w:rsidR="006C550C" w:rsidRPr="004A05D0">
        <w:rPr>
          <w:color w:val="auto"/>
          <w:lang w:val="lt-LT"/>
        </w:rPr>
        <w:t xml:space="preserve">4. Informavimas APIE VERTINIMO REZULTATUS </w:t>
      </w:r>
    </w:p>
    <w:p w14:paraId="676ED661" w14:textId="77777777" w:rsidR="006C550C" w:rsidRPr="004A05D0" w:rsidRDefault="006C550C" w:rsidP="006C550C">
      <w:pPr>
        <w:pStyle w:val="Heading"/>
        <w:rPr>
          <w:color w:val="auto"/>
          <w:lang w:val="lt-LT"/>
        </w:rPr>
      </w:pPr>
    </w:p>
    <w:p w14:paraId="22232760" w14:textId="40DFD15B" w:rsidR="006C550C" w:rsidRPr="00846598" w:rsidRDefault="004A05D0" w:rsidP="004A05D0">
      <w:pPr>
        <w:pStyle w:val="Body2"/>
        <w:tabs>
          <w:tab w:val="left" w:pos="567"/>
        </w:tabs>
        <w:rPr>
          <w:color w:val="auto"/>
          <w:sz w:val="21"/>
          <w:szCs w:val="21"/>
          <w:lang w:val="lt-LT"/>
        </w:rPr>
      </w:pPr>
      <w:r>
        <w:rPr>
          <w:color w:val="auto"/>
          <w:lang w:val="lt-LT"/>
        </w:rPr>
        <w:t xml:space="preserve">         </w:t>
      </w:r>
      <w:r w:rsidR="006C550C" w:rsidRPr="00846598">
        <w:rPr>
          <w:color w:val="auto"/>
          <w:sz w:val="21"/>
          <w:szCs w:val="21"/>
          <w:lang w:val="lt-LT"/>
        </w:rPr>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p w14:paraId="39AA4313" w14:textId="77777777" w:rsidR="006C550C" w:rsidRPr="00846598" w:rsidRDefault="006C550C" w:rsidP="006C550C">
      <w:pPr>
        <w:pBdr>
          <w:top w:val="none" w:sz="0" w:space="0" w:color="auto"/>
        </w:pBdr>
        <w:ind w:left="360"/>
        <w:jc w:val="center"/>
        <w:rPr>
          <w:sz w:val="21"/>
          <w:szCs w:val="21"/>
          <w:lang w:val="lt-LT"/>
        </w:rPr>
      </w:pPr>
    </w:p>
    <w:sectPr w:rsidR="006C550C" w:rsidRPr="00846598" w:rsidSect="00C90A04">
      <w:pgSz w:w="11900" w:h="16840"/>
      <w:pgMar w:top="567" w:right="701" w:bottom="142" w:left="120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4344"/>
    <w:multiLevelType w:val="hybridMultilevel"/>
    <w:tmpl w:val="B8947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77E3BA7"/>
    <w:multiLevelType w:val="hybridMultilevel"/>
    <w:tmpl w:val="9F60BA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380D7F73"/>
    <w:multiLevelType w:val="hybridMultilevel"/>
    <w:tmpl w:val="BED20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4D847B3"/>
    <w:multiLevelType w:val="hybridMultilevel"/>
    <w:tmpl w:val="D3EEC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8971DE2"/>
    <w:multiLevelType w:val="hybridMultilevel"/>
    <w:tmpl w:val="BF5E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0C"/>
    <w:rsid w:val="00027F0A"/>
    <w:rsid w:val="000B256D"/>
    <w:rsid w:val="000D1CCE"/>
    <w:rsid w:val="000D254B"/>
    <w:rsid w:val="000E04DE"/>
    <w:rsid w:val="001071A9"/>
    <w:rsid w:val="00130C78"/>
    <w:rsid w:val="00136BD3"/>
    <w:rsid w:val="0018293F"/>
    <w:rsid w:val="001B2EB3"/>
    <w:rsid w:val="0024424A"/>
    <w:rsid w:val="00273C9A"/>
    <w:rsid w:val="002B7479"/>
    <w:rsid w:val="002F43B4"/>
    <w:rsid w:val="00307499"/>
    <w:rsid w:val="00317A78"/>
    <w:rsid w:val="00374B90"/>
    <w:rsid w:val="00440F38"/>
    <w:rsid w:val="004454C2"/>
    <w:rsid w:val="0048571A"/>
    <w:rsid w:val="004A05D0"/>
    <w:rsid w:val="004E2AEE"/>
    <w:rsid w:val="005153A8"/>
    <w:rsid w:val="00530056"/>
    <w:rsid w:val="005E0787"/>
    <w:rsid w:val="00620700"/>
    <w:rsid w:val="006330F0"/>
    <w:rsid w:val="006A0914"/>
    <w:rsid w:val="006C550C"/>
    <w:rsid w:val="00755F6D"/>
    <w:rsid w:val="00764F04"/>
    <w:rsid w:val="00793B86"/>
    <w:rsid w:val="007A0854"/>
    <w:rsid w:val="007D3415"/>
    <w:rsid w:val="00841BAC"/>
    <w:rsid w:val="00846598"/>
    <w:rsid w:val="00874708"/>
    <w:rsid w:val="009150DF"/>
    <w:rsid w:val="00985C0C"/>
    <w:rsid w:val="009B1E86"/>
    <w:rsid w:val="00A505D8"/>
    <w:rsid w:val="00AB4A13"/>
    <w:rsid w:val="00B64FAD"/>
    <w:rsid w:val="00B955F5"/>
    <w:rsid w:val="00BF6494"/>
    <w:rsid w:val="00C043FC"/>
    <w:rsid w:val="00C17409"/>
    <w:rsid w:val="00C90A04"/>
    <w:rsid w:val="00C95BC2"/>
    <w:rsid w:val="00D22854"/>
    <w:rsid w:val="00D55B6B"/>
    <w:rsid w:val="00DB46F4"/>
    <w:rsid w:val="00E14A78"/>
    <w:rsid w:val="00E878EE"/>
    <w:rsid w:val="00F00FA4"/>
    <w:rsid w:val="00F16CA1"/>
    <w:rsid w:val="00F3579B"/>
    <w:rsid w:val="00FE1874"/>
    <w:rsid w:val="00FF1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C5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6C5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6C55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E86"/>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alloonText">
    <w:name w:val="Balloon Text"/>
    <w:basedOn w:val="Normal"/>
    <w:link w:val="BalloonTextChar"/>
    <w:uiPriority w:val="99"/>
    <w:semiHidden/>
    <w:unhideWhenUsed/>
    <w:rsid w:val="00755F6D"/>
    <w:rPr>
      <w:rFonts w:ascii="Tahoma" w:hAnsi="Tahoma" w:cs="Tahoma"/>
      <w:sz w:val="16"/>
      <w:szCs w:val="16"/>
    </w:rPr>
  </w:style>
  <w:style w:type="character" w:customStyle="1" w:styleId="BalloonTextChar">
    <w:name w:val="Balloon Text Char"/>
    <w:basedOn w:val="DefaultParagraphFont"/>
    <w:link w:val="BalloonText"/>
    <w:uiPriority w:val="99"/>
    <w:semiHidden/>
    <w:rsid w:val="00755F6D"/>
    <w:rPr>
      <w:rFonts w:ascii="Tahoma" w:eastAsia="Arial Unicode MS" w:hAnsi="Tahoma" w:cs="Tahoma"/>
      <w:kern w:val="0"/>
      <w:sz w:val="16"/>
      <w:szCs w:val="16"/>
      <w:bdr w:val="nil"/>
      <w:lang w:val="en-US"/>
      <w14:ligatures w14:val="none"/>
    </w:rPr>
  </w:style>
  <w:style w:type="character" w:styleId="Hyperlink">
    <w:name w:val="Hyperlink"/>
    <w:rsid w:val="00755F6D"/>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C5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6C5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6C55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6C550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E86"/>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BalloonText">
    <w:name w:val="Balloon Text"/>
    <w:basedOn w:val="Normal"/>
    <w:link w:val="BalloonTextChar"/>
    <w:uiPriority w:val="99"/>
    <w:semiHidden/>
    <w:unhideWhenUsed/>
    <w:rsid w:val="00755F6D"/>
    <w:rPr>
      <w:rFonts w:ascii="Tahoma" w:hAnsi="Tahoma" w:cs="Tahoma"/>
      <w:sz w:val="16"/>
      <w:szCs w:val="16"/>
    </w:rPr>
  </w:style>
  <w:style w:type="character" w:customStyle="1" w:styleId="BalloonTextChar">
    <w:name w:val="Balloon Text Char"/>
    <w:basedOn w:val="DefaultParagraphFont"/>
    <w:link w:val="BalloonText"/>
    <w:uiPriority w:val="99"/>
    <w:semiHidden/>
    <w:rsid w:val="00755F6D"/>
    <w:rPr>
      <w:rFonts w:ascii="Tahoma" w:eastAsia="Arial Unicode MS" w:hAnsi="Tahoma" w:cs="Tahoma"/>
      <w:kern w:val="0"/>
      <w:sz w:val="16"/>
      <w:szCs w:val="16"/>
      <w:bdr w:val="nil"/>
      <w:lang w:val="en-US"/>
      <w14:ligatures w14:val="none"/>
    </w:rPr>
  </w:style>
  <w:style w:type="character" w:styleId="Hyperlink">
    <w:name w:val="Hyperlink"/>
    <w:rsid w:val="00755F6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2042</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Jolanta Pukelienė</cp:lastModifiedBy>
  <cp:revision>5</cp:revision>
  <dcterms:created xsi:type="dcterms:W3CDTF">2025-11-10T12:08:00Z</dcterms:created>
  <dcterms:modified xsi:type="dcterms:W3CDTF">2025-11-10T12:56:00Z</dcterms:modified>
</cp:coreProperties>
</file>