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52CF5BAB" w:rsidR="00255236" w:rsidRDefault="00B53498" w:rsidP="00B53498">
      <w:pPr>
        <w:pStyle w:val="ListParagraph"/>
        <w:ind w:left="4820"/>
        <w:rPr>
          <w:rFonts w:eastAsia="Times New Roman"/>
          <w:b/>
          <w:sz w:val="20"/>
          <w:lang w:val="en-US" w:eastAsia="en-US"/>
        </w:rPr>
      </w:pPr>
      <w:r>
        <w:rPr>
          <w:b/>
        </w:rPr>
        <w:t>S</w:t>
      </w:r>
      <w:r w:rsidR="00255236">
        <w:rPr>
          <w:b/>
        </w:rPr>
        <w:t>kelbiamos apklausos dokumentų</w:t>
      </w:r>
      <w:r w:rsidR="0078141F">
        <w:rPr>
          <w:b/>
          <w:lang w:val="en-US"/>
        </w:rPr>
        <w:t xml:space="preserve"> </w:t>
      </w:r>
      <w:r>
        <w:rPr>
          <w:b/>
          <w:lang w:val="en-US"/>
        </w:rPr>
        <w:br/>
      </w:r>
      <w:r w:rsidR="0078141F">
        <w:rPr>
          <w:b/>
          <w:lang w:val="en-US"/>
        </w:rPr>
        <w:t>1</w:t>
      </w:r>
      <w:r w:rsidR="00255236">
        <w:rPr>
          <w:b/>
          <w:lang w:val="en-US"/>
        </w:rPr>
        <w:t xml:space="preserve"> </w:t>
      </w:r>
      <w:r w:rsidR="00255236">
        <w:rPr>
          <w:b/>
        </w:rPr>
        <w:t>priedas</w:t>
      </w: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18FE00C5" w14:textId="550BE2C5" w:rsidR="00FB3A0A" w:rsidRDefault="00C8564A">
      <w:pPr>
        <w:tabs>
          <w:tab w:val="center" w:pos="2520"/>
        </w:tabs>
        <w:spacing w:after="0" w:line="240" w:lineRule="auto"/>
        <w:jc w:val="both"/>
      </w:pPr>
      <w:r>
        <w:t>Lietuvos kariuomenės pėstininkų brigados „Geležinis Vilkas“ Logistikos batalionas</w:t>
      </w:r>
    </w:p>
    <w:p w14:paraId="44078518" w14:textId="77777777" w:rsidR="00C8564A" w:rsidRDefault="00C8564A">
      <w:pPr>
        <w:tabs>
          <w:tab w:val="center" w:pos="2520"/>
        </w:tabs>
        <w:spacing w:after="0" w:line="240" w:lineRule="auto"/>
        <w:jc w:val="both"/>
      </w:pPr>
      <w:bookmarkStart w:id="0" w:name="_GoBack"/>
      <w:bookmarkEnd w:id="0"/>
    </w:p>
    <w:p w14:paraId="637041CF" w14:textId="77777777" w:rsidR="007F1AEA" w:rsidRDefault="007F1AEA">
      <w:pPr>
        <w:spacing w:after="0" w:line="240" w:lineRule="auto"/>
        <w:ind w:right="-178"/>
        <w:jc w:val="center"/>
      </w:pPr>
      <w:r>
        <w:rPr>
          <w:b/>
        </w:rPr>
        <w:t xml:space="preserve">PASIŪLYMAS </w:t>
      </w:r>
    </w:p>
    <w:p w14:paraId="5BFD3267" w14:textId="77777777" w:rsidR="00B8687C" w:rsidRDefault="00F02750" w:rsidP="00B8687C">
      <w:pPr>
        <w:spacing w:after="0" w:line="240" w:lineRule="auto"/>
        <w:ind w:right="-178"/>
        <w:jc w:val="center"/>
        <w:rPr>
          <w:b/>
        </w:rPr>
      </w:pPr>
      <w:r>
        <w:rPr>
          <w:b/>
        </w:rPr>
        <w:t xml:space="preserve">DĖL </w:t>
      </w:r>
      <w:r w:rsidR="00B8687C">
        <w:rPr>
          <w:b/>
        </w:rPr>
        <w:t>TESTAVIMO ĮRANGOS KOMPLEKTO,</w:t>
      </w:r>
    </w:p>
    <w:p w14:paraId="367CC9C2" w14:textId="0A37290F" w:rsidR="00F02750" w:rsidRDefault="00B8687C" w:rsidP="00B8687C">
      <w:pPr>
        <w:spacing w:after="0" w:line="240" w:lineRule="auto"/>
        <w:ind w:right="-178"/>
        <w:jc w:val="center"/>
      </w:pPr>
      <w:r>
        <w:rPr>
          <w:b/>
        </w:rPr>
        <w:t>KONVERTAVIMO SISTEMOS SPECIALIŲJŲ ĮRANKIŲ KOMPLEKTO IR SPECIALIŲJŲ ĮRANKIŲ KOMPLEKTO (60 MM M6-895  MINOSVAIDŽIUI)</w:t>
      </w:r>
      <w:r w:rsidR="00F02750">
        <w:rPr>
          <w:b/>
        </w:rPr>
        <w:t xml:space="preserve"> </w:t>
      </w:r>
      <w:r w:rsidR="00F02750">
        <w:rPr>
          <w:b/>
          <w:caps/>
          <w:lang w:eastAsia="lt-LT"/>
        </w:rPr>
        <w:t>pirkimo</w:t>
      </w:r>
    </w:p>
    <w:p w14:paraId="6F71DAB7" w14:textId="77777777" w:rsidR="007F1AEA" w:rsidRDefault="007F1AEA">
      <w:pPr>
        <w:spacing w:after="0" w:line="240" w:lineRule="auto"/>
        <w:ind w:right="-178"/>
        <w:jc w:val="center"/>
        <w:rPr>
          <w:b/>
        </w:rPr>
      </w:pPr>
    </w:p>
    <w:p w14:paraId="7DE09889" w14:textId="069B8195" w:rsidR="007F1AEA" w:rsidRDefault="007F1AEA">
      <w:pPr>
        <w:spacing w:after="0" w:line="240" w:lineRule="auto"/>
        <w:ind w:left="3888" w:right="-178"/>
      </w:pPr>
      <w:r>
        <w:rPr>
          <w:rFonts w:eastAsia="Times New Roman"/>
        </w:rPr>
        <w:t xml:space="preserve">       </w:t>
      </w:r>
      <w:r>
        <w:t>20</w:t>
      </w:r>
      <w:r w:rsidR="00C8564A">
        <w:t>25</w:t>
      </w:r>
      <w:r w:rsidRPr="0017136D">
        <w:rPr>
          <w:color w:val="000000" w:themeColor="text1"/>
        </w:rPr>
        <w:t>-</w:t>
      </w:r>
      <w:r w:rsidR="00920A8E">
        <w:t xml:space="preserve">    </w:t>
      </w:r>
      <w:r w:rsidRPr="004D237A">
        <w:rPr>
          <w:color w:val="FF0000"/>
        </w:rPr>
        <w:t>-</w:t>
      </w:r>
      <w:r w:rsidR="00920A8E">
        <w:rPr>
          <w:color w:val="FF0000"/>
        </w:rPr>
        <w:t xml:space="preserve">     </w:t>
      </w:r>
      <w:r w:rsidRPr="004D237A">
        <w:rPr>
          <w:color w:val="FF0000"/>
        </w:rPr>
        <w:t>xx</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lastRenderedPageBreak/>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0CCE546E"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w:t>
      </w:r>
      <w:r w:rsidR="00442F5F">
        <w:rPr>
          <w:szCs w:val="24"/>
          <w:lang w:eastAsia="ar-SA"/>
        </w:rPr>
        <w:t>pirkimo</w:t>
      </w:r>
      <w:r w:rsidRPr="00550977">
        <w:rPr>
          <w:szCs w:val="24"/>
          <w:lang w:eastAsia="ar-SA"/>
        </w:rPr>
        <w:t xml:space="preserve">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Default="00014124" w:rsidP="00137C71">
      <w:pPr>
        <w:spacing w:after="0" w:line="240" w:lineRule="auto"/>
        <w:ind w:firstLine="720"/>
        <w:jc w:val="both"/>
        <w:rPr>
          <w:szCs w:val="24"/>
          <w:lang w:eastAsia="ar-SA"/>
        </w:rPr>
      </w:pPr>
      <w:r w:rsidRPr="00550977">
        <w:rPr>
          <w:szCs w:val="24"/>
          <w:lang w:eastAsia="ar-SA"/>
        </w:rPr>
        <w:t xml:space="preserve">Suprantame, kad išaiškėjus aukščiau nurodytoms aplinkybėms būsime pašalinti iš šio </w:t>
      </w:r>
      <w:r w:rsidR="00442F5F">
        <w:rPr>
          <w:szCs w:val="24"/>
          <w:lang w:eastAsia="ar-SA"/>
        </w:rPr>
        <w:t xml:space="preserve">pirkimo </w:t>
      </w:r>
      <w:r w:rsidRPr="00550977">
        <w:rPr>
          <w:szCs w:val="24"/>
          <w:lang w:eastAsia="ar-SA"/>
        </w:rPr>
        <w:t>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974"/>
        <w:gridCol w:w="2409"/>
        <w:gridCol w:w="1419"/>
        <w:gridCol w:w="1133"/>
        <w:gridCol w:w="857"/>
        <w:gridCol w:w="1133"/>
      </w:tblGrid>
      <w:tr w:rsidR="007B67C8" w:rsidRPr="00BE4AF7" w14:paraId="52853715" w14:textId="77777777" w:rsidTr="00362C07">
        <w:trPr>
          <w:trHeight w:val="600"/>
        </w:trPr>
        <w:tc>
          <w:tcPr>
            <w:tcW w:w="303" w:type="pct"/>
            <w:shd w:val="clear" w:color="auto" w:fill="auto"/>
            <w:vAlign w:val="center"/>
            <w:hideMark/>
          </w:tcPr>
          <w:p w14:paraId="04322EC7" w14:textId="77777777" w:rsidR="007B67C8" w:rsidRPr="00BE4AF7" w:rsidRDefault="007B67C8"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039" w:type="pct"/>
            <w:shd w:val="clear" w:color="auto" w:fill="auto"/>
            <w:vAlign w:val="center"/>
            <w:hideMark/>
          </w:tcPr>
          <w:p w14:paraId="14392B4A" w14:textId="77777777" w:rsidR="007B67C8" w:rsidRPr="00BE4AF7" w:rsidRDefault="007B67C8"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268" w:type="pct"/>
            <w:vAlign w:val="center"/>
          </w:tcPr>
          <w:p w14:paraId="372F6B3C" w14:textId="3B00B947" w:rsidR="007B67C8" w:rsidRDefault="007B67C8"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w:t>
            </w:r>
            <w:r w:rsidRPr="00437B3E">
              <w:rPr>
                <w:rFonts w:eastAsia="Times New Roman"/>
                <w:b/>
                <w:szCs w:val="24"/>
                <w:highlight w:val="yellow"/>
                <w:lang w:eastAsia="lt-LT"/>
              </w:rPr>
              <w:t>modelis – pilnas pavadinimas (žymėjimas su visais skaičiais ir raidėmis)</w:t>
            </w:r>
            <w:r>
              <w:rPr>
                <w:rFonts w:eastAsia="Times New Roman"/>
                <w:b/>
                <w:szCs w:val="24"/>
                <w:lang w:eastAsia="lt-LT"/>
              </w:rPr>
              <w:t xml:space="preserve"> bei nuoroda į gamintojo katalogą</w:t>
            </w:r>
          </w:p>
          <w:p w14:paraId="245CEB9B" w14:textId="7B6F27E8" w:rsidR="007B67C8" w:rsidRPr="0086552C" w:rsidRDefault="007B67C8" w:rsidP="00A71F25">
            <w:pPr>
              <w:spacing w:after="0" w:line="240" w:lineRule="auto"/>
              <w:jc w:val="center"/>
              <w:rPr>
                <w:rFonts w:eastAsia="Times New Roman"/>
                <w:b/>
                <w:szCs w:val="24"/>
                <w:lang w:eastAsia="lt-LT"/>
              </w:rPr>
            </w:pPr>
            <w:r w:rsidRPr="0086552C">
              <w:rPr>
                <w:rFonts w:eastAsia="Times New Roman"/>
                <w:b/>
                <w:i/>
                <w:szCs w:val="24"/>
                <w:lang w:eastAsia="lt-LT"/>
              </w:rPr>
              <w:t xml:space="preserve"> </w:t>
            </w:r>
            <w:r w:rsidRPr="0086552C">
              <w:rPr>
                <w:rFonts w:eastAsia="Times New Roman"/>
                <w:b/>
                <w:i/>
                <w:szCs w:val="24"/>
                <w:highlight w:val="cyan"/>
                <w:lang w:eastAsia="lt-LT"/>
              </w:rPr>
              <w:t>(pildo tiekėjas)</w:t>
            </w:r>
          </w:p>
        </w:tc>
        <w:tc>
          <w:tcPr>
            <w:tcW w:w="747" w:type="pct"/>
            <w:vAlign w:val="center"/>
          </w:tcPr>
          <w:p w14:paraId="69B07F8C" w14:textId="77777777" w:rsidR="007B67C8" w:rsidRDefault="007B67C8" w:rsidP="00920A8E">
            <w:pPr>
              <w:spacing w:after="0" w:line="240" w:lineRule="auto"/>
              <w:jc w:val="center"/>
              <w:rPr>
                <w:rFonts w:eastAsia="Times New Roman"/>
                <w:b/>
                <w:szCs w:val="24"/>
                <w:lang w:eastAsia="lt-LT"/>
              </w:rPr>
            </w:pPr>
            <w:r>
              <w:rPr>
                <w:rFonts w:eastAsia="Times New Roman"/>
                <w:b/>
                <w:szCs w:val="24"/>
                <w:lang w:eastAsia="lt-LT"/>
              </w:rPr>
              <w:t>P</w:t>
            </w:r>
            <w:r w:rsidRPr="00442F5F">
              <w:rPr>
                <w:rFonts w:eastAsia="Times New Roman"/>
                <w:b/>
                <w:szCs w:val="24"/>
                <w:lang w:eastAsia="lt-LT"/>
              </w:rPr>
              <w:t xml:space="preserve">rekių kiekis </w:t>
            </w:r>
          </w:p>
          <w:p w14:paraId="4B042839" w14:textId="655A422F" w:rsidR="00920A8E" w:rsidRPr="00BE4AF7" w:rsidRDefault="00E31B38" w:rsidP="00920A8E">
            <w:pPr>
              <w:spacing w:after="0" w:line="240" w:lineRule="auto"/>
              <w:jc w:val="center"/>
              <w:rPr>
                <w:rFonts w:eastAsia="Times New Roman"/>
                <w:b/>
                <w:szCs w:val="24"/>
                <w:lang w:eastAsia="lt-LT"/>
              </w:rPr>
            </w:pPr>
            <w:proofErr w:type="spellStart"/>
            <w:r>
              <w:rPr>
                <w:rFonts w:eastAsia="Times New Roman"/>
                <w:b/>
                <w:szCs w:val="24"/>
                <w:lang w:eastAsia="lt-LT"/>
              </w:rPr>
              <w:t>kompl</w:t>
            </w:r>
            <w:proofErr w:type="spellEnd"/>
            <w:r w:rsidR="00920A8E">
              <w:rPr>
                <w:rFonts w:eastAsia="Times New Roman"/>
                <w:b/>
                <w:szCs w:val="24"/>
                <w:lang w:eastAsia="lt-LT"/>
              </w:rPr>
              <w:t>.</w:t>
            </w:r>
          </w:p>
        </w:tc>
        <w:tc>
          <w:tcPr>
            <w:tcW w:w="596" w:type="pct"/>
            <w:shd w:val="clear" w:color="auto" w:fill="auto"/>
            <w:vAlign w:val="center"/>
            <w:hideMark/>
          </w:tcPr>
          <w:p w14:paraId="7987E0DB" w14:textId="1206FED2" w:rsidR="007B67C8" w:rsidRPr="00BE4AF7" w:rsidRDefault="00920A8E" w:rsidP="00920A8E">
            <w:pPr>
              <w:spacing w:after="0" w:line="240" w:lineRule="auto"/>
              <w:jc w:val="center"/>
              <w:rPr>
                <w:rFonts w:eastAsia="Times New Roman"/>
                <w:b/>
                <w:szCs w:val="24"/>
                <w:lang w:eastAsia="lt-LT"/>
              </w:rPr>
            </w:pPr>
            <w:r>
              <w:rPr>
                <w:rFonts w:eastAsia="Times New Roman"/>
                <w:b/>
                <w:szCs w:val="24"/>
                <w:lang w:eastAsia="lt-LT"/>
              </w:rPr>
              <w:t>Kaina</w:t>
            </w:r>
            <w:r w:rsidR="007B67C8">
              <w:rPr>
                <w:rFonts w:eastAsia="Times New Roman"/>
                <w:b/>
                <w:szCs w:val="24"/>
                <w:lang w:eastAsia="lt-LT"/>
              </w:rPr>
              <w:t xml:space="preserve"> </w:t>
            </w:r>
            <w:proofErr w:type="spellStart"/>
            <w:r w:rsidR="007B67C8" w:rsidRPr="00BE4AF7">
              <w:rPr>
                <w:rFonts w:eastAsia="Times New Roman"/>
                <w:b/>
                <w:szCs w:val="24"/>
                <w:lang w:eastAsia="lt-LT"/>
              </w:rPr>
              <w:t>Eur</w:t>
            </w:r>
            <w:proofErr w:type="spellEnd"/>
            <w:r w:rsidR="007B67C8" w:rsidRPr="00BE4AF7">
              <w:rPr>
                <w:rFonts w:eastAsia="Times New Roman"/>
                <w:b/>
                <w:szCs w:val="24"/>
                <w:lang w:eastAsia="lt-LT"/>
              </w:rPr>
              <w:t xml:space="preserve"> be PVM</w:t>
            </w:r>
            <w:r w:rsidR="007B67C8">
              <w:rPr>
                <w:rStyle w:val="FootnoteReference"/>
                <w:rFonts w:eastAsia="Times New Roman"/>
                <w:b/>
                <w:szCs w:val="24"/>
                <w:lang w:eastAsia="lt-LT"/>
              </w:rPr>
              <w:footnoteReference w:id="1"/>
            </w:r>
          </w:p>
        </w:tc>
        <w:tc>
          <w:tcPr>
            <w:tcW w:w="451" w:type="pct"/>
          </w:tcPr>
          <w:p w14:paraId="5EEC2CB0" w14:textId="77777777" w:rsidR="007B67C8" w:rsidRDefault="007B67C8" w:rsidP="007B67C8">
            <w:pPr>
              <w:spacing w:after="0" w:line="240" w:lineRule="auto"/>
              <w:jc w:val="center"/>
              <w:rPr>
                <w:rFonts w:eastAsia="Times New Roman"/>
                <w:b/>
                <w:szCs w:val="24"/>
                <w:lang w:eastAsia="lt-LT"/>
              </w:rPr>
            </w:pPr>
          </w:p>
          <w:p w14:paraId="257B5626" w14:textId="77777777" w:rsidR="007B67C8" w:rsidRDefault="007B67C8" w:rsidP="007B67C8">
            <w:pPr>
              <w:spacing w:after="0" w:line="240" w:lineRule="auto"/>
              <w:jc w:val="center"/>
              <w:rPr>
                <w:rFonts w:eastAsia="Times New Roman"/>
                <w:b/>
                <w:szCs w:val="24"/>
                <w:lang w:eastAsia="lt-LT"/>
              </w:rPr>
            </w:pPr>
          </w:p>
          <w:p w14:paraId="07A4AD1A" w14:textId="77777777" w:rsidR="007B67C8" w:rsidRDefault="007B67C8" w:rsidP="007B67C8">
            <w:pPr>
              <w:spacing w:after="0" w:line="240" w:lineRule="auto"/>
              <w:jc w:val="center"/>
              <w:rPr>
                <w:rFonts w:eastAsia="Times New Roman"/>
                <w:b/>
                <w:szCs w:val="24"/>
                <w:lang w:eastAsia="lt-LT"/>
              </w:rPr>
            </w:pPr>
          </w:p>
          <w:p w14:paraId="6A14BFE0" w14:textId="4DEBF375" w:rsidR="007B67C8" w:rsidRDefault="007B67C8" w:rsidP="007B67C8">
            <w:pPr>
              <w:spacing w:after="0" w:line="240" w:lineRule="auto"/>
              <w:jc w:val="center"/>
              <w:rPr>
                <w:rFonts w:eastAsia="Times New Roman"/>
                <w:b/>
                <w:szCs w:val="24"/>
                <w:lang w:eastAsia="lt-LT"/>
              </w:rPr>
            </w:pPr>
            <w:r>
              <w:rPr>
                <w:rFonts w:eastAsia="Times New Roman"/>
                <w:b/>
                <w:szCs w:val="24"/>
                <w:lang w:eastAsia="lt-LT"/>
              </w:rPr>
              <w:t xml:space="preserve">PVM suma </w:t>
            </w:r>
            <w:proofErr w:type="spellStart"/>
            <w:r>
              <w:rPr>
                <w:rFonts w:eastAsia="Times New Roman"/>
                <w:b/>
                <w:szCs w:val="24"/>
                <w:lang w:eastAsia="lt-LT"/>
              </w:rPr>
              <w:t>Eur</w:t>
            </w:r>
            <w:proofErr w:type="spellEnd"/>
          </w:p>
        </w:tc>
        <w:tc>
          <w:tcPr>
            <w:tcW w:w="596" w:type="pct"/>
            <w:vAlign w:val="center"/>
          </w:tcPr>
          <w:p w14:paraId="20BC1C01" w14:textId="47BA0687" w:rsidR="007B67C8" w:rsidRPr="00BE4AF7" w:rsidRDefault="00920A8E" w:rsidP="007B67C8">
            <w:pPr>
              <w:tabs>
                <w:tab w:val="left" w:pos="321"/>
              </w:tabs>
              <w:spacing w:after="0" w:line="240" w:lineRule="auto"/>
              <w:jc w:val="center"/>
              <w:rPr>
                <w:rFonts w:eastAsia="Times New Roman"/>
                <w:b/>
                <w:szCs w:val="24"/>
                <w:lang w:eastAsia="lt-LT"/>
              </w:rPr>
            </w:pPr>
            <w:r>
              <w:rPr>
                <w:rFonts w:eastAsia="Times New Roman"/>
                <w:b/>
                <w:szCs w:val="24"/>
                <w:lang w:eastAsia="lt-LT"/>
              </w:rPr>
              <w:t>Kaina</w:t>
            </w:r>
            <w:r w:rsidR="007B67C8">
              <w:rPr>
                <w:rFonts w:eastAsia="Times New Roman"/>
                <w:b/>
                <w:szCs w:val="24"/>
                <w:lang w:eastAsia="lt-LT"/>
              </w:rPr>
              <w:t xml:space="preserve"> </w:t>
            </w:r>
            <w:proofErr w:type="spellStart"/>
            <w:r w:rsidR="007B67C8" w:rsidRPr="00BE4AF7">
              <w:rPr>
                <w:rFonts w:eastAsia="Times New Roman"/>
                <w:b/>
                <w:szCs w:val="24"/>
                <w:lang w:eastAsia="lt-LT"/>
              </w:rPr>
              <w:t>Eur</w:t>
            </w:r>
            <w:proofErr w:type="spellEnd"/>
            <w:r w:rsidR="007B67C8" w:rsidRPr="00BE4AF7">
              <w:rPr>
                <w:rFonts w:eastAsia="Times New Roman"/>
                <w:b/>
                <w:szCs w:val="24"/>
                <w:lang w:eastAsia="lt-LT"/>
              </w:rPr>
              <w:t xml:space="preserve"> </w:t>
            </w:r>
            <w:r w:rsidR="007B67C8">
              <w:rPr>
                <w:rFonts w:eastAsia="Times New Roman"/>
                <w:b/>
                <w:szCs w:val="24"/>
                <w:lang w:eastAsia="lt-LT"/>
              </w:rPr>
              <w:t xml:space="preserve">su </w:t>
            </w:r>
            <w:r w:rsidR="007B67C8" w:rsidRPr="00BE4AF7">
              <w:rPr>
                <w:rFonts w:eastAsia="Times New Roman"/>
                <w:b/>
                <w:szCs w:val="24"/>
                <w:lang w:eastAsia="lt-LT"/>
              </w:rPr>
              <w:t>PVM</w:t>
            </w:r>
          </w:p>
          <w:p w14:paraId="6B8B1A84" w14:textId="21656DDF" w:rsidR="007B67C8" w:rsidRPr="00BE4AF7" w:rsidRDefault="007B67C8" w:rsidP="00A71F25">
            <w:pPr>
              <w:spacing w:after="0" w:line="240" w:lineRule="auto"/>
              <w:jc w:val="center"/>
              <w:rPr>
                <w:rFonts w:eastAsia="Times New Roman"/>
                <w:b/>
                <w:szCs w:val="24"/>
                <w:lang w:eastAsia="lt-LT"/>
              </w:rPr>
            </w:pPr>
            <w:r>
              <w:rPr>
                <w:rFonts w:eastAsia="Times New Roman"/>
                <w:b/>
                <w:szCs w:val="24"/>
                <w:lang w:eastAsia="lt-LT"/>
              </w:rPr>
              <w:t>(5+6</w:t>
            </w:r>
            <w:r w:rsidRPr="00BE4AF7">
              <w:rPr>
                <w:rFonts w:eastAsia="Times New Roman"/>
                <w:b/>
                <w:szCs w:val="24"/>
                <w:lang w:eastAsia="lt-LT"/>
              </w:rPr>
              <w:t>)</w:t>
            </w:r>
          </w:p>
        </w:tc>
      </w:tr>
      <w:tr w:rsidR="007B67C8" w:rsidRPr="00BE4AF7" w14:paraId="2BC3695A" w14:textId="77777777" w:rsidTr="00362C07">
        <w:trPr>
          <w:trHeight w:val="343"/>
        </w:trPr>
        <w:tc>
          <w:tcPr>
            <w:tcW w:w="303" w:type="pct"/>
            <w:tcBorders>
              <w:bottom w:val="single" w:sz="4" w:space="0" w:color="auto"/>
            </w:tcBorders>
            <w:shd w:val="clear" w:color="auto" w:fill="auto"/>
            <w:vAlign w:val="center"/>
          </w:tcPr>
          <w:p w14:paraId="5B9F07A7" w14:textId="77777777" w:rsidR="007B67C8" w:rsidRPr="005A2520" w:rsidRDefault="007B67C8"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039" w:type="pct"/>
            <w:tcBorders>
              <w:bottom w:val="single" w:sz="4" w:space="0" w:color="auto"/>
            </w:tcBorders>
            <w:shd w:val="clear" w:color="auto" w:fill="auto"/>
            <w:vAlign w:val="center"/>
          </w:tcPr>
          <w:p w14:paraId="7EF58880"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268" w:type="pct"/>
            <w:tcBorders>
              <w:bottom w:val="single" w:sz="4" w:space="0" w:color="auto"/>
            </w:tcBorders>
          </w:tcPr>
          <w:p w14:paraId="2C8299DA"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747" w:type="pct"/>
            <w:vAlign w:val="center"/>
          </w:tcPr>
          <w:p w14:paraId="295503B5"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596" w:type="pct"/>
            <w:shd w:val="clear" w:color="auto" w:fill="auto"/>
            <w:vAlign w:val="center"/>
          </w:tcPr>
          <w:p w14:paraId="3D7C037B"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451" w:type="pct"/>
          </w:tcPr>
          <w:p w14:paraId="7B8E20BC" w14:textId="3FF8B201" w:rsidR="007B67C8" w:rsidRPr="005A2520" w:rsidRDefault="007B67C8" w:rsidP="004011ED">
            <w:pPr>
              <w:spacing w:after="0" w:line="240" w:lineRule="auto"/>
              <w:jc w:val="center"/>
              <w:rPr>
                <w:rFonts w:eastAsia="Times New Roman"/>
                <w:b/>
                <w:szCs w:val="24"/>
                <w:lang w:eastAsia="lt-LT"/>
              </w:rPr>
            </w:pPr>
            <w:r>
              <w:rPr>
                <w:rFonts w:eastAsia="Times New Roman"/>
                <w:b/>
                <w:szCs w:val="24"/>
                <w:lang w:eastAsia="lt-LT"/>
              </w:rPr>
              <w:t>6</w:t>
            </w:r>
          </w:p>
        </w:tc>
        <w:tc>
          <w:tcPr>
            <w:tcW w:w="596" w:type="pct"/>
          </w:tcPr>
          <w:p w14:paraId="599E5F85" w14:textId="7DA2A486" w:rsidR="007B67C8" w:rsidRPr="005A2520" w:rsidRDefault="007B67C8" w:rsidP="004011ED">
            <w:pPr>
              <w:spacing w:after="0" w:line="240" w:lineRule="auto"/>
              <w:jc w:val="center"/>
              <w:rPr>
                <w:rFonts w:eastAsia="Times New Roman"/>
                <w:b/>
                <w:szCs w:val="24"/>
                <w:lang w:eastAsia="lt-LT"/>
              </w:rPr>
            </w:pPr>
            <w:r>
              <w:rPr>
                <w:rFonts w:eastAsia="Times New Roman"/>
                <w:b/>
                <w:szCs w:val="24"/>
                <w:lang w:eastAsia="lt-LT"/>
              </w:rPr>
              <w:t>7</w:t>
            </w:r>
          </w:p>
        </w:tc>
      </w:tr>
      <w:tr w:rsidR="00362C07" w:rsidRPr="0092274F" w14:paraId="2D23940F" w14:textId="77777777" w:rsidTr="00362C07">
        <w:trPr>
          <w:trHeight w:val="675"/>
        </w:trPr>
        <w:tc>
          <w:tcPr>
            <w:tcW w:w="303" w:type="pct"/>
            <w:shd w:val="clear" w:color="auto" w:fill="auto"/>
            <w:vAlign w:val="center"/>
          </w:tcPr>
          <w:p w14:paraId="2DBF169B" w14:textId="77777777" w:rsidR="00362C07" w:rsidRPr="0092274F" w:rsidRDefault="00362C07" w:rsidP="002B609C">
            <w:pPr>
              <w:spacing w:after="0" w:line="240" w:lineRule="auto"/>
              <w:jc w:val="center"/>
              <w:rPr>
                <w:rFonts w:eastAsia="Times New Roman"/>
                <w:b/>
                <w:bCs/>
                <w:szCs w:val="24"/>
                <w:lang w:eastAsia="lt-LT"/>
              </w:rPr>
            </w:pPr>
            <w:r w:rsidRPr="0092274F">
              <w:rPr>
                <w:rFonts w:eastAsia="Times New Roman"/>
                <w:b/>
                <w:bCs/>
                <w:szCs w:val="24"/>
                <w:lang w:eastAsia="lt-LT"/>
              </w:rPr>
              <w:t>1.</w:t>
            </w:r>
          </w:p>
        </w:tc>
        <w:tc>
          <w:tcPr>
            <w:tcW w:w="1039" w:type="pct"/>
            <w:shd w:val="clear" w:color="auto" w:fill="auto"/>
          </w:tcPr>
          <w:p w14:paraId="16D313B9" w14:textId="77777777" w:rsidR="00362C07" w:rsidRDefault="00362C07" w:rsidP="002B609C">
            <w:pPr>
              <w:spacing w:after="0" w:line="240" w:lineRule="auto"/>
              <w:ind w:right="140"/>
              <w:jc w:val="both"/>
              <w:rPr>
                <w:rFonts w:eastAsia="Times New Roman"/>
                <w:b/>
                <w:szCs w:val="24"/>
                <w:lang w:eastAsia="lt-LT"/>
              </w:rPr>
            </w:pPr>
          </w:p>
          <w:p w14:paraId="3AA86AC3" w14:textId="77777777" w:rsidR="00362C07" w:rsidRPr="000C3409" w:rsidRDefault="00362C07" w:rsidP="002B609C">
            <w:pPr>
              <w:spacing w:after="0" w:line="240" w:lineRule="auto"/>
              <w:ind w:right="140"/>
              <w:jc w:val="both"/>
              <w:rPr>
                <w:rFonts w:eastAsia="Times New Roman"/>
                <w:b/>
                <w:szCs w:val="24"/>
                <w:lang w:eastAsia="lt-LT"/>
              </w:rPr>
            </w:pPr>
            <w:r>
              <w:rPr>
                <w:rFonts w:eastAsia="Times New Roman"/>
                <w:b/>
                <w:szCs w:val="24"/>
                <w:lang w:eastAsia="lt-LT"/>
              </w:rPr>
              <w:t>Testavimo įrangos komplektas (60 mm M6-895 minosvaidžiui)</w:t>
            </w:r>
          </w:p>
        </w:tc>
        <w:tc>
          <w:tcPr>
            <w:tcW w:w="1268" w:type="pct"/>
            <w:vAlign w:val="center"/>
          </w:tcPr>
          <w:p w14:paraId="6A148A69" w14:textId="77777777" w:rsidR="00362C07" w:rsidRPr="0092274F" w:rsidRDefault="00362C07" w:rsidP="002B609C">
            <w:pPr>
              <w:spacing w:after="0" w:line="240" w:lineRule="auto"/>
              <w:rPr>
                <w:rFonts w:eastAsia="Times New Roman"/>
                <w:b/>
                <w:bCs/>
                <w:szCs w:val="24"/>
                <w:lang w:eastAsia="lt-LT"/>
              </w:rPr>
            </w:pPr>
          </w:p>
        </w:tc>
        <w:tc>
          <w:tcPr>
            <w:tcW w:w="747" w:type="pct"/>
            <w:vAlign w:val="center"/>
          </w:tcPr>
          <w:p w14:paraId="310EDA9A" w14:textId="77777777" w:rsidR="00362C07" w:rsidRPr="0092274F" w:rsidRDefault="00362C07" w:rsidP="002B609C">
            <w:pPr>
              <w:spacing w:after="0" w:line="240" w:lineRule="auto"/>
              <w:jc w:val="center"/>
              <w:rPr>
                <w:rFonts w:eastAsia="Times New Roman"/>
                <w:b/>
                <w:szCs w:val="24"/>
                <w:lang w:eastAsia="lt-LT"/>
              </w:rPr>
            </w:pPr>
            <w:r>
              <w:rPr>
                <w:rFonts w:eastAsia="Times New Roman"/>
                <w:b/>
                <w:szCs w:val="24"/>
                <w:lang w:eastAsia="lt-LT"/>
              </w:rPr>
              <w:t>1</w:t>
            </w:r>
          </w:p>
        </w:tc>
        <w:tc>
          <w:tcPr>
            <w:tcW w:w="596" w:type="pct"/>
            <w:shd w:val="clear" w:color="auto" w:fill="auto"/>
            <w:vAlign w:val="center"/>
          </w:tcPr>
          <w:p w14:paraId="21E51479" w14:textId="77777777" w:rsidR="00362C07" w:rsidRPr="0092274F" w:rsidRDefault="00362C07" w:rsidP="002B609C">
            <w:pPr>
              <w:spacing w:after="0" w:line="240" w:lineRule="auto"/>
              <w:jc w:val="center"/>
              <w:rPr>
                <w:rFonts w:eastAsia="Times New Roman"/>
                <w:b/>
                <w:szCs w:val="24"/>
                <w:lang w:eastAsia="lt-LT"/>
              </w:rPr>
            </w:pPr>
          </w:p>
        </w:tc>
        <w:tc>
          <w:tcPr>
            <w:tcW w:w="451" w:type="pct"/>
          </w:tcPr>
          <w:p w14:paraId="6C4F2738" w14:textId="77777777" w:rsidR="00362C07" w:rsidRPr="0092274F" w:rsidRDefault="00362C07" w:rsidP="002B609C">
            <w:pPr>
              <w:spacing w:after="0" w:line="240" w:lineRule="auto"/>
              <w:jc w:val="center"/>
              <w:rPr>
                <w:rFonts w:eastAsia="Times New Roman"/>
                <w:b/>
                <w:szCs w:val="24"/>
                <w:lang w:eastAsia="lt-LT"/>
              </w:rPr>
            </w:pPr>
          </w:p>
        </w:tc>
        <w:tc>
          <w:tcPr>
            <w:tcW w:w="596" w:type="pct"/>
            <w:vAlign w:val="center"/>
          </w:tcPr>
          <w:p w14:paraId="33A07134" w14:textId="77777777" w:rsidR="00362C07" w:rsidRPr="0092274F" w:rsidRDefault="00362C07" w:rsidP="002B609C">
            <w:pPr>
              <w:spacing w:after="0" w:line="240" w:lineRule="auto"/>
              <w:jc w:val="center"/>
              <w:rPr>
                <w:rFonts w:eastAsia="Times New Roman"/>
                <w:b/>
                <w:szCs w:val="24"/>
                <w:lang w:eastAsia="lt-LT"/>
              </w:rPr>
            </w:pPr>
          </w:p>
        </w:tc>
      </w:tr>
      <w:tr w:rsidR="00362C07" w:rsidRPr="0092274F" w14:paraId="2E2F75A9" w14:textId="77777777" w:rsidTr="00362C07">
        <w:trPr>
          <w:trHeight w:val="675"/>
        </w:trPr>
        <w:tc>
          <w:tcPr>
            <w:tcW w:w="303" w:type="pct"/>
            <w:shd w:val="clear" w:color="auto" w:fill="auto"/>
            <w:vAlign w:val="center"/>
          </w:tcPr>
          <w:p w14:paraId="03D20717" w14:textId="77777777" w:rsidR="00362C07" w:rsidRPr="0092274F" w:rsidRDefault="00362C07" w:rsidP="002B609C">
            <w:pPr>
              <w:spacing w:after="0" w:line="240" w:lineRule="auto"/>
              <w:jc w:val="center"/>
              <w:rPr>
                <w:rFonts w:eastAsia="Times New Roman"/>
                <w:b/>
                <w:bCs/>
                <w:szCs w:val="24"/>
                <w:lang w:eastAsia="lt-LT"/>
              </w:rPr>
            </w:pPr>
            <w:r>
              <w:rPr>
                <w:rFonts w:eastAsia="Times New Roman"/>
                <w:b/>
                <w:bCs/>
                <w:szCs w:val="24"/>
                <w:lang w:eastAsia="lt-LT"/>
              </w:rPr>
              <w:t>2</w:t>
            </w:r>
            <w:r w:rsidRPr="0092274F">
              <w:rPr>
                <w:rFonts w:eastAsia="Times New Roman"/>
                <w:b/>
                <w:bCs/>
                <w:szCs w:val="24"/>
                <w:lang w:eastAsia="lt-LT"/>
              </w:rPr>
              <w:t>.</w:t>
            </w:r>
          </w:p>
        </w:tc>
        <w:tc>
          <w:tcPr>
            <w:tcW w:w="1039" w:type="pct"/>
            <w:shd w:val="clear" w:color="auto" w:fill="auto"/>
          </w:tcPr>
          <w:p w14:paraId="2B66AFDC" w14:textId="77777777" w:rsidR="00362C07" w:rsidRDefault="00362C07" w:rsidP="002B609C">
            <w:pPr>
              <w:spacing w:after="0" w:line="240" w:lineRule="auto"/>
              <w:ind w:right="140"/>
              <w:jc w:val="both"/>
              <w:rPr>
                <w:rFonts w:eastAsia="Times New Roman"/>
                <w:b/>
                <w:szCs w:val="24"/>
                <w:lang w:eastAsia="lt-LT"/>
              </w:rPr>
            </w:pPr>
          </w:p>
          <w:p w14:paraId="1D754EBC" w14:textId="77777777" w:rsidR="00362C07" w:rsidRPr="000C3409" w:rsidRDefault="00362C07" w:rsidP="002B609C">
            <w:pPr>
              <w:spacing w:after="0" w:line="240" w:lineRule="auto"/>
              <w:ind w:right="140"/>
              <w:jc w:val="both"/>
              <w:rPr>
                <w:rFonts w:eastAsia="Times New Roman"/>
                <w:b/>
                <w:szCs w:val="24"/>
                <w:lang w:eastAsia="lt-LT"/>
              </w:rPr>
            </w:pPr>
            <w:r>
              <w:rPr>
                <w:rFonts w:eastAsia="Times New Roman"/>
                <w:b/>
                <w:szCs w:val="24"/>
                <w:lang w:eastAsia="lt-LT"/>
              </w:rPr>
              <w:t>Konvertavimo sistemos specialiųjų įrankių komplektas (60 mm M6-895 minosvaidžiui)</w:t>
            </w:r>
          </w:p>
        </w:tc>
        <w:tc>
          <w:tcPr>
            <w:tcW w:w="1268" w:type="pct"/>
            <w:vAlign w:val="center"/>
          </w:tcPr>
          <w:p w14:paraId="385A4489" w14:textId="77777777" w:rsidR="00362C07" w:rsidRPr="0092274F" w:rsidRDefault="00362C07" w:rsidP="002B609C">
            <w:pPr>
              <w:spacing w:after="0" w:line="240" w:lineRule="auto"/>
              <w:rPr>
                <w:rFonts w:eastAsia="Times New Roman"/>
                <w:b/>
                <w:bCs/>
                <w:szCs w:val="24"/>
                <w:lang w:eastAsia="lt-LT"/>
              </w:rPr>
            </w:pPr>
          </w:p>
        </w:tc>
        <w:tc>
          <w:tcPr>
            <w:tcW w:w="747" w:type="pct"/>
            <w:vAlign w:val="center"/>
          </w:tcPr>
          <w:p w14:paraId="7A04051F" w14:textId="77777777" w:rsidR="00362C07" w:rsidRPr="0092274F" w:rsidRDefault="00362C07" w:rsidP="002B609C">
            <w:pPr>
              <w:spacing w:after="0" w:line="240" w:lineRule="auto"/>
              <w:jc w:val="center"/>
              <w:rPr>
                <w:rFonts w:eastAsia="Times New Roman"/>
                <w:b/>
                <w:szCs w:val="24"/>
                <w:lang w:eastAsia="lt-LT"/>
              </w:rPr>
            </w:pPr>
            <w:r>
              <w:rPr>
                <w:rFonts w:eastAsia="Times New Roman"/>
                <w:b/>
                <w:szCs w:val="24"/>
                <w:lang w:eastAsia="lt-LT"/>
              </w:rPr>
              <w:t>1</w:t>
            </w:r>
          </w:p>
        </w:tc>
        <w:tc>
          <w:tcPr>
            <w:tcW w:w="596" w:type="pct"/>
            <w:shd w:val="clear" w:color="auto" w:fill="auto"/>
            <w:vAlign w:val="center"/>
          </w:tcPr>
          <w:p w14:paraId="07456FCD" w14:textId="77777777" w:rsidR="00362C07" w:rsidRPr="0092274F" w:rsidRDefault="00362C07" w:rsidP="002B609C">
            <w:pPr>
              <w:spacing w:after="0" w:line="240" w:lineRule="auto"/>
              <w:jc w:val="center"/>
              <w:rPr>
                <w:rFonts w:eastAsia="Times New Roman"/>
                <w:b/>
                <w:szCs w:val="24"/>
                <w:lang w:eastAsia="lt-LT"/>
              </w:rPr>
            </w:pPr>
          </w:p>
        </w:tc>
        <w:tc>
          <w:tcPr>
            <w:tcW w:w="451" w:type="pct"/>
          </w:tcPr>
          <w:p w14:paraId="0DDEB091" w14:textId="77777777" w:rsidR="00362C07" w:rsidRPr="0092274F" w:rsidRDefault="00362C07" w:rsidP="002B609C">
            <w:pPr>
              <w:spacing w:after="0" w:line="240" w:lineRule="auto"/>
              <w:jc w:val="center"/>
              <w:rPr>
                <w:rFonts w:eastAsia="Times New Roman"/>
                <w:b/>
                <w:szCs w:val="24"/>
                <w:lang w:eastAsia="lt-LT"/>
              </w:rPr>
            </w:pPr>
          </w:p>
        </w:tc>
        <w:tc>
          <w:tcPr>
            <w:tcW w:w="596" w:type="pct"/>
            <w:vAlign w:val="center"/>
          </w:tcPr>
          <w:p w14:paraId="33285AC8" w14:textId="77777777" w:rsidR="00362C07" w:rsidRPr="0092274F" w:rsidRDefault="00362C07" w:rsidP="002B609C">
            <w:pPr>
              <w:spacing w:after="0" w:line="240" w:lineRule="auto"/>
              <w:jc w:val="center"/>
              <w:rPr>
                <w:rFonts w:eastAsia="Times New Roman"/>
                <w:b/>
                <w:szCs w:val="24"/>
                <w:lang w:eastAsia="lt-LT"/>
              </w:rPr>
            </w:pPr>
          </w:p>
        </w:tc>
      </w:tr>
      <w:tr w:rsidR="007B67C8" w:rsidRPr="0092274F" w14:paraId="4F5815F2" w14:textId="77777777" w:rsidTr="00362C07">
        <w:trPr>
          <w:trHeight w:val="675"/>
        </w:trPr>
        <w:tc>
          <w:tcPr>
            <w:tcW w:w="303" w:type="pct"/>
            <w:shd w:val="clear" w:color="auto" w:fill="auto"/>
            <w:vAlign w:val="center"/>
          </w:tcPr>
          <w:p w14:paraId="02AD7B17" w14:textId="0E837529" w:rsidR="007B67C8" w:rsidRPr="0092274F" w:rsidRDefault="00362C07" w:rsidP="00442F5F">
            <w:pPr>
              <w:spacing w:after="0" w:line="240" w:lineRule="auto"/>
              <w:jc w:val="center"/>
              <w:rPr>
                <w:rFonts w:eastAsia="Times New Roman"/>
                <w:b/>
                <w:bCs/>
                <w:szCs w:val="24"/>
                <w:lang w:eastAsia="lt-LT"/>
              </w:rPr>
            </w:pPr>
            <w:r>
              <w:rPr>
                <w:rFonts w:eastAsia="Times New Roman"/>
                <w:b/>
                <w:bCs/>
                <w:szCs w:val="24"/>
                <w:lang w:eastAsia="lt-LT"/>
              </w:rPr>
              <w:t>3</w:t>
            </w:r>
            <w:r w:rsidR="007B67C8" w:rsidRPr="0092274F">
              <w:rPr>
                <w:rFonts w:eastAsia="Times New Roman"/>
                <w:b/>
                <w:bCs/>
                <w:szCs w:val="24"/>
                <w:lang w:eastAsia="lt-LT"/>
              </w:rPr>
              <w:t>.</w:t>
            </w:r>
          </w:p>
        </w:tc>
        <w:tc>
          <w:tcPr>
            <w:tcW w:w="1039" w:type="pct"/>
            <w:shd w:val="clear" w:color="auto" w:fill="auto"/>
          </w:tcPr>
          <w:p w14:paraId="362C0C7B" w14:textId="77777777" w:rsidR="00CC4CDB" w:rsidRDefault="00CC4CDB" w:rsidP="00B45382">
            <w:pPr>
              <w:spacing w:after="0" w:line="240" w:lineRule="auto"/>
              <w:ind w:right="140"/>
              <w:jc w:val="both"/>
              <w:rPr>
                <w:rFonts w:eastAsia="Times New Roman"/>
                <w:b/>
                <w:szCs w:val="24"/>
                <w:lang w:eastAsia="lt-LT"/>
              </w:rPr>
            </w:pPr>
          </w:p>
          <w:p w14:paraId="5457C937" w14:textId="66699392" w:rsidR="00CC4CDB" w:rsidRPr="000C3409" w:rsidRDefault="00362C07" w:rsidP="00362C07">
            <w:pPr>
              <w:spacing w:after="0" w:line="240" w:lineRule="auto"/>
              <w:ind w:right="140"/>
              <w:jc w:val="both"/>
              <w:rPr>
                <w:rFonts w:eastAsia="Times New Roman"/>
                <w:b/>
                <w:szCs w:val="24"/>
                <w:lang w:eastAsia="lt-LT"/>
              </w:rPr>
            </w:pPr>
            <w:r>
              <w:rPr>
                <w:rFonts w:eastAsia="Times New Roman"/>
                <w:b/>
                <w:szCs w:val="24"/>
                <w:lang w:eastAsia="lt-LT"/>
              </w:rPr>
              <w:t>Specialiųjų įrankių komplektas (60 mm M6-895 minosvaidžiui)</w:t>
            </w:r>
          </w:p>
        </w:tc>
        <w:tc>
          <w:tcPr>
            <w:tcW w:w="1268" w:type="pct"/>
            <w:vAlign w:val="center"/>
          </w:tcPr>
          <w:p w14:paraId="46CF3519" w14:textId="0A075E16" w:rsidR="007B67C8" w:rsidRPr="0092274F" w:rsidRDefault="007B67C8" w:rsidP="00442F5F">
            <w:pPr>
              <w:spacing w:after="0" w:line="240" w:lineRule="auto"/>
              <w:rPr>
                <w:rFonts w:eastAsia="Times New Roman"/>
                <w:b/>
                <w:bCs/>
                <w:szCs w:val="24"/>
                <w:lang w:eastAsia="lt-LT"/>
              </w:rPr>
            </w:pPr>
          </w:p>
        </w:tc>
        <w:tc>
          <w:tcPr>
            <w:tcW w:w="747" w:type="pct"/>
            <w:vAlign w:val="center"/>
          </w:tcPr>
          <w:p w14:paraId="1634E311" w14:textId="542FA59A" w:rsidR="007B67C8" w:rsidRPr="0092274F" w:rsidRDefault="007B67C8" w:rsidP="00442F5F">
            <w:pPr>
              <w:spacing w:after="0" w:line="240" w:lineRule="auto"/>
              <w:jc w:val="center"/>
              <w:rPr>
                <w:rFonts w:eastAsia="Times New Roman"/>
                <w:b/>
                <w:szCs w:val="24"/>
                <w:lang w:eastAsia="lt-LT"/>
              </w:rPr>
            </w:pPr>
            <w:r>
              <w:rPr>
                <w:rFonts w:eastAsia="Times New Roman"/>
                <w:b/>
                <w:szCs w:val="24"/>
                <w:lang w:eastAsia="lt-LT"/>
              </w:rPr>
              <w:t>1</w:t>
            </w:r>
          </w:p>
        </w:tc>
        <w:tc>
          <w:tcPr>
            <w:tcW w:w="596" w:type="pct"/>
            <w:shd w:val="clear" w:color="auto" w:fill="auto"/>
            <w:vAlign w:val="center"/>
          </w:tcPr>
          <w:p w14:paraId="05F7B4A2" w14:textId="77777777" w:rsidR="007B67C8" w:rsidRPr="0092274F" w:rsidRDefault="007B67C8" w:rsidP="00442F5F">
            <w:pPr>
              <w:spacing w:after="0" w:line="240" w:lineRule="auto"/>
              <w:jc w:val="center"/>
              <w:rPr>
                <w:rFonts w:eastAsia="Times New Roman"/>
                <w:b/>
                <w:szCs w:val="24"/>
                <w:lang w:eastAsia="lt-LT"/>
              </w:rPr>
            </w:pPr>
          </w:p>
        </w:tc>
        <w:tc>
          <w:tcPr>
            <w:tcW w:w="451" w:type="pct"/>
          </w:tcPr>
          <w:p w14:paraId="654A2274" w14:textId="77777777" w:rsidR="007B67C8" w:rsidRPr="0092274F" w:rsidRDefault="007B67C8" w:rsidP="00442F5F">
            <w:pPr>
              <w:spacing w:after="0" w:line="240" w:lineRule="auto"/>
              <w:jc w:val="center"/>
              <w:rPr>
                <w:rFonts w:eastAsia="Times New Roman"/>
                <w:b/>
                <w:szCs w:val="24"/>
                <w:lang w:eastAsia="lt-LT"/>
              </w:rPr>
            </w:pPr>
          </w:p>
        </w:tc>
        <w:tc>
          <w:tcPr>
            <w:tcW w:w="596" w:type="pct"/>
            <w:vAlign w:val="center"/>
          </w:tcPr>
          <w:p w14:paraId="0AD959D6" w14:textId="168AC8E8" w:rsidR="007B67C8" w:rsidRPr="0092274F" w:rsidRDefault="007B67C8" w:rsidP="00442F5F">
            <w:pPr>
              <w:spacing w:after="0" w:line="240" w:lineRule="auto"/>
              <w:jc w:val="center"/>
              <w:rPr>
                <w:rFonts w:eastAsia="Times New Roman"/>
                <w:b/>
                <w:szCs w:val="24"/>
                <w:lang w:eastAsia="lt-LT"/>
              </w:rPr>
            </w:pPr>
          </w:p>
        </w:tc>
      </w:tr>
      <w:tr w:rsidR="00097162" w:rsidRPr="00021E5B" w14:paraId="160A0702" w14:textId="77777777" w:rsidTr="00362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303" w:type="pct"/>
          </w:tcPr>
          <w:p w14:paraId="1C942B79" w14:textId="77777777" w:rsidR="007B67C8" w:rsidRPr="00021E5B" w:rsidRDefault="007B67C8" w:rsidP="00102632">
            <w:pPr>
              <w:spacing w:before="60" w:after="60"/>
              <w:ind w:hanging="22"/>
              <w:jc w:val="center"/>
              <w:rPr>
                <w:b/>
              </w:rPr>
            </w:pPr>
          </w:p>
        </w:tc>
        <w:tc>
          <w:tcPr>
            <w:tcW w:w="1039" w:type="pct"/>
          </w:tcPr>
          <w:p w14:paraId="1C7D935E" w14:textId="77777777" w:rsidR="007B67C8" w:rsidRPr="00437B3E" w:rsidRDefault="007B67C8" w:rsidP="00437B3E">
            <w:pPr>
              <w:spacing w:before="60" w:after="60"/>
              <w:ind w:firstLine="41"/>
              <w:jc w:val="center"/>
              <w:rPr>
                <w:b/>
              </w:rPr>
            </w:pPr>
          </w:p>
        </w:tc>
        <w:tc>
          <w:tcPr>
            <w:tcW w:w="3062" w:type="pct"/>
            <w:gridSpan w:val="4"/>
            <w:vAlign w:val="center"/>
          </w:tcPr>
          <w:p w14:paraId="7B5492B3" w14:textId="0C9FCEDA" w:rsidR="007B67C8" w:rsidRPr="00437B3E" w:rsidRDefault="00920A8E" w:rsidP="00437B3E">
            <w:pPr>
              <w:spacing w:before="60" w:after="60"/>
              <w:ind w:firstLine="41"/>
              <w:jc w:val="center"/>
              <w:rPr>
                <w:b/>
              </w:rPr>
            </w:pPr>
            <w:r>
              <w:rPr>
                <w:b/>
              </w:rPr>
              <w:t xml:space="preserve">                                        Pasiūlymo </w:t>
            </w:r>
            <w:r w:rsidR="007B67C8" w:rsidRPr="00437B3E">
              <w:rPr>
                <w:b/>
              </w:rPr>
              <w:t>kaina</w:t>
            </w:r>
            <w:r w:rsidR="007B67C8">
              <w:rPr>
                <w:b/>
              </w:rPr>
              <w:t xml:space="preserve"> (</w:t>
            </w:r>
            <w:proofErr w:type="spellStart"/>
            <w:r w:rsidR="007B67C8">
              <w:rPr>
                <w:b/>
              </w:rPr>
              <w:t>E</w:t>
            </w:r>
            <w:r w:rsidR="007B67C8" w:rsidRPr="00437B3E">
              <w:rPr>
                <w:b/>
              </w:rPr>
              <w:t>ur</w:t>
            </w:r>
            <w:proofErr w:type="spellEnd"/>
            <w:r w:rsidR="007B67C8" w:rsidRPr="00437B3E">
              <w:rPr>
                <w:b/>
              </w:rPr>
              <w:t xml:space="preserve"> su PVM): </w:t>
            </w:r>
          </w:p>
        </w:tc>
        <w:tc>
          <w:tcPr>
            <w:tcW w:w="596" w:type="pct"/>
          </w:tcPr>
          <w:p w14:paraId="768CE3BF" w14:textId="77777777" w:rsidR="007B67C8" w:rsidRPr="00021E5B" w:rsidRDefault="007B67C8" w:rsidP="00102632">
            <w:pPr>
              <w:spacing w:before="60" w:after="60"/>
              <w:ind w:firstLine="41"/>
              <w:jc w:val="center"/>
            </w:pPr>
          </w:p>
        </w:tc>
      </w:tr>
    </w:tbl>
    <w:p w14:paraId="7360B8BE" w14:textId="77777777" w:rsidR="00437B3E" w:rsidRDefault="00437B3E" w:rsidP="006E14C7">
      <w:pPr>
        <w:spacing w:after="0" w:line="240" w:lineRule="auto"/>
        <w:jc w:val="center"/>
        <w:rPr>
          <w:b/>
        </w:rPr>
      </w:pPr>
    </w:p>
    <w:p w14:paraId="456AB82A" w14:textId="7680029F" w:rsidR="008E6B73" w:rsidRPr="00F538A9" w:rsidRDefault="00437B3E" w:rsidP="006E14C7">
      <w:pPr>
        <w:spacing w:after="0" w:line="240" w:lineRule="auto"/>
        <w:jc w:val="center"/>
        <w:rPr>
          <w:b/>
        </w:rPr>
      </w:pPr>
      <w:r>
        <w:rPr>
          <w:b/>
        </w:rPr>
        <w:t>P</w:t>
      </w:r>
      <w:r w:rsidR="006E14C7" w:rsidRPr="00F538A9">
        <w:rPr>
          <w:b/>
        </w:rPr>
        <w:t>asiūlymo kaina su PVM yra ________</w:t>
      </w:r>
      <w:r>
        <w:rPr>
          <w:b/>
        </w:rPr>
        <w:t>_________________________</w:t>
      </w:r>
      <w:r w:rsidR="006E14C7" w:rsidRPr="00F538A9">
        <w:rPr>
          <w:b/>
        </w:rPr>
        <w:t>eurai ___ ct (nurodoma kaina žodžiais).</w:t>
      </w:r>
    </w:p>
    <w:p w14:paraId="0226E484" w14:textId="77777777" w:rsidR="00B8230F" w:rsidRDefault="00B8230F" w:rsidP="008E6B73">
      <w:pPr>
        <w:spacing w:after="0" w:line="240" w:lineRule="auto"/>
        <w:jc w:val="both"/>
      </w:pPr>
    </w:p>
    <w:p w14:paraId="28D2DD89" w14:textId="232F8A38" w:rsidR="00637B8E" w:rsidRDefault="00637B8E" w:rsidP="00637B8E">
      <w:pPr>
        <w:spacing w:after="0" w:line="240" w:lineRule="auto"/>
        <w:jc w:val="both"/>
        <w:rPr>
          <w:szCs w:val="24"/>
          <w:lang w:eastAsia="ar-SA"/>
        </w:rPr>
      </w:pPr>
      <w:r w:rsidRPr="004D2252">
        <w:rPr>
          <w:szCs w:val="24"/>
          <w:lang w:eastAsia="ar-SA"/>
        </w:rPr>
        <w:lastRenderedPageBreak/>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1"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1"/>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32E30766" w14:textId="5893093E" w:rsidR="000C325A" w:rsidRDefault="000C325A" w:rsidP="00C0458D">
      <w:pPr>
        <w:tabs>
          <w:tab w:val="left" w:pos="1380"/>
        </w:tabs>
        <w:spacing w:after="0" w:line="240" w:lineRule="auto"/>
        <w:ind w:right="28"/>
      </w:pPr>
    </w:p>
    <w:p w14:paraId="14DCFB14" w14:textId="7B0E2D4E" w:rsidR="00464712" w:rsidRDefault="00464712" w:rsidP="00464712">
      <w:pPr>
        <w:pStyle w:val="Body2"/>
        <w:tabs>
          <w:tab w:val="left" w:pos="2127"/>
        </w:tabs>
        <w:ind w:firstLine="851"/>
        <w:rPr>
          <w:b/>
          <w:sz w:val="24"/>
          <w:szCs w:val="24"/>
          <w:highlight w:val="yellow"/>
          <w:lang w:val="lt-LT"/>
        </w:rPr>
      </w:pPr>
      <w:r w:rsidRPr="00455282">
        <w:rPr>
          <w:b/>
          <w:bCs/>
          <w:sz w:val="24"/>
          <w:szCs w:val="24"/>
          <w:highlight w:val="yellow"/>
          <w:lang w:val="lt-LT" w:eastAsia="lt-LT"/>
        </w:rPr>
        <w:t>Patvirtiname</w:t>
      </w:r>
      <w:r w:rsidRPr="00455282">
        <w:rPr>
          <w:b/>
          <w:sz w:val="24"/>
          <w:szCs w:val="24"/>
          <w:highlight w:val="yellow"/>
          <w:lang w:val="lt-LT" w:eastAsia="lt-LT"/>
        </w:rPr>
        <w:t xml:space="preserve">, kad siūloma prekė atitinka šios </w:t>
      </w:r>
      <w:r w:rsidR="00920A8E">
        <w:rPr>
          <w:b/>
          <w:sz w:val="24"/>
          <w:szCs w:val="24"/>
          <w:highlight w:val="yellow"/>
          <w:lang w:val="lt-LT" w:eastAsia="lt-LT"/>
        </w:rPr>
        <w:t>S</w:t>
      </w:r>
      <w:r w:rsidRPr="00455282">
        <w:rPr>
          <w:b/>
          <w:sz w:val="24"/>
          <w:szCs w:val="24"/>
          <w:highlight w:val="yellow"/>
          <w:lang w:val="lt-LT" w:eastAsia="lt-LT"/>
        </w:rPr>
        <w:t xml:space="preserve">kelbiamos apklausos dokumentuose </w:t>
      </w:r>
      <w:r w:rsidR="00920A8E">
        <w:rPr>
          <w:b/>
          <w:sz w:val="24"/>
          <w:szCs w:val="24"/>
          <w:highlight w:val="yellow"/>
          <w:lang w:val="lt-LT" w:eastAsia="lt-LT"/>
        </w:rPr>
        <w:t>(2</w:t>
      </w:r>
      <w:r w:rsidR="009A4CC4">
        <w:rPr>
          <w:b/>
          <w:sz w:val="24"/>
          <w:szCs w:val="24"/>
          <w:highlight w:val="yellow"/>
          <w:lang w:val="lt-LT" w:eastAsia="lt-LT"/>
        </w:rPr>
        <w:t xml:space="preserve"> PRIEDE) </w:t>
      </w:r>
      <w:r w:rsidR="004408A7">
        <w:rPr>
          <w:b/>
          <w:sz w:val="24"/>
          <w:szCs w:val="24"/>
          <w:highlight w:val="yellow"/>
          <w:lang w:val="lt-LT"/>
        </w:rPr>
        <w:t>nurodytas</w:t>
      </w:r>
      <w:r w:rsidR="009A4CC4">
        <w:rPr>
          <w:b/>
          <w:sz w:val="24"/>
          <w:szCs w:val="24"/>
          <w:highlight w:val="yellow"/>
          <w:lang w:val="lt-LT"/>
        </w:rPr>
        <w:t xml:space="preserve"> </w:t>
      </w:r>
      <w:r w:rsidR="00E017E2">
        <w:rPr>
          <w:b/>
          <w:sz w:val="24"/>
          <w:szCs w:val="24"/>
          <w:highlight w:val="yellow"/>
          <w:lang w:val="lt-LT"/>
        </w:rPr>
        <w:t>Testavimo įrangos komplekto, konvertavimo sistemos specialiųjų įrankių komplekto ir specialių įrankių komplekto 60 mm M6-895 minosvaidžiui technines specifikacijas</w:t>
      </w:r>
      <w:r w:rsidR="004A3CF7">
        <w:rPr>
          <w:b/>
          <w:sz w:val="24"/>
          <w:szCs w:val="24"/>
          <w:highlight w:val="yellow"/>
          <w:lang w:val="lt-LT"/>
        </w:rPr>
        <w:t xml:space="preserve"> </w:t>
      </w:r>
      <w:r w:rsidR="009A4CC4" w:rsidRPr="009A4CC4">
        <w:rPr>
          <w:b/>
          <w:sz w:val="24"/>
          <w:szCs w:val="24"/>
          <w:highlight w:val="yellow"/>
          <w:lang w:val="lt-LT"/>
        </w:rPr>
        <w:t>(PILNAI (VISIŠKAI) ATITINKA</w:t>
      </w:r>
      <w:r w:rsidR="00E017E2">
        <w:rPr>
          <w:b/>
          <w:sz w:val="24"/>
          <w:szCs w:val="24"/>
          <w:highlight w:val="yellow"/>
          <w:lang w:val="lt-LT"/>
        </w:rPr>
        <w:t xml:space="preserve"> VISUS NURODYTUS REIKALAVIMUS)).</w:t>
      </w:r>
    </w:p>
    <w:p w14:paraId="791AF1D9" w14:textId="77777777" w:rsidR="003E6E90" w:rsidRPr="00F73D8F" w:rsidRDefault="003E6E90" w:rsidP="00464712">
      <w:pPr>
        <w:spacing w:after="120"/>
        <w:jc w:val="both"/>
        <w:rPr>
          <w:lang w:eastAsia="ar-SA"/>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DB0890" w:rsidRDefault="007F1AEA" w:rsidP="00DB0890">
            <w:pPr>
              <w:tabs>
                <w:tab w:val="left" w:pos="1380"/>
              </w:tabs>
              <w:spacing w:after="0" w:line="240" w:lineRule="auto"/>
              <w:ind w:right="28"/>
              <w:jc w:val="center"/>
              <w:rPr>
                <w:b/>
                <w:bCs/>
              </w:rPr>
            </w:pPr>
            <w:r w:rsidRPr="00DB0890">
              <w:rPr>
                <w:b/>
                <w:bCs/>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DB0890" w:rsidRDefault="007F1AEA" w:rsidP="00DB0890">
            <w:pPr>
              <w:tabs>
                <w:tab w:val="left" w:pos="1380"/>
              </w:tabs>
              <w:spacing w:after="0" w:line="240" w:lineRule="auto"/>
              <w:ind w:right="28"/>
              <w:jc w:val="center"/>
              <w:rPr>
                <w:b/>
                <w:bCs/>
              </w:rPr>
            </w:pPr>
            <w:r w:rsidRPr="00DB0890">
              <w:rPr>
                <w:b/>
                <w:bCs/>
              </w:rP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DB0890" w:rsidRDefault="007F1AEA" w:rsidP="00DB0890">
            <w:pPr>
              <w:tabs>
                <w:tab w:val="left" w:pos="1380"/>
              </w:tabs>
              <w:spacing w:after="0" w:line="240" w:lineRule="auto"/>
              <w:ind w:right="28"/>
              <w:jc w:val="center"/>
              <w:rPr>
                <w:b/>
                <w:bCs/>
              </w:rPr>
            </w:pPr>
            <w:r w:rsidRPr="00DB0890">
              <w:rPr>
                <w:b/>
                <w:bCs/>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DB0890" w:rsidRDefault="007F1AEA" w:rsidP="00DB0890">
            <w:pPr>
              <w:tabs>
                <w:tab w:val="left" w:pos="1380"/>
              </w:tabs>
              <w:spacing w:after="0" w:line="240" w:lineRule="auto"/>
              <w:ind w:right="28"/>
              <w:jc w:val="center"/>
              <w:rPr>
                <w:b/>
                <w:bCs/>
              </w:rPr>
            </w:pPr>
            <w:r w:rsidRPr="00DB0890">
              <w:rPr>
                <w:b/>
                <w:bCs/>
              </w:rP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0BAFAC4F" w:rsidR="00CF6C67" w:rsidRDefault="00CF6C67" w:rsidP="00CF3C52">
      <w:pPr>
        <w:jc w:val="both"/>
      </w:pPr>
    </w:p>
    <w:p w14:paraId="6D72166F" w14:textId="77777777" w:rsidR="00DB0890" w:rsidRDefault="00DB0890"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sidRPr="005B1732">
        <w:rPr>
          <w:b/>
          <w:sz w:val="20"/>
          <w:szCs w:val="20"/>
          <w:highlight w:val="yellow"/>
        </w:rPr>
        <w:t>** Kai pasiūlymą pasirašo Tei</w:t>
      </w:r>
      <w:r w:rsidR="00CF6C67" w:rsidRPr="005B1732">
        <w:rPr>
          <w:b/>
          <w:sz w:val="20"/>
          <w:szCs w:val="20"/>
          <w:highlight w:val="yellow"/>
        </w:rPr>
        <w:t xml:space="preserve">kėjo įgaliotas asmuo, kartu su pasiūlymu privaloma pateikti </w:t>
      </w:r>
      <w:r w:rsidR="00CF6C67" w:rsidRPr="005B1732">
        <w:rPr>
          <w:b/>
          <w:sz w:val="20"/>
          <w:szCs w:val="20"/>
          <w:highlight w:val="yellow"/>
          <w:u w:val="single"/>
        </w:rPr>
        <w:t>įgaliojimą</w:t>
      </w:r>
      <w:r w:rsidR="00CF6C67" w:rsidRPr="005B1732">
        <w:rPr>
          <w:b/>
          <w:sz w:val="20"/>
          <w:szCs w:val="20"/>
          <w:highlight w:val="yellow"/>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F48CB" w14:textId="77777777" w:rsidR="004C718C" w:rsidRDefault="004C718C">
      <w:pPr>
        <w:spacing w:after="0" w:line="240" w:lineRule="auto"/>
      </w:pPr>
      <w:r>
        <w:separator/>
      </w:r>
    </w:p>
  </w:endnote>
  <w:endnote w:type="continuationSeparator" w:id="0">
    <w:p w14:paraId="17C63D56" w14:textId="77777777" w:rsidR="004C718C" w:rsidRDefault="004C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C24F4" w14:textId="77777777" w:rsidR="004C718C" w:rsidRDefault="004C718C">
      <w:pPr>
        <w:spacing w:after="0" w:line="240" w:lineRule="auto"/>
      </w:pPr>
      <w:r>
        <w:separator/>
      </w:r>
    </w:p>
  </w:footnote>
  <w:footnote w:type="continuationSeparator" w:id="0">
    <w:p w14:paraId="5E3333FD" w14:textId="77777777" w:rsidR="004C718C" w:rsidRDefault="004C718C">
      <w:pPr>
        <w:spacing w:after="0" w:line="240" w:lineRule="auto"/>
      </w:pPr>
      <w:r>
        <w:continuationSeparator/>
      </w:r>
    </w:p>
  </w:footnote>
  <w:footnote w:id="1">
    <w:p w14:paraId="62602168" w14:textId="58138E7E" w:rsidR="007B67C8" w:rsidRPr="00F32109" w:rsidRDefault="007B67C8"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 kaina, nurodant 2 (du) skaičius po kablelio.</w:t>
      </w:r>
    </w:p>
    <w:p w14:paraId="1CEE86EC" w14:textId="77777777" w:rsidR="007B67C8" w:rsidRDefault="007B67C8"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166C11EA" w:rsidR="004011ED" w:rsidRDefault="004011ED">
    <w:pPr>
      <w:pStyle w:val="Header"/>
      <w:jc w:val="center"/>
    </w:pPr>
    <w:r>
      <w:fldChar w:fldCharType="begin"/>
    </w:r>
    <w:r>
      <w:instrText>PAGE   \* MERGEFORMAT</w:instrText>
    </w:r>
    <w:r>
      <w:fldChar w:fldCharType="separate"/>
    </w:r>
    <w:r w:rsidR="00C8564A">
      <w:rPr>
        <w:noProof/>
      </w:rPr>
      <w:t>5</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5"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8"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5"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6"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1"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3"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4"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6"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8"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3"/>
  </w:num>
  <w:num w:numId="9">
    <w:abstractNumId w:val="14"/>
  </w:num>
  <w:num w:numId="10">
    <w:abstractNumId w:val="17"/>
  </w:num>
  <w:num w:numId="11">
    <w:abstractNumId w:val="20"/>
  </w:num>
  <w:num w:numId="12">
    <w:abstractNumId w:val="15"/>
  </w:num>
  <w:num w:numId="13">
    <w:abstractNumId w:val="10"/>
  </w:num>
  <w:num w:numId="14">
    <w:abstractNumId w:val="19"/>
  </w:num>
  <w:num w:numId="15">
    <w:abstractNumId w:val="23"/>
  </w:num>
  <w:num w:numId="16">
    <w:abstractNumId w:val="16"/>
  </w:num>
  <w:num w:numId="17">
    <w:abstractNumId w:val="35"/>
  </w:num>
  <w:num w:numId="18">
    <w:abstractNumId w:val="30"/>
  </w:num>
  <w:num w:numId="19">
    <w:abstractNumId w:val="30"/>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39"/>
  </w:num>
  <w:num w:numId="21">
    <w:abstractNumId w:val="32"/>
  </w:num>
  <w:num w:numId="22">
    <w:abstractNumId w:val="38"/>
  </w:num>
  <w:num w:numId="23">
    <w:abstractNumId w:val="28"/>
  </w:num>
  <w:num w:numId="24">
    <w:abstractNumId w:val="24"/>
  </w:num>
  <w:num w:numId="25">
    <w:abstractNumId w:val="37"/>
  </w:num>
  <w:num w:numId="26">
    <w:abstractNumId w:val="25"/>
  </w:num>
  <w:num w:numId="27">
    <w:abstractNumId w:val="22"/>
  </w:num>
  <w:num w:numId="28">
    <w:abstractNumId w:val="31"/>
  </w:num>
  <w:num w:numId="29">
    <w:abstractNumId w:val="11"/>
  </w:num>
  <w:num w:numId="30">
    <w:abstractNumId w:val="18"/>
  </w:num>
  <w:num w:numId="31">
    <w:abstractNumId w:val="13"/>
  </w:num>
  <w:num w:numId="32">
    <w:abstractNumId w:val="21"/>
  </w:num>
  <w:num w:numId="33">
    <w:abstractNumId w:val="26"/>
  </w:num>
  <w:num w:numId="34">
    <w:abstractNumId w:val="12"/>
  </w:num>
  <w:num w:numId="35">
    <w:abstractNumId w:val="36"/>
  </w:num>
  <w:num w:numId="36">
    <w:abstractNumId w:val="9"/>
  </w:num>
  <w:num w:numId="37">
    <w:abstractNumId w:val="27"/>
  </w:num>
  <w:num w:numId="38">
    <w:abstractNumId w:val="29"/>
  </w:num>
  <w:num w:numId="39">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7E24"/>
    <w:rsid w:val="00014124"/>
    <w:rsid w:val="0002238D"/>
    <w:rsid w:val="0003013B"/>
    <w:rsid w:val="00031916"/>
    <w:rsid w:val="00040169"/>
    <w:rsid w:val="00046D92"/>
    <w:rsid w:val="00076B6A"/>
    <w:rsid w:val="00097162"/>
    <w:rsid w:val="000B08E0"/>
    <w:rsid w:val="000C325A"/>
    <w:rsid w:val="000C3409"/>
    <w:rsid w:val="000C59DA"/>
    <w:rsid w:val="000D0EBB"/>
    <w:rsid w:val="000D20EC"/>
    <w:rsid w:val="000F308C"/>
    <w:rsid w:val="00110662"/>
    <w:rsid w:val="001157E8"/>
    <w:rsid w:val="00136B5F"/>
    <w:rsid w:val="00137C71"/>
    <w:rsid w:val="00137D85"/>
    <w:rsid w:val="00150782"/>
    <w:rsid w:val="00151EBC"/>
    <w:rsid w:val="00154448"/>
    <w:rsid w:val="00162C28"/>
    <w:rsid w:val="00170F4E"/>
    <w:rsid w:val="0017136D"/>
    <w:rsid w:val="00191EED"/>
    <w:rsid w:val="001A306E"/>
    <w:rsid w:val="001B5DD8"/>
    <w:rsid w:val="001C2400"/>
    <w:rsid w:val="001C7095"/>
    <w:rsid w:val="001D0E3D"/>
    <w:rsid w:val="001D1620"/>
    <w:rsid w:val="001D60D0"/>
    <w:rsid w:val="001E0DA1"/>
    <w:rsid w:val="001E2275"/>
    <w:rsid w:val="001E443B"/>
    <w:rsid w:val="001E4916"/>
    <w:rsid w:val="001E5879"/>
    <w:rsid w:val="001F0FA7"/>
    <w:rsid w:val="00216785"/>
    <w:rsid w:val="00250156"/>
    <w:rsid w:val="00255236"/>
    <w:rsid w:val="00255A07"/>
    <w:rsid w:val="00265B7F"/>
    <w:rsid w:val="00274B72"/>
    <w:rsid w:val="002A3703"/>
    <w:rsid w:val="002B2373"/>
    <w:rsid w:val="002B5EE7"/>
    <w:rsid w:val="002C5480"/>
    <w:rsid w:val="002D57F9"/>
    <w:rsid w:val="002E6F72"/>
    <w:rsid w:val="002F26E6"/>
    <w:rsid w:val="002F3699"/>
    <w:rsid w:val="002F4C27"/>
    <w:rsid w:val="002F4CF3"/>
    <w:rsid w:val="00316134"/>
    <w:rsid w:val="00324816"/>
    <w:rsid w:val="00325D97"/>
    <w:rsid w:val="00332143"/>
    <w:rsid w:val="00343E45"/>
    <w:rsid w:val="00344E03"/>
    <w:rsid w:val="00362C07"/>
    <w:rsid w:val="0037053E"/>
    <w:rsid w:val="0039330B"/>
    <w:rsid w:val="003A7945"/>
    <w:rsid w:val="003E6E90"/>
    <w:rsid w:val="004010D9"/>
    <w:rsid w:val="004011ED"/>
    <w:rsid w:val="00420BBD"/>
    <w:rsid w:val="00437B3E"/>
    <w:rsid w:val="004408A7"/>
    <w:rsid w:val="00441728"/>
    <w:rsid w:val="00442F5F"/>
    <w:rsid w:val="0044640D"/>
    <w:rsid w:val="00452104"/>
    <w:rsid w:val="0045297A"/>
    <w:rsid w:val="00455282"/>
    <w:rsid w:val="00460F1A"/>
    <w:rsid w:val="00463CC9"/>
    <w:rsid w:val="00464712"/>
    <w:rsid w:val="00471F96"/>
    <w:rsid w:val="00487872"/>
    <w:rsid w:val="00495266"/>
    <w:rsid w:val="0049570F"/>
    <w:rsid w:val="004A0B8B"/>
    <w:rsid w:val="004A3CF7"/>
    <w:rsid w:val="004A7EC0"/>
    <w:rsid w:val="004B5F00"/>
    <w:rsid w:val="004C718C"/>
    <w:rsid w:val="004D237A"/>
    <w:rsid w:val="004E7D38"/>
    <w:rsid w:val="00504841"/>
    <w:rsid w:val="00507C78"/>
    <w:rsid w:val="00510481"/>
    <w:rsid w:val="00535A37"/>
    <w:rsid w:val="005459B6"/>
    <w:rsid w:val="00564A77"/>
    <w:rsid w:val="00581793"/>
    <w:rsid w:val="005871D5"/>
    <w:rsid w:val="0058742A"/>
    <w:rsid w:val="00590CBE"/>
    <w:rsid w:val="005A1650"/>
    <w:rsid w:val="005A2520"/>
    <w:rsid w:val="005B1732"/>
    <w:rsid w:val="005B65AA"/>
    <w:rsid w:val="005D3B0C"/>
    <w:rsid w:val="005E0F9C"/>
    <w:rsid w:val="005F3F15"/>
    <w:rsid w:val="006003FC"/>
    <w:rsid w:val="006015C3"/>
    <w:rsid w:val="00624824"/>
    <w:rsid w:val="00637B8E"/>
    <w:rsid w:val="006766F5"/>
    <w:rsid w:val="0068255C"/>
    <w:rsid w:val="006827A8"/>
    <w:rsid w:val="006A081B"/>
    <w:rsid w:val="006A2521"/>
    <w:rsid w:val="006C03F5"/>
    <w:rsid w:val="006C34AC"/>
    <w:rsid w:val="006D5A29"/>
    <w:rsid w:val="006E14C7"/>
    <w:rsid w:val="006E4675"/>
    <w:rsid w:val="006F5357"/>
    <w:rsid w:val="007139FC"/>
    <w:rsid w:val="00720C5B"/>
    <w:rsid w:val="007332BD"/>
    <w:rsid w:val="00744650"/>
    <w:rsid w:val="007449E1"/>
    <w:rsid w:val="007503B8"/>
    <w:rsid w:val="00765DDA"/>
    <w:rsid w:val="00766ABB"/>
    <w:rsid w:val="007765AA"/>
    <w:rsid w:val="0078141F"/>
    <w:rsid w:val="00781FBB"/>
    <w:rsid w:val="007B2856"/>
    <w:rsid w:val="007B54B9"/>
    <w:rsid w:val="007B67C8"/>
    <w:rsid w:val="007B6E9A"/>
    <w:rsid w:val="007C4048"/>
    <w:rsid w:val="007C4E3D"/>
    <w:rsid w:val="007C643B"/>
    <w:rsid w:val="007D3D58"/>
    <w:rsid w:val="007E6A14"/>
    <w:rsid w:val="007F1AEA"/>
    <w:rsid w:val="008001CA"/>
    <w:rsid w:val="008124D4"/>
    <w:rsid w:val="008164FD"/>
    <w:rsid w:val="00817628"/>
    <w:rsid w:val="0082008D"/>
    <w:rsid w:val="00831741"/>
    <w:rsid w:val="008641F6"/>
    <w:rsid w:val="0086552C"/>
    <w:rsid w:val="0088588B"/>
    <w:rsid w:val="008B4B3A"/>
    <w:rsid w:val="008C6DCE"/>
    <w:rsid w:val="008D637C"/>
    <w:rsid w:val="008E6B73"/>
    <w:rsid w:val="008F1EEB"/>
    <w:rsid w:val="009006AB"/>
    <w:rsid w:val="009175FA"/>
    <w:rsid w:val="00920A8E"/>
    <w:rsid w:val="0092274F"/>
    <w:rsid w:val="009468CE"/>
    <w:rsid w:val="0094711A"/>
    <w:rsid w:val="00947A83"/>
    <w:rsid w:val="00947BF4"/>
    <w:rsid w:val="00960577"/>
    <w:rsid w:val="00970110"/>
    <w:rsid w:val="0097413B"/>
    <w:rsid w:val="00987522"/>
    <w:rsid w:val="009944AE"/>
    <w:rsid w:val="009A4CC4"/>
    <w:rsid w:val="009C242A"/>
    <w:rsid w:val="009D3D06"/>
    <w:rsid w:val="009E5B16"/>
    <w:rsid w:val="009E7EF4"/>
    <w:rsid w:val="009F044E"/>
    <w:rsid w:val="009F7708"/>
    <w:rsid w:val="00A2413C"/>
    <w:rsid w:val="00A33615"/>
    <w:rsid w:val="00A344A3"/>
    <w:rsid w:val="00A35BD9"/>
    <w:rsid w:val="00A3649F"/>
    <w:rsid w:val="00A40BE1"/>
    <w:rsid w:val="00A40E36"/>
    <w:rsid w:val="00A41DB1"/>
    <w:rsid w:val="00A44ABD"/>
    <w:rsid w:val="00A576AE"/>
    <w:rsid w:val="00A61084"/>
    <w:rsid w:val="00A62D15"/>
    <w:rsid w:val="00A65BE7"/>
    <w:rsid w:val="00A71F25"/>
    <w:rsid w:val="00A823A2"/>
    <w:rsid w:val="00A83E9C"/>
    <w:rsid w:val="00A87365"/>
    <w:rsid w:val="00AA1A15"/>
    <w:rsid w:val="00AA57FF"/>
    <w:rsid w:val="00AB20A1"/>
    <w:rsid w:val="00AB2A29"/>
    <w:rsid w:val="00AF40F5"/>
    <w:rsid w:val="00B0333A"/>
    <w:rsid w:val="00B10E59"/>
    <w:rsid w:val="00B16212"/>
    <w:rsid w:val="00B168CA"/>
    <w:rsid w:val="00B27D36"/>
    <w:rsid w:val="00B32127"/>
    <w:rsid w:val="00B4178A"/>
    <w:rsid w:val="00B43C3A"/>
    <w:rsid w:val="00B45382"/>
    <w:rsid w:val="00B53498"/>
    <w:rsid w:val="00B57469"/>
    <w:rsid w:val="00B6099C"/>
    <w:rsid w:val="00B629ED"/>
    <w:rsid w:val="00B660CF"/>
    <w:rsid w:val="00B7331D"/>
    <w:rsid w:val="00B8230F"/>
    <w:rsid w:val="00B8687C"/>
    <w:rsid w:val="00BC54B2"/>
    <w:rsid w:val="00BD5512"/>
    <w:rsid w:val="00BE0B71"/>
    <w:rsid w:val="00BE0C31"/>
    <w:rsid w:val="00BE629C"/>
    <w:rsid w:val="00BF56EF"/>
    <w:rsid w:val="00BF5E34"/>
    <w:rsid w:val="00BF5FAE"/>
    <w:rsid w:val="00C0458D"/>
    <w:rsid w:val="00C0617D"/>
    <w:rsid w:val="00C14F71"/>
    <w:rsid w:val="00C24511"/>
    <w:rsid w:val="00C32FEF"/>
    <w:rsid w:val="00C36849"/>
    <w:rsid w:val="00C44337"/>
    <w:rsid w:val="00C52501"/>
    <w:rsid w:val="00C8564A"/>
    <w:rsid w:val="00CA6371"/>
    <w:rsid w:val="00CC2A9E"/>
    <w:rsid w:val="00CC4CDB"/>
    <w:rsid w:val="00CD3498"/>
    <w:rsid w:val="00CF2A1B"/>
    <w:rsid w:val="00CF3C52"/>
    <w:rsid w:val="00CF4459"/>
    <w:rsid w:val="00CF6C67"/>
    <w:rsid w:val="00D13817"/>
    <w:rsid w:val="00D23E21"/>
    <w:rsid w:val="00D250FF"/>
    <w:rsid w:val="00D46671"/>
    <w:rsid w:val="00D5095C"/>
    <w:rsid w:val="00D7282A"/>
    <w:rsid w:val="00D8493F"/>
    <w:rsid w:val="00D85FA4"/>
    <w:rsid w:val="00DB0890"/>
    <w:rsid w:val="00DB35F8"/>
    <w:rsid w:val="00DB6852"/>
    <w:rsid w:val="00DC14AF"/>
    <w:rsid w:val="00DC1D53"/>
    <w:rsid w:val="00DC69B2"/>
    <w:rsid w:val="00DE09CE"/>
    <w:rsid w:val="00DE5D86"/>
    <w:rsid w:val="00DF5E90"/>
    <w:rsid w:val="00DF6CA5"/>
    <w:rsid w:val="00E017E2"/>
    <w:rsid w:val="00E0362E"/>
    <w:rsid w:val="00E241FD"/>
    <w:rsid w:val="00E31B38"/>
    <w:rsid w:val="00E3635A"/>
    <w:rsid w:val="00E46A4E"/>
    <w:rsid w:val="00E65E23"/>
    <w:rsid w:val="00E9205E"/>
    <w:rsid w:val="00EA0E49"/>
    <w:rsid w:val="00EB649B"/>
    <w:rsid w:val="00ED597B"/>
    <w:rsid w:val="00EE18F5"/>
    <w:rsid w:val="00EF005F"/>
    <w:rsid w:val="00EF11A4"/>
    <w:rsid w:val="00EF2F68"/>
    <w:rsid w:val="00EF31F3"/>
    <w:rsid w:val="00EF3F99"/>
    <w:rsid w:val="00F02750"/>
    <w:rsid w:val="00F20D2C"/>
    <w:rsid w:val="00F2588B"/>
    <w:rsid w:val="00F32109"/>
    <w:rsid w:val="00F459C6"/>
    <w:rsid w:val="00F51F9A"/>
    <w:rsid w:val="00F538A9"/>
    <w:rsid w:val="00F554D9"/>
    <w:rsid w:val="00F63195"/>
    <w:rsid w:val="00F6717B"/>
    <w:rsid w:val="00F73FA6"/>
    <w:rsid w:val="00F80480"/>
    <w:rsid w:val="00F8163B"/>
    <w:rsid w:val="00F856A7"/>
    <w:rsid w:val="00FB32A7"/>
    <w:rsid w:val="00FB3A0A"/>
    <w:rsid w:val="00FC2F0B"/>
    <w:rsid w:val="00FD4FC4"/>
    <w:rsid w:val="00FE259A"/>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99"/>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5E19-6DB5-4672-8759-7DC11B20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5</Pages>
  <Words>4009</Words>
  <Characters>2286</Characters>
  <Application>Microsoft Office Word</Application>
  <DocSecurity>0</DocSecurity>
  <Lines>19</Lines>
  <Paragraphs>12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Vilita Plintauskienė</cp:lastModifiedBy>
  <cp:revision>119</cp:revision>
  <cp:lastPrinted>2022-08-02T10:40:00Z</cp:lastPrinted>
  <dcterms:created xsi:type="dcterms:W3CDTF">2019-11-16T14:21:00Z</dcterms:created>
  <dcterms:modified xsi:type="dcterms:W3CDTF">2025-10-27T07:50:00Z</dcterms:modified>
</cp:coreProperties>
</file>