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MOKYMŲ VISUOMENĖS SVEIKATOS SPECIALISTAMS TEMA „</w:t>
      </w:r>
      <w:r>
        <w:rPr>
          <w:rFonts w:cs="Times New Roman" w:ascii="Times New Roman" w:hAnsi="Times New Roman"/>
          <w:b/>
          <w:bCs/>
          <w:sz w:val="24"/>
          <w:szCs w:val="24"/>
        </w:rPr>
        <w:t xml:space="preserve">SAVIRŪPOS PAGALBA </w:t>
      </w:r>
      <w:r>
        <w:rPr>
          <w:rFonts w:cs="Times New Roman" w:ascii="Times New Roman" w:hAnsi="Times New Roman"/>
          <w:b/>
          <w:bCs/>
          <w:color w:themeColor="text1" w:val="000000"/>
          <w:sz w:val="24"/>
          <w:szCs w:val="24"/>
        </w:rPr>
        <w:t xml:space="preserve">MOKINIAMS, SERGANTIEMS </w:t>
      </w:r>
      <w:r>
        <w:rPr>
          <w:rFonts w:cs="Times New Roman" w:ascii="Times New Roman" w:hAnsi="Times New Roman"/>
          <w:b/>
          <w:bCs/>
          <w:sz w:val="24"/>
          <w:szCs w:val="24"/>
        </w:rPr>
        <w:t>LĖTINĖMIS NEINFEKCINĖMIS LIGOMIS“</w:t>
      </w:r>
      <w:r>
        <w:rPr>
          <w:rFonts w:cs="Times New Roman" w:ascii="Times New Roman" w:hAnsi="Times New Roman"/>
          <w:b/>
          <w:bCs/>
          <w:color w:themeColor="text1" w:val="000000"/>
          <w:sz w:val="24"/>
          <w:szCs w:val="24"/>
        </w:rPr>
        <w:t xml:space="preserve"> </w:t>
      </w:r>
      <w:r>
        <w:rPr>
          <w:rFonts w:cs="Times New Roman" w:ascii="Times New Roman" w:hAnsi="Times New Roman"/>
          <w:b/>
          <w:bCs/>
          <w:sz w:val="24"/>
          <w:szCs w:val="24"/>
        </w:rPr>
        <w:t>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Pirkimo objektas – </w:t>
      </w:r>
      <w:bookmarkStart w:id="11" w:name="_Hlk189747483"/>
      <w:r>
        <w:rPr>
          <w:rFonts w:cs="Times New Roman" w:ascii="Times New Roman" w:hAnsi="Times New Roman"/>
          <w:color w:themeColor="text1" w:val="000000"/>
          <w:sz w:val="24"/>
          <w:szCs w:val="24"/>
        </w:rPr>
        <w:t xml:space="preserve">visuomenės sveikatos </w:t>
      </w:r>
      <w:r>
        <w:rPr>
          <w:rFonts w:cs="Times New Roman" w:ascii="Times New Roman" w:hAnsi="Times New Roman"/>
          <w:color w:val="000000"/>
          <w:sz w:val="24"/>
          <w:szCs w:val="24"/>
        </w:rPr>
        <w:t>specialistų</w:t>
      </w:r>
      <w:bookmarkEnd w:id="11"/>
      <w:r>
        <w:rPr>
          <w:rFonts w:cs="Times New Roman" w:ascii="Times New Roman" w:hAnsi="Times New Roman"/>
          <w:color w:val="000000"/>
          <w:sz w:val="24"/>
          <w:szCs w:val="24"/>
        </w:rPr>
        <w:t xml:space="preserve"> </w:t>
      </w:r>
      <w:r>
        <w:rPr>
          <w:rFonts w:cs="Times New Roman" w:ascii="Times New Roman" w:hAnsi="Times New Roman"/>
          <w:color w:themeColor="text1" w:val="000000"/>
          <w:sz w:val="24"/>
          <w:szCs w:val="24"/>
        </w:rPr>
        <w:t>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lang w:eastAsia="en-US"/>
        </w:rPr>
        <w:t xml:space="preserve">Mokymų tikslas – </w:t>
      </w:r>
      <w:r>
        <w:rPr>
          <w:rFonts w:cs="Times New Roman" w:ascii="Times New Roman" w:hAnsi="Times New Roman"/>
          <w:sz w:val="24"/>
          <w:szCs w:val="24"/>
        </w:rPr>
        <w:t>stiprinti mokyklose dirbančių visuomenės sveikatos specialistų kompetencijas, siekiant užtikrinti veiksmingą pagalbą mokinių, sergančių lėtinėmis neinfekcinėmis ligomis, savirūpai, gerinant jų savarankiškumą, saugumą ir gyvenimo kokybę mokyklos aplinkoje.</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Mokymų tikslinė grupė (toliau – tikslinė grupė): savivaldybių visuomenės sveikatos biuro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426"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 (penkiolika)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nei </w:t>
      </w:r>
      <w:r>
        <w:rPr>
          <w:rFonts w:cs="Times New Roman" w:ascii="Times New Roman" w:hAnsi="Times New Roman"/>
          <w:b/>
          <w:bCs/>
          <w:color w:val="000000"/>
          <w:sz w:val="24"/>
          <w:szCs w:val="24"/>
          <w:u w:val="single"/>
        </w:rPr>
        <w:t>20 mokymo grupių</w:t>
      </w:r>
      <w:r>
        <w:rPr>
          <w:rFonts w:cs="Times New Roman" w:ascii="Times New Roman" w:hAnsi="Times New Roman"/>
          <w:bCs/>
          <w:color w:val="000000"/>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color w:val="000000"/>
          <w:sz w:val="24"/>
          <w:szCs w:val="24"/>
        </w:rPr>
        <w:t>bei apmokyti ne mažiau kaip</w:t>
      </w:r>
      <w:r>
        <w:rPr>
          <w:rFonts w:cs="Times New Roman" w:ascii="Times New Roman" w:hAnsi="Times New Roman"/>
          <w:b/>
          <w:color w:val="000000"/>
          <w:sz w:val="24"/>
          <w:szCs w:val="24"/>
        </w:rPr>
        <w:t xml:space="preserve"> 4 mokymo grupes</w:t>
      </w:r>
      <w:r>
        <w:rPr>
          <w:rFonts w:cs="Times New Roman" w:ascii="Times New Roman" w:hAnsi="Times New Roman"/>
          <w:bCs/>
          <w:color w:val="000000"/>
          <w:sz w:val="24"/>
          <w:szCs w:val="24"/>
        </w:rPr>
        <w:t xml:space="preserve"> (80</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specialistų) </w:t>
      </w:r>
      <w:r>
        <w:rPr>
          <w:rFonts w:cs="Times New Roman" w:ascii="Times New Roman" w:hAnsi="Times New Roman"/>
          <w:b/>
          <w:color w:val="000000"/>
          <w:sz w:val="24"/>
          <w:szCs w:val="24"/>
        </w:rPr>
        <w:t xml:space="preserve">Sostinės regione (Vilniaus apskritis) </w:t>
      </w:r>
      <w:r>
        <w:rPr>
          <w:rFonts w:cs="Times New Roman" w:ascii="Times New Roman" w:hAnsi="Times New Roman"/>
          <w:bCs/>
          <w:color w:val="000000"/>
          <w:sz w:val="24"/>
          <w:szCs w:val="24"/>
        </w:rPr>
        <w:t>ir ne mažiau</w:t>
      </w:r>
      <w:r>
        <w:rPr>
          <w:rFonts w:cs="Times New Roman" w:ascii="Times New Roman" w:hAnsi="Times New Roman"/>
          <w:b/>
          <w:color w:val="000000"/>
          <w:sz w:val="24"/>
          <w:szCs w:val="24"/>
        </w:rPr>
        <w:t xml:space="preserve"> </w:t>
      </w:r>
      <w:r>
        <w:rPr>
          <w:rFonts w:cs="Times New Roman" w:ascii="Times New Roman" w:hAnsi="Times New Roman"/>
          <w:bCs/>
          <w:color w:val="000000"/>
          <w:sz w:val="24"/>
          <w:szCs w:val="24"/>
        </w:rPr>
        <w:t>kaip</w:t>
      </w:r>
      <w:r>
        <w:rPr>
          <w:rFonts w:cs="Times New Roman" w:ascii="Times New Roman" w:hAnsi="Times New Roman"/>
          <w:b/>
          <w:color w:val="000000"/>
          <w:sz w:val="24"/>
          <w:szCs w:val="24"/>
        </w:rPr>
        <w:t xml:space="preserve"> 16 grupių</w:t>
      </w:r>
      <w:r>
        <w:rPr>
          <w:rFonts w:cs="Times New Roman" w:ascii="Times New Roman" w:hAnsi="Times New Roman"/>
          <w:bCs/>
          <w:color w:val="000000"/>
          <w:sz w:val="24"/>
          <w:szCs w:val="24"/>
        </w:rPr>
        <w:t xml:space="preserve"> (320</w:t>
      </w:r>
      <w:r>
        <w:rPr>
          <w:rFonts w:cs="Times New Roman" w:ascii="Times New Roman" w:hAnsi="Times New Roman"/>
          <w:b/>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2" w:name="_Hlk178240899"/>
    </w:p>
    <w:p>
      <w:pPr>
        <w:pStyle w:val="ListParagraph"/>
        <w:widowControl w:val="false"/>
        <w:numPr>
          <w:ilvl w:val="0"/>
          <w:numId w:val="6"/>
        </w:numPr>
        <w:shd w:val="clear" w:color="auto" w:fill="FFFFFF" w:themeFill="background1"/>
        <w:tabs>
          <w:tab w:val="clear" w:pos="1296"/>
          <w:tab w:val="left" w:pos="426" w:leader="none"/>
        </w:tabs>
        <w:suppressAutoHyphens w:val="true"/>
        <w:spacing w:lineRule="auto" w:line="240" w:before="0" w:after="0"/>
        <w:contextualSpacing/>
        <w:jc w:val="both"/>
        <w:rPr>
          <w:rFonts w:ascii="Times New Roman" w:hAnsi="Times New Roman" w:cs="Times New Roman"/>
          <w:color w:val="000000"/>
          <w:sz w:val="24"/>
          <w:szCs w:val="24"/>
        </w:rPr>
      </w:pPr>
      <w:r>
        <w:rPr>
          <w:rFonts w:eastAsia="" w:cs="Times New Roman" w:ascii="Times New Roman" w:hAnsi="Times New Roman" w:eastAsiaTheme="minorEastAsia"/>
          <w:color w:themeColor="text1" w:val="000000"/>
          <w:sz w:val="24"/>
          <w:szCs w:val="24"/>
          <w:lang w:eastAsia="lt-LT"/>
        </w:rPr>
        <w:t>Vieną mokymosi grupę sudaro ne daugiau kaip 25 tikslinės grupės</w:t>
      </w:r>
      <w:r>
        <w:rPr>
          <w:rFonts w:cs="Times New Roman" w:ascii="Times New Roman" w:hAnsi="Times New Roman"/>
          <w:color w:themeColor="text1" w:val="000000"/>
          <w:sz w:val="24"/>
          <w:szCs w:val="24"/>
        </w:rPr>
        <w:t xml:space="preserve"> specialistai</w:t>
      </w:r>
      <w:r>
        <w:rPr>
          <w:rFonts w:cs="Times New Roman" w:ascii="Times New Roman" w:hAnsi="Times New Roman"/>
          <w:bCs/>
          <w:color w:val="000000"/>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bookmarkEnd w:id="12"/>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 xml:space="preserve">(dvidešimt) </w:t>
      </w:r>
      <w:r>
        <w:rPr>
          <w:rFonts w:cs="Times New Roman" w:ascii="Times New Roman" w:hAnsi="Times New Roman"/>
          <w:color w:val="000000"/>
          <w:sz w:val="24"/>
          <w:szCs w:val="24"/>
        </w:rPr>
        <w:t>d. d. n</w:t>
      </w:r>
      <w:r>
        <w:rPr>
          <w:rFonts w:cs="Times New Roman" w:ascii="Times New Roman" w:hAnsi="Times New Roman"/>
          <w:bCs/>
          <w:color w:val="000000"/>
          <w:sz w:val="24"/>
          <w:szCs w:val="24"/>
        </w:rPr>
        <w:t>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16 akad. val.</w:t>
      </w:r>
      <w:r>
        <w:rPr>
          <w:rFonts w:cs="Times New Roman" w:ascii="Times New Roman" w:hAnsi="Times New Roman"/>
          <w:sz w:val="24"/>
          <w:szCs w:val="24"/>
        </w:rPr>
        <w:t xml:space="preserve"> (dvi dienos).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Vaikų, sergančių lėtinėmis neinfekcinėmis ligomis (toliau – LNL), sveikatos priežiūros teisinis reglamentavimas Lietuvoje. Vaikų, sergančių LNL, sveikatos priežiūros Mokykloje organizavimas, priemonių praktinis įgyvendinimas.</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 xml:space="preserve">Cukrinio diabeto samprata. I tipo cukrinio diabeto  simptomai ir požymiai, gydymo ypatumai, komplikacijos, ligos valdymo ypatumai. Kasdienė veikla ir gyvenimo būdas sergant cukriniu diabetu: mityba, fizinis aktyvumas, mokyklinės išvykos, laisvalaikis ir kt. Kasdienė cukrinio diabeto savikontrolė ugdymo įstaigoje: glikemijos stebėjimas ir vertinimas (gliukomačiai ir nuolatinio gliukozės kiekio kraujyje stebėjimo sistemos ir jutikliai, jų naudojimas, gliukozės kiekio matavimas kraujyje, insulino leidimo technika injektorių ar insulino pompos pagalba. Cukrinio diabeto būklės (hiperglikemija, hipoglikemija, ketoacidozė), jų atpažinimas, prevencija, pirmoji pagalba joms ištikus, greitosios medicinos pagalbos kvietimas. Mobiliųjų telefonų, gliukomačio, maisto ir kt. priemonių naudojimo galimybės pamokų ir egzaminų metu. Praktika: insulino pompos veikimo ir valdymo demonstravimas, insulino injektoriaus ir gliukozės kiekio kraujyje matavimo demonstravimas, gliukagono injektoriaus demonstravimas, mobiliųjų programėlių veikimo demonstravimas.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 xml:space="preserve">Epilepsijos samprata. Epilepsijos priepuolių tipai, priežastys, epilepsijos priepuolį provokuojantys veiksniai, pirmoji pagalba epilepsijos priepuolio metu, greitosios medicinos pagalbos kvietimas. Prevencinės priemonės: saugi aplinka, fizinio aktyvumo adaptacija. Praktika: pirmosios pagalbos epilepsijos priepuolio metu suteikimo demonstravimas.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 xml:space="preserve">Bronchinės astmos samprata. Bronchinės astmos priepuolis, provokuojantys veiksniai, pirmoji pagalba bronchinės astmos priepuolio metu, greitosios medicinos pagalbos kvietimas, inhaliatoriaus naudojimas. Fizinio aktyvumo planavimas. Praktika: įvairaus tipo inhaliatorių veikimo demonstravimas.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Alerginių ligų samprata. Alerginės reakcijos ir anafilaksija. Anafilaksija, anafilaksiją sukeliantys veiksniai, ankstyvieji ir sunkūs požymiai. Pirmoji pagalba anafilaksijos atveju, greitosios medicinos pagalbos kvietimas. Veiksmai po anafilaksijos atvejo. Epinefrino autoinjektoriaus laikymas, galiojimas, naudojimo instrukcija. Praktika: epinefrino autoinjektoriaus veikimo demonstravimas.</w:t>
      </w:r>
    </w:p>
    <w:p>
      <w:pPr>
        <w:pStyle w:val="ListParagraph"/>
        <w:numPr>
          <w:ilvl w:val="0"/>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Mokymo programa turi būti parengta ir suderinta su Lietuvos Respublikos sveikatos apsaugos ministerija Sveikatos </w:t>
      </w:r>
      <w:r>
        <w:rPr>
          <w:rFonts w:cs="Times New Roman" w:ascii="Times New Roman" w:hAnsi="Times New Roman"/>
          <w:color w:themeColor="text1" w:val="000000"/>
          <w:sz w:val="24"/>
          <w:szCs w:val="24"/>
        </w:rPr>
        <w:t>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dalyvių registraciją ir lankomumo fiksavimą (jeigu mokymai ilgesni nei 1 d.)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10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uppressAutoHyphens w:val="true"/>
        <w:spacing w:lineRule="auto" w:line="240" w:before="0" w:after="0"/>
        <w:ind w:hanging="0" w:left="0"/>
        <w:jc w:val="both"/>
        <w:rPr>
          <w:rFonts w:ascii="Times New Roman" w:hAnsi="Times New Roman" w:cs="Times New Roman"/>
          <w:bCs/>
          <w:color w:val="000000"/>
          <w:sz w:val="24"/>
          <w:szCs w:val="24"/>
        </w:rPr>
      </w:pPr>
      <w:bookmarkStart w:id="13"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registracijos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laisvos formos darbdavio pažymas, patvirtinančias, kad, jog asmuo dirba 7 punkte nurodytoje įstaigoje;</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kokybės vertinimo rezultatus;</w:t>
      </w:r>
    </w:p>
    <w:p>
      <w:pPr>
        <w:pStyle w:val="ListParagraph"/>
        <w:numPr>
          <w:ilvl w:val="1"/>
          <w:numId w:val="8"/>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uppressAutoHyphens w:val="true"/>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3"/>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30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4"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4"/>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5"/>
      <w:numFmt w:val="decimal"/>
      <w:lvlText w:val="%1."/>
      <w:lvlJc w:val="left"/>
      <w:pPr>
        <w:tabs>
          <w:tab w:val="num" w:pos="0"/>
        </w:tabs>
        <w:ind w:left="480" w:hanging="480"/>
      </w:pPr>
      <w:rPr>
        <w:b w:val="false"/>
        <w:bCs/>
      </w:rPr>
    </w:lvl>
    <w:lvl w:ilvl="1">
      <w:start w:val="1"/>
      <w:numFmt w:val="decimal"/>
      <w:lvlText w:val="%1.%2."/>
      <w:lvlJc w:val="left"/>
      <w:pPr>
        <w:tabs>
          <w:tab w:val="num" w:pos="0"/>
        </w:tabs>
        <w:ind w:left="480" w:hanging="48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4.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LibreOffice/7.6.4.1$Windows_X86_64 LibreOffice_project/e19e193f88cd6c0525a17fb7a176ed8e6a3e2aa1</Application>
  <AppVersion>15.0000</AppVersion>
  <Pages>6</Pages>
  <Words>2374</Words>
  <Characters>17097</Characters>
  <CharactersWithSpaces>19350</CharactersWithSpaces>
  <Paragraphs>99</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2025-11-07T13:25:00Z</dcterms:created>
  <dc:creator>Jurgita Nainienė</dc:creator>
  <dc:description/>
  <dc:language>en-US</dc:language>
  <cp:lastModifiedBy>Karolina Rastenytė</cp:lastModifiedBy>
  <dcterms:modified xsi:type="dcterms:W3CDTF">2025-11-07T14:00:00Z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