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45206" w14:textId="1276E7EF" w:rsidR="001D319D" w:rsidRPr="0035284B" w:rsidRDefault="00613A62" w:rsidP="00B8152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Pirkimo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objektas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: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Aukščiausios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klasės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hibridinė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masių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spektrometrijos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sistema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skirta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ultra-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aukšto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jautrumo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"multi-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omikos</w:t>
      </w:r>
      <w:proofErr w:type="spellEnd"/>
      <w:r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" </w:t>
      </w:r>
      <w:proofErr w:type="spellStart"/>
      <w:r w:rsidRPr="0035284B">
        <w:rPr>
          <w:rFonts w:ascii="Arial" w:eastAsia="Times New Roman" w:hAnsi="Arial" w:cs="Arial"/>
          <w:b/>
          <w:bCs/>
          <w:sz w:val="21"/>
          <w:szCs w:val="21"/>
        </w:rPr>
        <w:t>analizei</w:t>
      </w:r>
      <w:proofErr w:type="spellEnd"/>
      <w:r w:rsidR="00B81527"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(</w:t>
      </w:r>
      <w:proofErr w:type="spellStart"/>
      <w:r w:rsidR="00B81527" w:rsidRPr="0035284B">
        <w:rPr>
          <w:rFonts w:ascii="Arial" w:eastAsia="Times New Roman" w:hAnsi="Arial" w:cs="Arial"/>
          <w:b/>
          <w:bCs/>
          <w:sz w:val="21"/>
          <w:szCs w:val="21"/>
        </w:rPr>
        <w:t>toliau</w:t>
      </w:r>
      <w:proofErr w:type="spellEnd"/>
      <w:r w:rsidR="00B81527" w:rsidRPr="0035284B">
        <w:rPr>
          <w:rFonts w:ascii="Arial" w:eastAsia="Times New Roman" w:hAnsi="Arial" w:cs="Arial"/>
          <w:b/>
          <w:bCs/>
          <w:sz w:val="21"/>
          <w:szCs w:val="21"/>
        </w:rPr>
        <w:t xml:space="preserve"> - </w:t>
      </w:r>
      <w:r w:rsidR="001D319D" w:rsidRPr="0035284B">
        <w:rPr>
          <w:rFonts w:ascii="Arial" w:eastAsia="Times New Roman" w:hAnsi="Arial" w:cs="Arial"/>
          <w:b/>
          <w:bCs/>
          <w:sz w:val="21"/>
          <w:szCs w:val="21"/>
        </w:rPr>
        <w:t>Masi</w:t>
      </w:r>
      <w:r w:rsidR="001D319D" w:rsidRPr="0035284B">
        <w:rPr>
          <w:rFonts w:ascii="Arial" w:eastAsia="Times New Roman" w:hAnsi="Arial" w:cs="Arial"/>
          <w:b/>
          <w:bCs/>
          <w:sz w:val="21"/>
          <w:szCs w:val="21"/>
          <w:lang w:val="lt-LT"/>
        </w:rPr>
        <w:t>ų spektrometrijos sistema</w:t>
      </w:r>
      <w:r w:rsidR="00B81527" w:rsidRPr="0035284B">
        <w:rPr>
          <w:rFonts w:ascii="Arial" w:eastAsia="Times New Roman" w:hAnsi="Arial" w:cs="Arial"/>
          <w:b/>
          <w:bCs/>
          <w:sz w:val="21"/>
          <w:szCs w:val="21"/>
          <w:lang w:val="lt-LT"/>
        </w:rPr>
        <w:t>)</w:t>
      </w:r>
    </w:p>
    <w:p w14:paraId="66AB62C1" w14:textId="77777777" w:rsidR="00613A62" w:rsidRPr="0035284B" w:rsidRDefault="00613A62" w:rsidP="00B8152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sz w:val="21"/>
          <w:szCs w:val="21"/>
        </w:rPr>
        <w:t>Pirkimo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tikslas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pagrindiniai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uždaviniai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>:</w:t>
      </w:r>
    </w:p>
    <w:p w14:paraId="57F87741" w14:textId="77777777" w:rsidR="00613A62" w:rsidRPr="0035284B" w:rsidRDefault="00613A62" w:rsidP="0035284B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sz w:val="21"/>
          <w:szCs w:val="21"/>
        </w:rPr>
        <w:t>Perkančioji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organizacija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siekia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įsigyti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pilnai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sukomplektuotą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paruoštą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darbui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angl.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r w:rsidRPr="0035284B">
        <w:rPr>
          <w:rFonts w:ascii="Arial" w:eastAsia="Times New Roman" w:hAnsi="Arial" w:cs="Arial"/>
          <w:i/>
          <w:iCs/>
          <w:sz w:val="21"/>
          <w:szCs w:val="21"/>
        </w:rPr>
        <w:t>turn-key</w:t>
      </w:r>
      <w:r w:rsidRPr="0035284B">
        <w:rPr>
          <w:rFonts w:ascii="Arial" w:eastAsia="Times New Roman" w:hAnsi="Arial" w:cs="Arial"/>
          <w:sz w:val="21"/>
          <w:szCs w:val="21"/>
        </w:rPr>
        <w:t xml:space="preserve">)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masių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spektrometrijos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sistemą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skirtą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fundamentiniams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taikomiesiems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moksliniams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tyrimams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. Sistema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privalo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užtikrinti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maksimalų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jautrumą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spartą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analitinį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lankstumą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sprendžiant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šiuos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pagrindinius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uždavinius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>:</w:t>
      </w:r>
    </w:p>
    <w:p w14:paraId="7203DD17" w14:textId="77777777" w:rsidR="00613A62" w:rsidRPr="0035284B" w:rsidRDefault="00613A62" w:rsidP="0035284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sz w:val="21"/>
          <w:szCs w:val="21"/>
        </w:rPr>
        <w:t>Aukšto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jautrumo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gylio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proteomika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: Sistema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turi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būti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optimizuota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darbui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su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itin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mažu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pradinės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medžiagos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kiekiu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angl.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gramStart"/>
      <w:r w:rsidRPr="0035284B">
        <w:rPr>
          <w:rFonts w:ascii="Arial" w:eastAsia="Times New Roman" w:hAnsi="Arial" w:cs="Arial"/>
          <w:i/>
          <w:iCs/>
          <w:sz w:val="21"/>
          <w:szCs w:val="21"/>
        </w:rPr>
        <w:t>low-input</w:t>
      </w:r>
      <w:proofErr w:type="gramEnd"/>
      <w:r w:rsidRPr="0035284B">
        <w:rPr>
          <w:rFonts w:ascii="Arial" w:eastAsia="Times New Roman" w:hAnsi="Arial" w:cs="Arial"/>
          <w:sz w:val="21"/>
          <w:szCs w:val="21"/>
        </w:rPr>
        <w:t xml:space="preserve">).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Esminis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reikalavimas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yra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gebėjimas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atlikti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kiekybinę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vienos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ląstelės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proteomiką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(SCP),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leidžiančią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analizuoti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ląstelių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populiacijos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heterogeniškumą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>.</w:t>
      </w:r>
    </w:p>
    <w:p w14:paraId="1945AB73" w14:textId="77777777" w:rsidR="00613A62" w:rsidRPr="0035284B" w:rsidRDefault="00613A62" w:rsidP="0035284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r w:rsidRPr="0035284B">
        <w:rPr>
          <w:rFonts w:ascii="Arial" w:eastAsia="Times New Roman" w:hAnsi="Arial" w:cs="Arial"/>
          <w:sz w:val="21"/>
          <w:szCs w:val="21"/>
        </w:rPr>
        <w:t>Post-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transliacinių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modifikacijų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(PTM)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analizė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: Sistema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turi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būti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pajėgi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detaliai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identifikuot</w:t>
      </w:r>
      <w:r w:rsidR="001D319D" w:rsidRPr="0035284B">
        <w:rPr>
          <w:rFonts w:ascii="Arial" w:eastAsia="Times New Roman" w:hAnsi="Arial" w:cs="Arial"/>
          <w:sz w:val="21"/>
          <w:szCs w:val="21"/>
        </w:rPr>
        <w:t>i</w:t>
      </w:r>
      <w:proofErr w:type="spellEnd"/>
      <w:r w:rsidR="001D319D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D319D"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="001D319D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D319D" w:rsidRPr="0035284B">
        <w:rPr>
          <w:rFonts w:ascii="Arial" w:eastAsia="Times New Roman" w:hAnsi="Arial" w:cs="Arial"/>
          <w:sz w:val="21"/>
          <w:szCs w:val="21"/>
        </w:rPr>
        <w:t>kiekybiškai</w:t>
      </w:r>
      <w:proofErr w:type="spellEnd"/>
      <w:r w:rsidR="001D319D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D319D" w:rsidRPr="0035284B">
        <w:rPr>
          <w:rFonts w:ascii="Arial" w:eastAsia="Times New Roman" w:hAnsi="Arial" w:cs="Arial"/>
          <w:sz w:val="21"/>
          <w:szCs w:val="21"/>
        </w:rPr>
        <w:t>įvertinti</w:t>
      </w:r>
      <w:proofErr w:type="spellEnd"/>
      <w:r w:rsidR="001D319D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1D319D" w:rsidRPr="0035284B">
        <w:rPr>
          <w:rFonts w:ascii="Arial" w:eastAsia="Times New Roman" w:hAnsi="Arial" w:cs="Arial"/>
          <w:sz w:val="21"/>
          <w:szCs w:val="21"/>
        </w:rPr>
        <w:t>platčią</w:t>
      </w:r>
      <w:proofErr w:type="spellEnd"/>
      <w:r w:rsidR="001D319D" w:rsidRPr="0035284B">
        <w:rPr>
          <w:rFonts w:ascii="Arial" w:eastAsia="Times New Roman" w:hAnsi="Arial" w:cs="Arial"/>
          <w:sz w:val="21"/>
          <w:szCs w:val="21"/>
        </w:rPr>
        <w:t xml:space="preserve"> PTM </w:t>
      </w:r>
      <w:proofErr w:type="spellStart"/>
      <w:r w:rsidR="001D319D" w:rsidRPr="0035284B">
        <w:rPr>
          <w:rFonts w:ascii="Arial" w:eastAsia="Times New Roman" w:hAnsi="Arial" w:cs="Arial"/>
          <w:sz w:val="21"/>
          <w:szCs w:val="21"/>
        </w:rPr>
        <w:t>įvairovę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ypač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fosforilinimą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glikozilinimą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>).</w:t>
      </w:r>
    </w:p>
    <w:p w14:paraId="20CF2A6E" w14:textId="77777777" w:rsidR="00613A62" w:rsidRPr="0035284B" w:rsidRDefault="00613A62" w:rsidP="0035284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sz w:val="21"/>
          <w:szCs w:val="21"/>
        </w:rPr>
        <w:t>Metabolomika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Lipidomika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: Sistema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turi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užtikrinti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platų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didelės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raiškos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metabolitų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lipidų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profiliavimą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>.</w:t>
      </w:r>
    </w:p>
    <w:p w14:paraId="469B74A9" w14:textId="77777777" w:rsidR="00613A62" w:rsidRPr="0035284B" w:rsidRDefault="00613A62" w:rsidP="0035284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sz w:val="21"/>
          <w:szCs w:val="21"/>
        </w:rPr>
        <w:t>Oligonukleotidų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biofarmacijos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analizė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: Sistema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turi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turėti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dedikuotas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darbo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eigas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skirtas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nepažeistų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modifikuotų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oligonukleotidų (pvz., RNR) bei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peptidinių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vaistų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analizei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,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sekvenavimui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charakterizavimui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>.</w:t>
      </w:r>
    </w:p>
    <w:p w14:paraId="54D741CC" w14:textId="77777777" w:rsidR="00613A62" w:rsidRPr="0035284B" w:rsidRDefault="001D319D" w:rsidP="0035284B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sz w:val="21"/>
          <w:szCs w:val="21"/>
        </w:rPr>
        <w:t>Struktūrinė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n</w:t>
      </w:r>
      <w:r w:rsidR="00613A62" w:rsidRPr="0035284B">
        <w:rPr>
          <w:rFonts w:ascii="Arial" w:eastAsia="Times New Roman" w:hAnsi="Arial" w:cs="Arial"/>
          <w:sz w:val="21"/>
          <w:szCs w:val="21"/>
        </w:rPr>
        <w:t>atyvin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  <w:lang w:val="lt-LT"/>
        </w:rPr>
        <w:t>ė</w:t>
      </w:r>
      <w:r w:rsidRPr="0035284B">
        <w:rPr>
          <w:rFonts w:ascii="Arial" w:eastAsia="Times New Roman" w:hAnsi="Arial" w:cs="Arial"/>
          <w:sz w:val="21"/>
          <w:szCs w:val="21"/>
        </w:rPr>
        <w:t xml:space="preserve"> MS</w:t>
      </w:r>
      <w:r w:rsidR="00613A62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analizė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: Sistema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turi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palaikyti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nepažeistų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baltymų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 ("Top-Down"</w:t>
      </w:r>
      <w:r w:rsidRPr="0035284B">
        <w:rPr>
          <w:rFonts w:ascii="Arial" w:eastAsia="Times New Roman" w:hAnsi="Arial" w:cs="Arial"/>
          <w:sz w:val="21"/>
          <w:szCs w:val="21"/>
        </w:rPr>
        <w:t xml:space="preserve">)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ir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baltymas-baltymas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sąveikų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 (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kompleksų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)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tyrimus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>.</w:t>
      </w:r>
    </w:p>
    <w:p w14:paraId="52E42800" w14:textId="77777777" w:rsidR="006F2222" w:rsidRPr="0035284B" w:rsidRDefault="006F2222" w:rsidP="00B8152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1"/>
          <w:szCs w:val="21"/>
        </w:rPr>
      </w:pPr>
      <w:proofErr w:type="spellStart"/>
      <w:r w:rsidRPr="0035284B">
        <w:rPr>
          <w:rFonts w:ascii="Arial" w:eastAsia="Times New Roman" w:hAnsi="Arial" w:cs="Arial"/>
          <w:sz w:val="21"/>
          <w:szCs w:val="21"/>
        </w:rPr>
        <w:t>Masių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spektrometrijos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sistemos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Pr="0035284B">
        <w:rPr>
          <w:rFonts w:ascii="Arial" w:eastAsia="Times New Roman" w:hAnsi="Arial" w:cs="Arial"/>
          <w:sz w:val="21"/>
          <w:szCs w:val="21"/>
        </w:rPr>
        <w:t>techninė</w:t>
      </w:r>
      <w:proofErr w:type="spellEnd"/>
      <w:r w:rsidRPr="0035284B">
        <w:rPr>
          <w:rFonts w:ascii="Arial" w:eastAsia="Times New Roman" w:hAnsi="Arial" w:cs="Arial"/>
          <w:sz w:val="21"/>
          <w:szCs w:val="21"/>
        </w:rPr>
        <w:t xml:space="preserve"> </w:t>
      </w:r>
      <w:proofErr w:type="spellStart"/>
      <w:r w:rsidR="00613A62" w:rsidRPr="0035284B">
        <w:rPr>
          <w:rFonts w:ascii="Arial" w:eastAsia="Times New Roman" w:hAnsi="Arial" w:cs="Arial"/>
          <w:sz w:val="21"/>
          <w:szCs w:val="21"/>
        </w:rPr>
        <w:t>specifikacija</w:t>
      </w:r>
      <w:proofErr w:type="spellEnd"/>
      <w:r w:rsidR="00613A62" w:rsidRPr="0035284B">
        <w:rPr>
          <w:rFonts w:ascii="Arial" w:eastAsia="Times New Roman" w:hAnsi="Arial" w:cs="Arial"/>
          <w:sz w:val="21"/>
          <w:szCs w:val="21"/>
        </w:rPr>
        <w:t xml:space="preserve"> </w:t>
      </w:r>
    </w:p>
    <w:tbl>
      <w:tblPr>
        <w:tblW w:w="980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"/>
        <w:gridCol w:w="2067"/>
        <w:gridCol w:w="7363"/>
      </w:tblGrid>
      <w:tr w:rsidR="00B81527" w:rsidRPr="0035284B" w14:paraId="150E352C" w14:textId="77777777" w:rsidTr="0035284B">
        <w:trPr>
          <w:trHeight w:val="655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DF76AC" w14:textId="77777777" w:rsidR="006F2222" w:rsidRPr="0035284B" w:rsidRDefault="006F2222" w:rsidP="0035284B">
            <w:pPr>
              <w:spacing w:after="48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Nr.</w:t>
            </w:r>
          </w:p>
        </w:tc>
        <w:tc>
          <w:tcPr>
            <w:tcW w:w="0" w:type="auto"/>
            <w:vAlign w:val="center"/>
            <w:hideMark/>
          </w:tcPr>
          <w:p w14:paraId="38D862D3" w14:textId="77777777" w:rsidR="006F2222" w:rsidRPr="0035284B" w:rsidRDefault="006F2222" w:rsidP="0035284B">
            <w:pPr>
              <w:spacing w:after="48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Parametras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/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Funkcija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60541749" w14:textId="77777777" w:rsidR="006F2222" w:rsidRPr="0035284B" w:rsidRDefault="006F2222" w:rsidP="0035284B">
            <w:pPr>
              <w:spacing w:after="48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Minimalus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reikalavimas</w:t>
            </w:r>
            <w:proofErr w:type="spellEnd"/>
          </w:p>
        </w:tc>
      </w:tr>
      <w:tr w:rsidR="00B81527" w:rsidRPr="0035284B" w14:paraId="70A12177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D1A90CE" w14:textId="77777777" w:rsidR="006F2222" w:rsidRPr="0035284B" w:rsidRDefault="006F2222" w:rsidP="00B81527">
            <w:pPr>
              <w:spacing w:after="48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F321509" w14:textId="77777777" w:rsidR="006F2222" w:rsidRPr="0035284B" w:rsidRDefault="006F2222" w:rsidP="00B81527">
            <w:pPr>
              <w:spacing w:after="48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architektūra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527400F0" w14:textId="77777777" w:rsidR="00B81527" w:rsidRPr="0035284B" w:rsidRDefault="006F2222" w:rsidP="00B8152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Hibridinis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tribridinis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aukštos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raiškos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spektrometras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turintis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bent du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nepriklausomus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analizatorius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lygiagrečius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nuskaitymo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kanalus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1FA55AA" w14:textId="42ABC366" w:rsidR="008C1791" w:rsidRPr="0035284B" w:rsidRDefault="006F2222" w:rsidP="00B8152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Sistema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sukomplektuota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šiomis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dvejomis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skysčių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chromatografijos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(LC)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sistemomis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pilnai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integruotomis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MS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valdymu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rinkimu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158C5464" w14:textId="77777777" w:rsidR="00B81527" w:rsidRPr="0035284B" w:rsidRDefault="006F2222" w:rsidP="00B8152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1.a) Nano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LC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Proteomikai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):</w:t>
            </w:r>
          </w:p>
          <w:p w14:paraId="0BD0430C" w14:textId="77777777" w:rsidR="00B81527" w:rsidRPr="0035284B" w:rsidRDefault="006F2222" w:rsidP="00B8152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Optimizuota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nano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srautams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palaikanti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greitį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diapazone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100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nanolitrų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per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minutę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iki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2000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nanolitrų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per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minutę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98F0899" w14:textId="49639176" w:rsidR="006F2222" w:rsidRPr="0035284B" w:rsidRDefault="006F2222" w:rsidP="00B8152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Maksimalus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darbinis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slėgis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mažesnis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1000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barų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F49B484" w14:textId="1BF5F987" w:rsidR="006F2222" w:rsidRPr="0035284B" w:rsidRDefault="006F2222" w:rsidP="00B81527">
            <w:pPr>
              <w:pStyle w:val="ListParagraph"/>
              <w:numPr>
                <w:ilvl w:val="0"/>
                <w:numId w:val="14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automatinį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mėginių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dozatorių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mėginių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šaldymu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nustatoma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temperatūra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aukštesnė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8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Celsijaus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laipsniai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099F0B1E" w14:textId="2FE1BA26" w:rsidR="00D51DA1" w:rsidRPr="0035284B" w:rsidRDefault="00D51DA1" w:rsidP="00B81527">
            <w:pPr>
              <w:pStyle w:val="ListParagraph"/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Visa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integruota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į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mobilų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laboratorinį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vežimėlį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stalą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ant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ratukų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stabdžiais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357A253D" w14:textId="77777777" w:rsidR="006F2222" w:rsidRPr="0035284B" w:rsidRDefault="006F2222" w:rsidP="00B81527">
            <w:p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1.b)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Mikro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Analitinio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LC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Metabolomikai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Oligonukleotidams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):</w:t>
            </w:r>
          </w:p>
          <w:p w14:paraId="29F35680" w14:textId="19B2E83A" w:rsidR="006F2222" w:rsidRPr="0035284B" w:rsidRDefault="006F2222" w:rsidP="00B8152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Platus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diapazonas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palaikantis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diapazone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1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mikrolitro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per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minutę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iki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2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mililitrų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per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minutę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74A2EF5" w14:textId="7B4853F7" w:rsidR="006F2222" w:rsidRPr="0035284B" w:rsidRDefault="006F2222" w:rsidP="00B8152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Maksimalus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darbinis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slėgis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mažesnis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1000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barų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3F871A0" w14:textId="0659AA86" w:rsidR="006F2222" w:rsidRPr="0035284B" w:rsidRDefault="006F2222" w:rsidP="00B8152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automatinį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mėginių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dozatorių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mėginių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šaldymu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nustatoma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temperatūra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aukštesnė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8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Celsijaus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laipsniai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D2BF44C" w14:textId="5937CAD5" w:rsidR="006F2222" w:rsidRPr="0035284B" w:rsidRDefault="006F2222" w:rsidP="00B8152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lastRenderedPageBreak/>
              <w:t xml:space="preserve">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kolonėlės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termostatą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palaikoma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temperatūra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diapazone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10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Celsijaus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laipsnių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iki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80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Celsijaus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laipsnių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3A47D41D" w14:textId="11C009F1" w:rsidR="00D51DA1" w:rsidRPr="0035284B" w:rsidRDefault="00D51DA1" w:rsidP="00B81527">
            <w:pPr>
              <w:pStyle w:val="ListParagraph"/>
              <w:numPr>
                <w:ilvl w:val="0"/>
                <w:numId w:val="15"/>
              </w:numPr>
              <w:spacing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Visa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integruota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į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mobilų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laboratorinį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vežimėlį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stalą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ant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ratukų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stabdžiais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21D0E4E3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08DD6A0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C6FB6D5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analizatoriaus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rezoliucija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34C5C2DA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40 000 FWHM ties m/z 200.</w:t>
            </w:r>
          </w:p>
        </w:tc>
      </w:tr>
      <w:tr w:rsidR="00B81527" w:rsidRPr="0035284B" w14:paraId="06EB8845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E99B13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DEF1419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tikslumas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(MS¹)</w:t>
            </w:r>
          </w:p>
        </w:tc>
        <w:tc>
          <w:tcPr>
            <w:tcW w:w="7318" w:type="dxa"/>
            <w:vAlign w:val="center"/>
            <w:hideMark/>
          </w:tcPr>
          <w:p w14:paraId="67E2E802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didesnis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3 ppm be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vidinės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kalibracijos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didesnis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 ppm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vidine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kalibracija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(24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valandų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stabilumas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</w:tc>
      </w:tr>
      <w:tr w:rsidR="00B81527" w:rsidRPr="0035284B" w14:paraId="142679A5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D775FE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28D64A38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Dinaminis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diapazonas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3FEA21FB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5 000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viename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spektre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11468A46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157227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08C91963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Fragmentacijos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metodai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(MS/MS)</w:t>
            </w:r>
          </w:p>
        </w:tc>
        <w:tc>
          <w:tcPr>
            <w:tcW w:w="7318" w:type="dxa"/>
            <w:vAlign w:val="center"/>
            <w:hideMark/>
          </w:tcPr>
          <w:p w14:paraId="25DFAEED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Sistema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palaikyti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bent du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nepriklausomus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fragmentacijos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metodus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pvz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., CID + HCD, ETD, EID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lygiaverčius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</w:tc>
      </w:tr>
      <w:tr w:rsidR="00B81527" w:rsidRPr="0035284B" w14:paraId="3F6C1F09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A33608B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00B886C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MS/MS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ciklo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sparta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557D3521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20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hercų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bendra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akvizicijos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sparta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(DDA, DIA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ekvivalentiniu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režimu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</w:tc>
      </w:tr>
      <w:tr w:rsidR="00B81527" w:rsidRPr="0035284B" w14:paraId="68218758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EF80E6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4C30CF38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Prekursorių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izoliacijos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plotis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078A851E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Reguliuojamas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didesnio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0,4 m/z.</w:t>
            </w:r>
          </w:p>
        </w:tc>
      </w:tr>
      <w:tr w:rsidR="00B81527" w:rsidRPr="0035284B" w14:paraId="1AD8C6A2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5224B1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F567F75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diapazonas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0464673A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siauresnis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m/z 50 – 3 000.</w:t>
            </w:r>
          </w:p>
        </w:tc>
      </w:tr>
      <w:tr w:rsidR="00B81527" w:rsidRPr="0035284B" w14:paraId="0992F716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8EEED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E02A4CE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režimai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56796134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palaikomi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bent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šie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DDA, DIA, PRM, SRM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ekvivalentiniai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08009989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1DCFBF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0B7BA8A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mobilumo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/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filtravimo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modulis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437C060B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integruotą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mobilumo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diferencialinio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mobilumo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filtravimo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technologiją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204F576A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0EBF77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2D3EF87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panaudojimo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efektyvumas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r w:rsidRPr="0035284B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duty cycle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7318" w:type="dxa"/>
            <w:vAlign w:val="center"/>
            <w:hideMark/>
          </w:tcPr>
          <w:p w14:paraId="5798E9D4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70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procentų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vidutinis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efektyvumas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183364CD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D9387B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E58784A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Jautrumas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(HeLa digest)</w:t>
            </w:r>
          </w:p>
        </w:tc>
        <w:tc>
          <w:tcPr>
            <w:tcW w:w="7318" w:type="dxa"/>
            <w:vAlign w:val="center"/>
            <w:hideMark/>
          </w:tcPr>
          <w:p w14:paraId="730B6BCC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3 500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baltymų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ID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25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nanogramų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HeLa digest per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ilgesnį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60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minučių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gradientą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13FE8277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6AED156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7BA180F1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gramStart"/>
            <w:r w:rsidRPr="0035284B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Single-cell</w:t>
            </w:r>
            <w:proofErr w:type="gram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režimas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7DDCA04C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1 000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baltymų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ID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didesnio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nanogramo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įkrovimo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582AAECC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DFD6A4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173A0907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Programinė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įranga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4F719DAD" w14:textId="77777777" w:rsidR="00B81527" w:rsidRPr="0035284B" w:rsidRDefault="00D51DA1" w:rsidP="00B81527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</w:t>
            </w:r>
            <w:r w:rsidR="007D50B6" w:rsidRPr="0035284B">
              <w:rPr>
                <w:rFonts w:ascii="Arial" w:hAnsi="Arial" w:cs="Arial"/>
                <w:sz w:val="21"/>
                <w:szCs w:val="21"/>
              </w:rPr>
              <w:t>ntegruota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analizės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aplinka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palaikanti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duomenų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rinkimą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apdorojimą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.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Programinės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įrangos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paketas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turi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apimti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atskirus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modulius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pilnai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integruotas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darbo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eigas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šioms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7D50B6" w:rsidRPr="0035284B">
              <w:rPr>
                <w:rFonts w:ascii="Arial" w:hAnsi="Arial" w:cs="Arial"/>
                <w:sz w:val="21"/>
                <w:szCs w:val="21"/>
              </w:rPr>
              <w:t>analizėms</w:t>
            </w:r>
            <w:proofErr w:type="spellEnd"/>
            <w:r w:rsidR="007D50B6" w:rsidRPr="0035284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3452EDEE" w14:textId="77777777" w:rsidR="00B81527" w:rsidRPr="0035284B" w:rsidRDefault="007D50B6" w:rsidP="00B81527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Proteomika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: DDA, DIA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PTM (Post-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Transliacinių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Modifikacijų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paieškos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variklius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statistiniu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įvertinimu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. 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palaikomos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specifinės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eigos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optimizuotos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vienos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ląstelės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proteomikos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(SCP)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analizei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19E4FD76" w14:textId="77777777" w:rsidR="00B81527" w:rsidRPr="0035284B" w:rsidRDefault="007D50B6" w:rsidP="00B81527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Metabolomika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Metabolitų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atpažinimui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kiekybiniam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įvertinimui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statistinei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analizei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galimybe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naudoti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redaguoti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integruotas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komercines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atviro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kodo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spektrines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bibliotekas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pvz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., HMDB,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Metlin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46C7A7AF" w14:textId="74FFF19D" w:rsidR="007D50B6" w:rsidRPr="0035284B" w:rsidRDefault="007D50B6" w:rsidP="00B81527">
            <w:pPr>
              <w:pStyle w:val="NormalWeb"/>
              <w:numPr>
                <w:ilvl w:val="0"/>
                <w:numId w:val="17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Oligonukleotidų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analizė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Modulis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skirtas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nepažeistų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modifikuotų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oligonukleotidų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sekos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patvirtinimui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analizei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478C501" w14:textId="2F8E004A" w:rsidR="006F2222" w:rsidRPr="0035284B" w:rsidRDefault="007D50B6" w:rsidP="00B81527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Suderinamumas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: 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palaikyti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AI/ML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pagrįstas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paieškas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atvirų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formatų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mzML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/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mzXML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eksportą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užtikrinant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suderinamumą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lastRenderedPageBreak/>
              <w:t>pagrindinėmis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trečiųjų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šalių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analizės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platformomis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pvz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.,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MaxQuant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Spectronaut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</w:tc>
      </w:tr>
      <w:tr w:rsidR="00B81527" w:rsidRPr="0035284B" w14:paraId="481F2A9E" w14:textId="77777777" w:rsidTr="00B81527">
        <w:trPr>
          <w:tblCellSpacing w:w="15" w:type="dxa"/>
        </w:trPr>
        <w:tc>
          <w:tcPr>
            <w:tcW w:w="0" w:type="auto"/>
            <w:vAlign w:val="center"/>
          </w:tcPr>
          <w:p w14:paraId="7880B67A" w14:textId="77777777" w:rsidR="009D27EA" w:rsidRPr="0035284B" w:rsidRDefault="009D27EA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15</w:t>
            </w:r>
          </w:p>
        </w:tc>
        <w:tc>
          <w:tcPr>
            <w:tcW w:w="0" w:type="auto"/>
            <w:vAlign w:val="center"/>
          </w:tcPr>
          <w:p w14:paraId="7CE55583" w14:textId="77777777" w:rsidR="009D27EA" w:rsidRPr="0035284B" w:rsidRDefault="009D27EA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Kompiuterinė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stotys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7318" w:type="dxa"/>
            <w:vAlign w:val="center"/>
          </w:tcPr>
          <w:p w14:paraId="050E71B6" w14:textId="77777777" w:rsidR="009D27EA" w:rsidRPr="0035284B" w:rsidRDefault="009D27EA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pateikta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visa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reikalinga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kompiuterinė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susidedanti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162D14FB" w14:textId="510C1A83" w:rsidR="009D27EA" w:rsidRPr="0035284B" w:rsidRDefault="009D27EA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Prietaisų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valdymo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kompiuterio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Dedikuota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gamintojo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sukonfigūruota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stotis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spektrometro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abiejų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LC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aprašytų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</w:t>
            </w:r>
            <w:r w:rsidR="00B81527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p.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valdymui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pirminių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rinkimui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5A8AAE0F" w14:textId="5510BFCE" w:rsidR="009D27EA" w:rsidRPr="0035284B" w:rsidRDefault="009D27EA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stoties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Atskira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aukšto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našumo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stotis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programinei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aprašytai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14</w:t>
            </w:r>
            <w:r w:rsidR="00B81527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p.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diegti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intensyviam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apdorojimui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proteomikai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metabolomikai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oligonukleotidams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):</w:t>
            </w:r>
          </w:p>
          <w:p w14:paraId="13AF4B70" w14:textId="77777777" w:rsidR="00B81527" w:rsidRPr="0035284B" w:rsidRDefault="009D27EA" w:rsidP="00B8152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stotis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128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gigabaitų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(GB)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operatyviosios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atminties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(RAM).</w:t>
            </w:r>
          </w:p>
          <w:p w14:paraId="7AB9437F" w14:textId="5D940C78" w:rsidR="009D27EA" w:rsidRPr="0035284B" w:rsidRDefault="009D27EA" w:rsidP="00B8152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8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terabaitų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(TB)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talpos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greitąjį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SSD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tipo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vidinį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diską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saugojimui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305F5FA4" w14:textId="77777777" w:rsidR="009D27EA" w:rsidRPr="0035284B" w:rsidRDefault="009D27EA" w:rsidP="00B8152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grafikos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apdorojimo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procesorių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(GPU),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palaikantį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dirbtinio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intelekto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(AI/ML)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skaičiavimus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reikalaujamus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P. 14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nurodytai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programinei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55E4DDD5" w14:textId="77777777" w:rsidR="009D27EA" w:rsidRPr="0035284B" w:rsidRDefault="009D27EA" w:rsidP="00B81527">
            <w:pPr>
              <w:pStyle w:val="ListParagraph"/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du 27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colių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monitorius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patogiam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peržiūrėjimui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0E1781BB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B2BB00" w14:textId="77777777" w:rsidR="006F2222" w:rsidRPr="0035284B" w:rsidRDefault="008C1791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9BCD367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3C06FF8B" w14:textId="3FB993D7" w:rsidR="001F69BC" w:rsidRPr="0035284B" w:rsidRDefault="001F69BC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pateikti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mažiausiai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du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sąsajos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optimizuoti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 p</w:t>
            </w:r>
            <w:r w:rsidR="00B81527"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nurodytoms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LC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sistemoms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3DDBC991" w14:textId="77777777" w:rsidR="00B81527" w:rsidRPr="0035284B" w:rsidRDefault="001F69BC" w:rsidP="00B8152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Nano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srauto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dedikuotą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nano-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elektrospray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sąsają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pvz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., "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NanoSpray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"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lygiavertę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pilnai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suderinamą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1.a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punkte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nurodyta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Nano LC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D396654" w14:textId="04EBEA87" w:rsidR="006F2222" w:rsidRPr="0035284B" w:rsidRDefault="001F69BC" w:rsidP="00B81527">
            <w:pPr>
              <w:pStyle w:val="ListParagraph"/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Analitinio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srauto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universalų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pilnai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suderinamą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1.b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punkte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nurodyta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Mikro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/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Analitine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LC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.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palaikyti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mažiausiai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H-ESI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šildomo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elektrospėjaus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APCI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atmosferos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slėgio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cheminės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jonizacijos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režimus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35031DD9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D8ABEA" w14:textId="77777777" w:rsidR="006F2222" w:rsidRPr="0035284B" w:rsidRDefault="008C1791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14806B3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stabilumas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3335E0F0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Plius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minus 3 ppm per 24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valandų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nepertraukiamo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trukmę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77D05D47" w14:textId="77777777" w:rsidTr="00B81527">
        <w:trPr>
          <w:tblCellSpacing w:w="15" w:type="dxa"/>
        </w:trPr>
        <w:tc>
          <w:tcPr>
            <w:tcW w:w="0" w:type="auto"/>
            <w:vAlign w:val="center"/>
          </w:tcPr>
          <w:p w14:paraId="539CCC52" w14:textId="77777777" w:rsidR="009D27EA" w:rsidRPr="0035284B" w:rsidRDefault="000042F1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18</w:t>
            </w:r>
          </w:p>
        </w:tc>
        <w:tc>
          <w:tcPr>
            <w:tcW w:w="0" w:type="auto"/>
            <w:vAlign w:val="center"/>
          </w:tcPr>
          <w:p w14:paraId="4157525C" w14:textId="77777777" w:rsidR="009D27EA" w:rsidRPr="0035284B" w:rsidRDefault="005B7939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Azoto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dujų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generavimo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sistema</w:t>
            </w:r>
            <w:proofErr w:type="spellEnd"/>
          </w:p>
        </w:tc>
        <w:tc>
          <w:tcPr>
            <w:tcW w:w="7318" w:type="dxa"/>
            <w:vAlign w:val="center"/>
          </w:tcPr>
          <w:p w14:paraId="4DFF74D4" w14:textId="77777777" w:rsidR="009D27EA" w:rsidRPr="0035284B" w:rsidRDefault="009D27EA" w:rsidP="00B81527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pateiktas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spektrometro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darbui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reikalingas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azoto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generatorius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atitinkantis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šiuos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reikalavimus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5C31C7F3" w14:textId="77777777" w:rsidR="009D27EA" w:rsidRPr="0035284B" w:rsidRDefault="009D27EA" w:rsidP="00B81527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Generatorius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integruotu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oro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kompresoriumi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(t. y.,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neturi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reikalauti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išorinio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suspausto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oro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šaltinio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7CD0946F" w14:textId="77777777" w:rsidR="009D27EA" w:rsidRPr="0035284B" w:rsidRDefault="009D27EA" w:rsidP="00B81527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užtikrinti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nuolatinį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azoto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ne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mažesnį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trisdešimt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litrų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per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minutę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68DB5A63" w14:textId="77777777" w:rsidR="009D27EA" w:rsidRPr="0035284B" w:rsidRDefault="009D27EA" w:rsidP="00B81527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užtikrinti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aukštą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azoto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grynumą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tinkamą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aukštos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raiškos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spektrometrijai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(ne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devyniasdešimt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devynių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puse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procentų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grynumas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7DF69573" w14:textId="79D1E6FE" w:rsidR="009D27EA" w:rsidRPr="0035284B" w:rsidRDefault="009D27EA" w:rsidP="00B81527">
            <w:pPr>
              <w:pStyle w:val="NormalWeb"/>
              <w:numPr>
                <w:ilvl w:val="0"/>
                <w:numId w:val="20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lastRenderedPageBreak/>
              <w:t>Generatorius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integruotą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angliavandenilių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ftalatų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šalinimo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valytuvą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),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užtikrinančią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ultra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aukšto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grynumo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(UHP)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dujų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tiekimą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tiesiai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į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spektrometrą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77CF4C2F" w14:textId="77777777" w:rsidTr="00B81527">
        <w:trPr>
          <w:tblCellSpacing w:w="15" w:type="dxa"/>
        </w:trPr>
        <w:tc>
          <w:tcPr>
            <w:tcW w:w="0" w:type="auto"/>
            <w:vAlign w:val="center"/>
          </w:tcPr>
          <w:p w14:paraId="0F975A6B" w14:textId="77777777" w:rsidR="00B56235" w:rsidRPr="0035284B" w:rsidRDefault="000042F1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19</w:t>
            </w:r>
          </w:p>
        </w:tc>
        <w:tc>
          <w:tcPr>
            <w:tcW w:w="0" w:type="auto"/>
            <w:vAlign w:val="center"/>
          </w:tcPr>
          <w:p w14:paraId="3C746475" w14:textId="7238EA7D" w:rsidR="00B56235" w:rsidRPr="0035284B" w:rsidRDefault="00B56235" w:rsidP="00B81527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Vakuuminė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="00B81527" w:rsidRPr="0035284B">
              <w:rPr>
                <w:rFonts w:ascii="Arial" w:hAnsi="Arial" w:cs="Arial"/>
                <w:sz w:val="21"/>
                <w:szCs w:val="21"/>
              </w:rPr>
              <w:t>s</w:t>
            </w:r>
            <w:r w:rsidRPr="0035284B">
              <w:rPr>
                <w:rFonts w:ascii="Arial" w:hAnsi="Arial" w:cs="Arial"/>
                <w:sz w:val="21"/>
                <w:szCs w:val="21"/>
              </w:rPr>
              <w:t>istema</w:t>
            </w:r>
            <w:proofErr w:type="spellEnd"/>
          </w:p>
        </w:tc>
        <w:tc>
          <w:tcPr>
            <w:tcW w:w="7318" w:type="dxa"/>
            <w:vAlign w:val="center"/>
          </w:tcPr>
          <w:p w14:paraId="583EAF13" w14:textId="77777777" w:rsidR="00B56235" w:rsidRPr="0035284B" w:rsidRDefault="00B56235" w:rsidP="00B81527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spektrometras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komplektuojamas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išoriniais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sauso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tipo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angl.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hAnsi="Arial" w:cs="Arial"/>
                <w:i/>
                <w:iCs/>
                <w:sz w:val="21"/>
                <w:szCs w:val="21"/>
              </w:rPr>
              <w:t>dry pump</w:t>
            </w:r>
            <w:r w:rsidRPr="0035284B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vakuuminiais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siurbliais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nereikalaujančiais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alyvos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keitimo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5C1227DE" w14:textId="77777777" w:rsidTr="00B81527">
        <w:trPr>
          <w:tblCellSpacing w:w="15" w:type="dxa"/>
        </w:trPr>
        <w:tc>
          <w:tcPr>
            <w:tcW w:w="0" w:type="auto"/>
            <w:vAlign w:val="center"/>
          </w:tcPr>
          <w:p w14:paraId="66AA9092" w14:textId="77777777" w:rsidR="00B56235" w:rsidRPr="0035284B" w:rsidRDefault="000042F1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20</w:t>
            </w:r>
          </w:p>
        </w:tc>
        <w:tc>
          <w:tcPr>
            <w:tcW w:w="0" w:type="auto"/>
            <w:vAlign w:val="center"/>
          </w:tcPr>
          <w:p w14:paraId="387927A7" w14:textId="2454B3DF" w:rsidR="00B56235" w:rsidRPr="0035284B" w:rsidRDefault="00AC504B" w:rsidP="00B81527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Stacionarus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spektrometro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stalas</w:t>
            </w:r>
            <w:proofErr w:type="spellEnd"/>
          </w:p>
        </w:tc>
        <w:tc>
          <w:tcPr>
            <w:tcW w:w="7318" w:type="dxa"/>
            <w:vAlign w:val="center"/>
          </w:tcPr>
          <w:p w14:paraId="1AF2F9C0" w14:textId="77777777" w:rsidR="00B56235" w:rsidRPr="0035284B" w:rsidRDefault="008C1791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</w:t>
            </w:r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uri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pateikti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šiems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reikalavimams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pritaikyti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laboratoriniai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baldai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76F587DB" w14:textId="01FBAB74" w:rsidR="00B56235" w:rsidRPr="0035284B" w:rsidRDefault="00B56235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Stacionarus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spektrometro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stalas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4469C515" w14:textId="5B33D827" w:rsidR="00B56235" w:rsidRPr="0035284B" w:rsidRDefault="00B56235" w:rsidP="00AC504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pateiktas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specializuotas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stacionarus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(ne ant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ratų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laboratorinis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stalas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spektrometro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pastatymui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8BA9F75" w14:textId="420019EF" w:rsidR="00B56235" w:rsidRPr="0035284B" w:rsidRDefault="00B56235" w:rsidP="00AC504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Stalas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pritaikytas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atlaikyti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mažesnę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500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kilogramų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statinę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apkrovą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1A840367" w14:textId="798A004D" w:rsidR="00B56235" w:rsidRPr="0035284B" w:rsidRDefault="00AC504B" w:rsidP="00AC504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Stalas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</w:t>
            </w:r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uri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vibracijas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slopinančias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savybes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11FAC2DC" w14:textId="54C11545" w:rsidR="00B56235" w:rsidRPr="0035284B" w:rsidRDefault="00AC504B" w:rsidP="00AC504B">
            <w:pPr>
              <w:pStyle w:val="ListParagraph"/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Stalas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</w:t>
            </w:r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uri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integruotą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vietą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išoriniam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vakuuminiam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siurbliui</w:t>
            </w:r>
            <w:proofErr w:type="spellEnd"/>
            <w:r w:rsidR="00B56235"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6669630A" w14:textId="77777777" w:rsidTr="00B81527">
        <w:trPr>
          <w:tblCellSpacing w:w="15" w:type="dxa"/>
        </w:trPr>
        <w:tc>
          <w:tcPr>
            <w:tcW w:w="0" w:type="auto"/>
            <w:vAlign w:val="center"/>
          </w:tcPr>
          <w:p w14:paraId="3F906776" w14:textId="77777777" w:rsidR="001C68CE" w:rsidRPr="0035284B" w:rsidRDefault="001C68CE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21</w:t>
            </w:r>
          </w:p>
        </w:tc>
        <w:tc>
          <w:tcPr>
            <w:tcW w:w="0" w:type="auto"/>
            <w:vAlign w:val="center"/>
          </w:tcPr>
          <w:p w14:paraId="21DDDE5B" w14:textId="77777777" w:rsidR="001C68CE" w:rsidRPr="0035284B" w:rsidRDefault="001C68CE" w:rsidP="00B81527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Vietinė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maitinimo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kokybės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apsauga</w:t>
            </w:r>
            <w:proofErr w:type="spellEnd"/>
          </w:p>
        </w:tc>
        <w:tc>
          <w:tcPr>
            <w:tcW w:w="7318" w:type="dxa"/>
            <w:vAlign w:val="center"/>
          </w:tcPr>
          <w:p w14:paraId="57A7FD48" w14:textId="77777777" w:rsidR="001C68CE" w:rsidRPr="0035284B" w:rsidRDefault="001C68CE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pateiktas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maitinimo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kondicionierius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angl.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Power Conditioner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linijinio-interaktyvaus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angl.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Line-Interactive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tipo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UPS,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spektrometro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jo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valdymo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kompiuterio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apsaugai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trumpalaikių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įtampos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svyravimų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šuolių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elektros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tinklo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triukšmo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14221C5A" w14:textId="5FF6D79D" w:rsidR="001C68CE" w:rsidRPr="0035284B" w:rsidRDefault="001C68CE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Įrenginys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užtikrinti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automatinį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įtampos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reguliavimą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(AVR)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elektros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tinklo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triukšmo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filtravimą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371F8FA" w14:textId="47A8F777" w:rsidR="001C68CE" w:rsidRPr="0035284B" w:rsidRDefault="001C68CE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Įrenginio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pakankama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spektrometrui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jo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valdymo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kompiuteriui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palaikyti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bet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trys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kilovoltamperai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(3 kVA).</w:t>
            </w:r>
          </w:p>
        </w:tc>
      </w:tr>
      <w:tr w:rsidR="00B81527" w:rsidRPr="0035284B" w14:paraId="75FFA6FE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0956C3" w14:textId="77777777" w:rsidR="006F2222" w:rsidRPr="0035284B" w:rsidRDefault="001C68CE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55278C4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Serviso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prieinamumas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67EFCFB1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Įgaliotasis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tiekėjo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atstovas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sertifikuotus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serviso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inžinierius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Lietuvoje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reakcijos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laikas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ilgesnis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48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valandos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</w:tc>
      </w:tr>
      <w:tr w:rsidR="00B81527" w:rsidRPr="0035284B" w14:paraId="33C3B690" w14:textId="77777777" w:rsidTr="00B8152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EB99A2" w14:textId="77777777" w:rsidR="006F2222" w:rsidRPr="0035284B" w:rsidRDefault="001C68CE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14:paraId="6D71B756" w14:textId="77777777" w:rsidR="006F2222" w:rsidRPr="0035284B" w:rsidRDefault="006F222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Garantija</w:t>
            </w:r>
            <w:proofErr w:type="spellEnd"/>
          </w:p>
        </w:tc>
        <w:tc>
          <w:tcPr>
            <w:tcW w:w="7318" w:type="dxa"/>
            <w:vAlign w:val="center"/>
            <w:hideMark/>
          </w:tcPr>
          <w:p w14:paraId="3E935621" w14:textId="12486523" w:rsidR="005B7939" w:rsidRPr="0035284B" w:rsidRDefault="005B7939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privalo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suteikti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trijų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garantiją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visam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kompleksui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355BFB71" w14:textId="77777777" w:rsidR="005B7939" w:rsidRPr="0035284B" w:rsidRDefault="005B7939" w:rsidP="00B815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Aprėptis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Garantija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apimti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visas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pirkimo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pateiktas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dalis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įskaitant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spektrometrą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abi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skysčių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chromatografijos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kompiuterinę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azoto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generavimo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4C9F485" w14:textId="77777777" w:rsidR="005B7939" w:rsidRPr="0035284B" w:rsidRDefault="005B7939" w:rsidP="00B815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Išlaidos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Garantija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pilnai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padengti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visas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atsargines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dalis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išskyrus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planines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eksploatacines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medžiagas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pvz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.,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chromatografines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kolonėles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tirpiklių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butelius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visas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aptarnavimu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susijusias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išlaidas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įskaitant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serviso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inžinieriaus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kelionės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išlaidas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72B65D51" w14:textId="77777777" w:rsidR="005B7939" w:rsidRPr="0035284B" w:rsidRDefault="005B7939" w:rsidP="00B815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Reagavimo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laikas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Garantija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užtikrinti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serviso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inžinieriaus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atvykimą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į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instaliavimo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vietą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vėliau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per 10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darbo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dien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  <w:lang w:val="lt-LT"/>
              </w:rPr>
              <w:t>ų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gedimo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užregistravimo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5926E5CF" w14:textId="77777777" w:rsidR="005B7939" w:rsidRPr="0035284B" w:rsidRDefault="005B7939" w:rsidP="00B815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Profilaktinis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aptarnavimas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(PM): Į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garantijos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laikotarpį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įtraukti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vienas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planinis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profilaktinis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aptarnavimai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(PM) per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visam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kompleksui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444B19EE" w14:textId="77777777" w:rsidR="005B7939" w:rsidRPr="0035284B" w:rsidRDefault="005B7939" w:rsidP="00B81527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Programinė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programinės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atnaujinimai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pataisymai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naujos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versijos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garantiniu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laikotarpiu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teikiami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nemokamai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6560204A" w14:textId="4C92B268" w:rsidR="006F2222" w:rsidRPr="0035284B" w:rsidRDefault="005B7939" w:rsidP="00AC504B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Veikimo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laikas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(Uptime):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užtikrinti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minimalų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veikimo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laiką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angl.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uptime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),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devyniasdešimt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penki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procentai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(95%) per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skaičiuojant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gedimų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už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kuriuos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atsakingas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1843666E" w14:textId="77777777" w:rsidTr="00B81527">
        <w:trPr>
          <w:tblCellSpacing w:w="15" w:type="dxa"/>
        </w:trPr>
        <w:tc>
          <w:tcPr>
            <w:tcW w:w="0" w:type="auto"/>
            <w:vAlign w:val="center"/>
          </w:tcPr>
          <w:p w14:paraId="763F7991" w14:textId="77777777" w:rsidR="001D319D" w:rsidRPr="0035284B" w:rsidRDefault="0043226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lastRenderedPageBreak/>
              <w:t>25</w:t>
            </w:r>
          </w:p>
        </w:tc>
        <w:tc>
          <w:tcPr>
            <w:tcW w:w="0" w:type="auto"/>
            <w:vAlign w:val="center"/>
          </w:tcPr>
          <w:p w14:paraId="7C27A5E9" w14:textId="77777777" w:rsidR="001D319D" w:rsidRPr="0035284B" w:rsidRDefault="0043226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Personalo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mokymas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aplikacijų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palaikymas</w:t>
            </w:r>
            <w:proofErr w:type="spellEnd"/>
          </w:p>
        </w:tc>
        <w:tc>
          <w:tcPr>
            <w:tcW w:w="7318" w:type="dxa"/>
            <w:vAlign w:val="center"/>
          </w:tcPr>
          <w:p w14:paraId="1814CD9D" w14:textId="3C654BD4" w:rsidR="001D319D" w:rsidRPr="0035284B" w:rsidRDefault="001D319D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privalo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AC504B" w:rsidRPr="0035284B">
              <w:rPr>
                <w:rFonts w:ascii="Arial" w:eastAsia="Times New Roman" w:hAnsi="Arial" w:cs="Arial"/>
                <w:sz w:val="21"/>
                <w:szCs w:val="21"/>
              </w:rPr>
              <w:t>apmokyti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Perkančiosios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organizacijos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personal</w:t>
            </w:r>
            <w:r w:rsidR="00AC504B" w:rsidRPr="0035284B">
              <w:rPr>
                <w:rFonts w:ascii="Arial" w:eastAsia="Times New Roman" w:hAnsi="Arial" w:cs="Arial"/>
                <w:sz w:val="21"/>
                <w:szCs w:val="21"/>
              </w:rPr>
              <w:t>ą</w:t>
            </w:r>
            <w:proofErr w:type="spellEnd"/>
            <w:r w:rsidR="00AC504B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savarankiškai</w:t>
            </w:r>
            <w:proofErr w:type="spellEnd"/>
            <w:proofErr w:type="gram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valdyti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įsigytą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vykdyti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preambulėje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nurodytus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pagrindinius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uždavinius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7120BE26" w14:textId="77777777" w:rsidR="001D319D" w:rsidRPr="0035284B" w:rsidRDefault="001D319D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įtraukti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į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kainą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susidėti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mažiausiai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dviejų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dalių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102BA7E7" w14:textId="62A872E1" w:rsidR="001D319D" w:rsidRPr="0035284B" w:rsidRDefault="001D319D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Baziniai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vietoje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):</w:t>
            </w:r>
          </w:p>
          <w:p w14:paraId="75D4F233" w14:textId="49299E75" w:rsidR="001D319D" w:rsidRPr="0035284B" w:rsidRDefault="001D319D" w:rsidP="00AC504B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Turi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surengti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Perkančiosios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organizacijos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laboratorijoje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iškart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po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pilno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sistemos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instaliavimo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sėkmingo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kvalifikavimo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055C91F5" w14:textId="05CBE097" w:rsidR="001D319D" w:rsidRPr="0035284B" w:rsidRDefault="001D319D" w:rsidP="00AC504B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keturiems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(4)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Perkančiosios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organizacijos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specialistams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4B58080B" w14:textId="343E2A5F" w:rsidR="001D319D" w:rsidRPr="0035284B" w:rsidRDefault="001D319D" w:rsidP="00AC504B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apimti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pilną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aparatinės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valdymą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(MS, LC),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kalibravimą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kasdienę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priežiūrą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pagrindinę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trikčių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diagnostiką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0B397600" w14:textId="16E0622D" w:rsidR="001D319D" w:rsidRPr="0035284B" w:rsidRDefault="001D319D" w:rsidP="00AC504B">
            <w:pPr>
              <w:pStyle w:val="ListParagraph"/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apimti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14 </w:t>
            </w:r>
            <w:r w:rsidR="00AC504B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p.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nurodytų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programinės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modulių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rinkimo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apdorojimo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praktinį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naudojimą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367095F9" w14:textId="40492F27" w:rsidR="001D319D" w:rsidRPr="0035284B" w:rsidRDefault="001D319D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Pažangūs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aplikacijų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18363F3C" w14:textId="097AE13F" w:rsidR="001D319D" w:rsidRPr="0035284B" w:rsidRDefault="001D319D" w:rsidP="00AC504B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privalo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vieną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(1)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pažengusiems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vartotojams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kursą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trumpesnį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3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dienos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r w:rsidR="00831AC6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ne </w:t>
            </w:r>
            <w:proofErr w:type="spellStart"/>
            <w:r w:rsidR="00831AC6" w:rsidRPr="0035284B">
              <w:rPr>
                <w:rFonts w:ascii="Arial" w:eastAsia="Times New Roman" w:hAnsi="Arial" w:cs="Arial"/>
                <w:sz w:val="21"/>
                <w:szCs w:val="21"/>
              </w:rPr>
              <w:t>mažiau</w:t>
            </w:r>
            <w:proofErr w:type="spellEnd"/>
            <w:r w:rsidR="00831AC6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831AC6" w:rsidRPr="0035284B">
              <w:rPr>
                <w:rFonts w:ascii="Arial" w:eastAsia="Times New Roman" w:hAnsi="Arial" w:cs="Arial"/>
                <w:sz w:val="21"/>
                <w:szCs w:val="21"/>
              </w:rPr>
              <w:t>kaip</w:t>
            </w:r>
            <w:proofErr w:type="spellEnd"/>
            <w:r w:rsidR="00831AC6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="00432262" w:rsidRPr="0035284B">
              <w:rPr>
                <w:rFonts w:ascii="Arial" w:eastAsia="Times New Roman" w:hAnsi="Arial" w:cs="Arial"/>
                <w:sz w:val="21"/>
                <w:szCs w:val="21"/>
              </w:rPr>
              <w:t>trim</w:t>
            </w:r>
            <w:r w:rsidR="00831AC6" w:rsidRPr="0035284B">
              <w:rPr>
                <w:rFonts w:ascii="Arial" w:eastAsia="Times New Roman" w:hAnsi="Arial" w:cs="Arial"/>
                <w:sz w:val="21"/>
                <w:szCs w:val="21"/>
              </w:rPr>
              <w:t>s</w:t>
            </w:r>
            <w:r w:rsidR="00432262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(3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specialistams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7424A91A" w14:textId="653D622B" w:rsidR="001D319D" w:rsidRPr="0035284B" w:rsidRDefault="001D319D" w:rsidP="00AC504B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Šie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sutarimu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surengti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gamintojo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aplikacijų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laboratorijoje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Europoje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Perkančiosios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organizacijos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laboratorijoje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vietoje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  <w:p w14:paraId="3D782F26" w14:textId="3C2D61C3" w:rsidR="001D319D" w:rsidRPr="0035284B" w:rsidRDefault="001D319D" w:rsidP="00AC504B">
            <w:pPr>
              <w:pStyle w:val="ListParagraph"/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giluminiai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sudėtingoms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aplikacijoms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nurodytoms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pirkimo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tiksluose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  <w:u w:val="single"/>
              </w:rPr>
              <w:t>ypač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="00432262" w:rsidRPr="0035284B">
              <w:rPr>
                <w:rFonts w:ascii="Arial" w:eastAsia="Times New Roman" w:hAnsi="Arial" w:cs="Arial"/>
                <w:sz w:val="21"/>
                <w:szCs w:val="21"/>
              </w:rPr>
              <w:t>v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ienos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ląstelės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proteomikai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(SCP), PTM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Oligonukleotidų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).</w:t>
            </w:r>
          </w:p>
          <w:p w14:paraId="414BE956" w14:textId="56AD1FA4" w:rsidR="00023334" w:rsidRPr="0035284B" w:rsidRDefault="001D319D" w:rsidP="00B81527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turi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būti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vedami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anglų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lietuvių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kalba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pateikiant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visą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mokomąją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medžiagą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</w:tr>
      <w:tr w:rsidR="00B81527" w:rsidRPr="0035284B" w14:paraId="7CEC7ECF" w14:textId="77777777" w:rsidTr="00B81527">
        <w:trPr>
          <w:tblCellSpacing w:w="15" w:type="dxa"/>
        </w:trPr>
        <w:tc>
          <w:tcPr>
            <w:tcW w:w="0" w:type="auto"/>
            <w:vAlign w:val="center"/>
          </w:tcPr>
          <w:p w14:paraId="6CBD49CC" w14:textId="77777777" w:rsidR="001F69BC" w:rsidRPr="0035284B" w:rsidRDefault="00432262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>26</w:t>
            </w:r>
          </w:p>
        </w:tc>
        <w:tc>
          <w:tcPr>
            <w:tcW w:w="0" w:type="auto"/>
            <w:vAlign w:val="center"/>
          </w:tcPr>
          <w:p w14:paraId="34C50E06" w14:textId="77777777" w:rsidR="001F69BC" w:rsidRPr="0035284B" w:rsidRDefault="001F69BC" w:rsidP="00B81527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Techninės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specifikacijos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reikalavimų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pagrindimas</w:t>
            </w:r>
            <w:proofErr w:type="spellEnd"/>
          </w:p>
        </w:tc>
        <w:tc>
          <w:tcPr>
            <w:tcW w:w="7318" w:type="dxa"/>
            <w:vAlign w:val="center"/>
          </w:tcPr>
          <w:p w14:paraId="06B7B9D9" w14:textId="77777777" w:rsidR="001F69BC" w:rsidRPr="0035284B" w:rsidRDefault="001F69BC" w:rsidP="00B81527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privalo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kartu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pasiūlymu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pateikti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detalią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atitikties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lentelę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kurioje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prie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kiekvieno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šios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techninės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specifikacijos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punkto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būtų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aiškiai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nurodyta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kaip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siūloma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įranga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programinė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įranga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paslaugos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atitinka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keliamą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reikalavimą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pateikti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nuorodas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į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pagrindžiančius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dokumentus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161801D" w14:textId="77777777" w:rsidR="001F69BC" w:rsidRPr="0035284B" w:rsidRDefault="001F69BC" w:rsidP="00B81527">
            <w:pPr>
              <w:pStyle w:val="NormalWeb"/>
              <w:rPr>
                <w:rFonts w:ascii="Arial" w:hAnsi="Arial" w:cs="Arial"/>
                <w:sz w:val="21"/>
                <w:szCs w:val="21"/>
              </w:rPr>
            </w:pPr>
            <w:r w:rsidRPr="0035284B">
              <w:rPr>
                <w:rFonts w:ascii="Arial" w:hAnsi="Arial" w:cs="Arial"/>
                <w:sz w:val="21"/>
                <w:szCs w:val="21"/>
              </w:rPr>
              <w:lastRenderedPageBreak/>
              <w:t xml:space="preserve">Kartu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su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atitikties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lentele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privalo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pateikti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pagrindžiančius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dokumentus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lietuvių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anglų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kalba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:</w:t>
            </w:r>
          </w:p>
          <w:p w14:paraId="247CC0EA" w14:textId="77777777" w:rsidR="001F69BC" w:rsidRPr="0035284B" w:rsidRDefault="001F69BC" w:rsidP="00B8152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funkcijoms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Gamintojo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oficialius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techninius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aprašus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angl.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hAnsi="Arial" w:cs="Arial"/>
                <w:i/>
                <w:iCs/>
                <w:sz w:val="21"/>
                <w:szCs w:val="21"/>
              </w:rPr>
              <w:t>datasheets</w:t>
            </w:r>
            <w:r w:rsidRPr="0035284B">
              <w:rPr>
                <w:rFonts w:ascii="Arial" w:hAnsi="Arial" w:cs="Arial"/>
                <w:sz w:val="21"/>
                <w:szCs w:val="21"/>
              </w:rPr>
              <w:t xml:space="preserve">),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brošiūras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technines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specifikacijas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kuriose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aiškiai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deklaruojamos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reikalaujamos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savybės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pvz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.,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diapazonas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rezoliucija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kompiuterinės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parametrai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LC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srautai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slėgis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).</w:t>
            </w:r>
          </w:p>
          <w:p w14:paraId="1269B90A" w14:textId="159F9B6F" w:rsidR="001F69BC" w:rsidRPr="0035284B" w:rsidRDefault="001F69BC" w:rsidP="00B81527">
            <w:pPr>
              <w:pStyle w:val="NormalWeb"/>
              <w:numPr>
                <w:ilvl w:val="0"/>
                <w:numId w:val="12"/>
              </w:numPr>
              <w:rPr>
                <w:rFonts w:ascii="Arial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našumui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: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Ypatingą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dėmesį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skiriant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12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punktui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Jautrumas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13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punktui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gramStart"/>
            <w:r w:rsidRPr="0035284B">
              <w:rPr>
                <w:rFonts w:ascii="Arial" w:hAnsi="Arial" w:cs="Arial"/>
                <w:sz w:val="21"/>
                <w:szCs w:val="21"/>
              </w:rPr>
              <w:t>Single-cell</w:t>
            </w:r>
            <w:proofErr w:type="gram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režimas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),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tiekėjas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privalo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pateikti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oficialias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gamintojo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aplikacijų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ataskaitas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angl.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hAnsi="Arial" w:cs="Arial"/>
                <w:i/>
                <w:iCs/>
                <w:sz w:val="21"/>
                <w:szCs w:val="21"/>
              </w:rPr>
              <w:t>application notes</w:t>
            </w:r>
            <w:r w:rsidRPr="0035284B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recenzuotus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mokslinius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straipsnius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kurie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įrodo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kad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siūloma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lygiavertė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tos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pačios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platformos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sistema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pasiekia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arba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viršija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nurodytus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našumo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hAnsi="Arial" w:cs="Arial"/>
                <w:sz w:val="21"/>
                <w:szCs w:val="21"/>
              </w:rPr>
              <w:t>rodiklius</w:t>
            </w:r>
            <w:proofErr w:type="spellEnd"/>
            <w:r w:rsidRPr="0035284B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</w:tbl>
    <w:p w14:paraId="328A4BCE" w14:textId="77777777" w:rsidR="00247708" w:rsidRPr="0035284B" w:rsidRDefault="00247708" w:rsidP="00B81527">
      <w:pPr>
        <w:spacing w:line="240" w:lineRule="auto"/>
        <w:rPr>
          <w:rFonts w:ascii="Arial" w:hAnsi="Arial" w:cs="Arial"/>
          <w:sz w:val="21"/>
          <w:szCs w:val="21"/>
        </w:rPr>
      </w:pPr>
    </w:p>
    <w:p w14:paraId="7E8AF174" w14:textId="77777777" w:rsidR="00247708" w:rsidRPr="0035284B" w:rsidRDefault="00247708" w:rsidP="00B81527">
      <w:pPr>
        <w:pStyle w:val="Heading3"/>
        <w:rPr>
          <w:rFonts w:ascii="Arial" w:hAnsi="Arial" w:cs="Arial"/>
          <w:b w:val="0"/>
          <w:bCs w:val="0"/>
          <w:sz w:val="21"/>
          <w:szCs w:val="21"/>
        </w:rPr>
      </w:pP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Ekonominio</w:t>
      </w:r>
      <w:proofErr w:type="spellEnd"/>
      <w:r w:rsidRPr="0035284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naudingumo</w:t>
      </w:r>
      <w:proofErr w:type="spellEnd"/>
      <w:r w:rsidRPr="0035284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vertinimo</w:t>
      </w:r>
      <w:proofErr w:type="spellEnd"/>
      <w:r w:rsidRPr="0035284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kriterijai</w:t>
      </w:r>
      <w:proofErr w:type="spellEnd"/>
      <w:r w:rsidRPr="0035284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ir</w:t>
      </w:r>
      <w:proofErr w:type="spellEnd"/>
      <w:r w:rsidRPr="0035284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balų</w:t>
      </w:r>
      <w:proofErr w:type="spellEnd"/>
      <w:r w:rsidRPr="0035284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skyrimo</w:t>
      </w:r>
      <w:proofErr w:type="spellEnd"/>
      <w:r w:rsidRPr="0035284B">
        <w:rPr>
          <w:rFonts w:ascii="Arial" w:hAnsi="Arial" w:cs="Arial"/>
          <w:b w:val="0"/>
          <w:bCs w:val="0"/>
          <w:sz w:val="21"/>
          <w:szCs w:val="21"/>
        </w:rPr>
        <w:t xml:space="preserve"> </w:t>
      </w:r>
      <w:proofErr w:type="spellStart"/>
      <w:r w:rsidRPr="0035284B">
        <w:rPr>
          <w:rFonts w:ascii="Arial" w:hAnsi="Arial" w:cs="Arial"/>
          <w:b w:val="0"/>
          <w:bCs w:val="0"/>
          <w:sz w:val="21"/>
          <w:szCs w:val="21"/>
        </w:rPr>
        <w:t>metodika</w:t>
      </w:r>
      <w:proofErr w:type="spellEnd"/>
    </w:p>
    <w:tbl>
      <w:tblPr>
        <w:tblW w:w="10000" w:type="dxa"/>
        <w:tblLook w:val="04A0" w:firstRow="1" w:lastRow="0" w:firstColumn="1" w:lastColumn="0" w:noHBand="0" w:noVBand="1"/>
      </w:tblPr>
      <w:tblGrid>
        <w:gridCol w:w="600"/>
        <w:gridCol w:w="2005"/>
        <w:gridCol w:w="4235"/>
        <w:gridCol w:w="805"/>
        <w:gridCol w:w="990"/>
        <w:gridCol w:w="1365"/>
      </w:tblGrid>
      <w:tr w:rsidR="00A61A90" w:rsidRPr="0035284B" w14:paraId="2950F5FB" w14:textId="77777777" w:rsidTr="005348C7">
        <w:trPr>
          <w:trHeight w:val="1215"/>
        </w:trPr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69B7E95" w14:textId="77777777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Vertinimo kriterijai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653D64D" w14:textId="77777777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Lyginamasis svoris ekonominio naudingumo įvertinime</w:t>
            </w:r>
          </w:p>
        </w:tc>
      </w:tr>
      <w:tr w:rsidR="00A61A90" w:rsidRPr="0035284B" w14:paraId="7C9F72B8" w14:textId="77777777" w:rsidTr="005348C7">
        <w:trPr>
          <w:trHeight w:val="360"/>
        </w:trPr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F965E4" w14:textId="77777777" w:rsidR="00A61A90" w:rsidRPr="0035284B" w:rsidRDefault="00A61A90" w:rsidP="005348C7">
            <w:pPr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Kaina (K)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C6AF25" w14:textId="77777777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X =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C3A1E0C" w14:textId="10139F2C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</w:rPr>
              <w:t>75</w:t>
            </w:r>
          </w:p>
        </w:tc>
      </w:tr>
      <w:tr w:rsidR="00A61A90" w:rsidRPr="0035284B" w14:paraId="2A403FE1" w14:textId="77777777" w:rsidTr="005348C7">
        <w:trPr>
          <w:trHeight w:val="360"/>
        </w:trPr>
        <w:tc>
          <w:tcPr>
            <w:tcW w:w="7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C00FE2C" w14:textId="77777777" w:rsidR="00A61A90" w:rsidRPr="0035284B" w:rsidRDefault="00A61A90" w:rsidP="005348C7">
            <w:pPr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Techniniai pranašumai (T)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23A518" w14:textId="77777777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Y =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B814BA7" w14:textId="0AE5585A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2</w:t>
            </w: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5</w:t>
            </w:r>
          </w:p>
        </w:tc>
      </w:tr>
      <w:tr w:rsidR="00A61A90" w:rsidRPr="0035284B" w14:paraId="316D372E" w14:textId="77777777" w:rsidTr="00A61A90">
        <w:trPr>
          <w:trHeight w:val="3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DDF581A" w14:textId="77777777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Nr.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C43D494" w14:textId="77777777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Parametrai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3F2AA0" w14:textId="77777777" w:rsidR="00A61A90" w:rsidRPr="0035284B" w:rsidRDefault="00A61A90" w:rsidP="005348C7">
            <w:pPr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Formulės rūšis</w:t>
            </w:r>
          </w:p>
        </w:tc>
        <w:tc>
          <w:tcPr>
            <w:tcW w:w="31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F531583" w14:textId="77777777" w:rsidR="00A61A90" w:rsidRPr="0035284B" w:rsidRDefault="00A61A90" w:rsidP="005348C7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color w:val="000000"/>
                <w:sz w:val="21"/>
                <w:szCs w:val="21"/>
                <w:lang w:val="lt-LT"/>
              </w:rPr>
              <w:t>Parametro lyginamasis svoris</w:t>
            </w:r>
          </w:p>
        </w:tc>
      </w:tr>
      <w:tr w:rsidR="00A61A90" w:rsidRPr="0035284B" w14:paraId="37AA2621" w14:textId="77777777" w:rsidTr="00A61A90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AAB77" w14:textId="77777777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T1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C035" w14:textId="61955110" w:rsidR="00A61A90" w:rsidRPr="0035284B" w:rsidRDefault="00A61A90" w:rsidP="00A61A90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Maksimali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analizatoriaus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raiška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BDF0" w14:textId="77777777" w:rsidR="00A61A90" w:rsidRPr="0035284B" w:rsidRDefault="00A61A90" w:rsidP="00A61A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Vertinama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didžiausia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siūloma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analizatoriaus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raiška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(FWHM ties m/z 200). Balai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skiriami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taikant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intervalinį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metodą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:</w:t>
            </w:r>
          </w:p>
          <w:p w14:paraId="25935996" w14:textId="5CF30933" w:rsidR="00A61A90" w:rsidRPr="0035284B" w:rsidRDefault="00A61A90" w:rsidP="00A61A9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Iki 119 999 FWHM = 2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balai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F7202E7" w14:textId="6EAB6CB1" w:rsidR="00A61A90" w:rsidRPr="0035284B" w:rsidRDefault="00A61A90" w:rsidP="00A61A9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Nuo 120 000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iki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239 999 FWHM = 5 balų.</w:t>
            </w:r>
          </w:p>
          <w:p w14:paraId="3B9A9223" w14:textId="57493B3A" w:rsidR="00A61A90" w:rsidRPr="0035284B" w:rsidRDefault="00A61A90" w:rsidP="00A61A90">
            <w:pPr>
              <w:pStyle w:val="ListParagraph"/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240 000 FWHM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didesnė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= 10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balų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51D3C" w14:textId="275F860C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L1 =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F5C70" w14:textId="2EB14AEC" w:rsidR="00A61A90" w:rsidRPr="0035284B" w:rsidRDefault="0035284B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2,5</w:t>
            </w:r>
          </w:p>
        </w:tc>
      </w:tr>
      <w:tr w:rsidR="00A61A90" w:rsidRPr="0035284B" w14:paraId="59E79415" w14:textId="77777777" w:rsidTr="00A61A90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599FB" w14:textId="77777777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T2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0EB6E" w14:textId="7267E2FB" w:rsidR="00A61A90" w:rsidRPr="0035284B" w:rsidRDefault="00A61A90" w:rsidP="00A61A90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Proteomo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sparta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jautrumas</w:t>
            </w:r>
            <w:proofErr w:type="spellEnd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6D64E" w14:textId="77777777" w:rsidR="00A61A90" w:rsidRPr="0035284B" w:rsidRDefault="00A61A90" w:rsidP="00A61A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Vertinamas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siūlomas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panaudojimo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efektyvumas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angl.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r w:rsidRPr="0035284B">
              <w:rPr>
                <w:rFonts w:ascii="Arial" w:eastAsia="Times New Roman" w:hAnsi="Arial" w:cs="Arial"/>
                <w:i/>
                <w:iCs/>
                <w:sz w:val="21"/>
                <w:szCs w:val="21"/>
              </w:rPr>
              <w:t>duty cycle</w:t>
            </w: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išreikštas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procentais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404AC1C" w14:textId="244A8B37" w:rsidR="00A61A90" w:rsidRPr="0035284B" w:rsidRDefault="00A61A90" w:rsidP="003528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Maksimalus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balų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skaičius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skiriamas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tam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pasiūlymui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kurio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rodiklis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jonų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panaudojimo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efektyvumas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yra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didžiausias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7D25" w14:textId="16A63ACD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L2 =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0CDF85" w14:textId="5E2FD34E" w:rsidR="00A61A90" w:rsidRPr="0035284B" w:rsidRDefault="0035284B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7,5</w:t>
            </w:r>
          </w:p>
        </w:tc>
      </w:tr>
      <w:tr w:rsidR="00A61A90" w:rsidRPr="0035284B" w14:paraId="53BAADB3" w14:textId="77777777" w:rsidTr="00A61A90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CE42" w14:textId="77777777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lastRenderedPageBreak/>
              <w:t>T3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91A4" w14:textId="5C4C658B" w:rsidR="00A61A90" w:rsidRPr="0035284B" w:rsidRDefault="00A61A90" w:rsidP="00A61A90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Tyrimų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galimybių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išplėtimas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Natyvios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MS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galimybė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833DA" w14:textId="77777777" w:rsidR="00A61A90" w:rsidRPr="0035284B" w:rsidRDefault="00A61A90" w:rsidP="00A61A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Natyvios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MS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galimybė</w:t>
            </w:r>
            <w:proofErr w:type="spellEnd"/>
          </w:p>
          <w:p w14:paraId="08492E5A" w14:textId="67C71AC5" w:rsidR="00A61A90" w:rsidRPr="0035284B" w:rsidRDefault="00A61A90" w:rsidP="0035284B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Siūlomas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diapazonas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5 000 m/z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didesnis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3EA24" w14:textId="022A860B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L3 =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BA50CE" w14:textId="1A43D346" w:rsidR="00A61A90" w:rsidRPr="0035284B" w:rsidRDefault="0035284B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2,5</w:t>
            </w:r>
          </w:p>
        </w:tc>
      </w:tr>
      <w:tr w:rsidR="00A61A90" w:rsidRPr="0035284B" w14:paraId="261831A6" w14:textId="77777777" w:rsidTr="00A61A90">
        <w:trPr>
          <w:trHeight w:val="67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E4B5" w14:textId="75AD07B8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T4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1AD14" w14:textId="5BB29E9E" w:rsidR="00A61A90" w:rsidRPr="0035284B" w:rsidRDefault="00A61A90" w:rsidP="00A61A90">
            <w:pPr>
              <w:jc w:val="both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Tyrimų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galimybių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išplėtimas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Pažangiosios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fragmentacijos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)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91821" w14:textId="67B7F1B5" w:rsidR="00A61A90" w:rsidRPr="0035284B" w:rsidRDefault="00A61A90" w:rsidP="00A61A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Pažangiosios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fragmentacijos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</w:p>
          <w:p w14:paraId="613630BC" w14:textId="0B356B92" w:rsidR="00A61A90" w:rsidRPr="0035284B" w:rsidRDefault="00A61A90" w:rsidP="00A61A9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Papildomai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ETD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lygiavertis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metodas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= </w:t>
            </w:r>
            <w:r w:rsidR="0035284B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1 </w:t>
            </w:r>
            <w:proofErr w:type="spellStart"/>
            <w:r w:rsidR="0035284B" w:rsidRPr="0035284B">
              <w:rPr>
                <w:rFonts w:ascii="Arial" w:eastAsia="Times New Roman" w:hAnsi="Arial" w:cs="Arial"/>
                <w:sz w:val="21"/>
                <w:szCs w:val="21"/>
              </w:rPr>
              <w:t>balas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36998A05" w14:textId="1BDFB928" w:rsidR="00A61A90" w:rsidRPr="0035284B" w:rsidRDefault="00A61A90" w:rsidP="00A61A90">
            <w:pPr>
              <w:pStyle w:val="ListParagraph"/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Papildomai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UVPD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lygiavertis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metodas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= </w:t>
            </w:r>
            <w:r w:rsidR="0035284B"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1 </w:t>
            </w:r>
            <w:proofErr w:type="spellStart"/>
            <w:r w:rsidR="0035284B" w:rsidRPr="0035284B">
              <w:rPr>
                <w:rFonts w:ascii="Arial" w:eastAsia="Times New Roman" w:hAnsi="Arial" w:cs="Arial"/>
                <w:sz w:val="21"/>
                <w:szCs w:val="21"/>
              </w:rPr>
              <w:t>balas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ACAC" w14:textId="50FBFF4B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L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4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 xml:space="preserve"> =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FD0792" w14:textId="370CE47F" w:rsidR="00A61A90" w:rsidRPr="0035284B" w:rsidRDefault="0035284B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2</w:t>
            </w:r>
          </w:p>
        </w:tc>
      </w:tr>
      <w:tr w:rsidR="00A61A90" w:rsidRPr="0035284B" w14:paraId="2687C5D3" w14:textId="77777777" w:rsidTr="00A61A90">
        <w:trPr>
          <w:trHeight w:val="6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69514" w14:textId="5B361D6F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5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1ED12" w14:textId="4C483539" w:rsidR="00A61A90" w:rsidRPr="0035284B" w:rsidRDefault="00A61A90" w:rsidP="00A61A90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Programinės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įrangos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AI/ML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integracija</w:t>
            </w:r>
            <w:proofErr w:type="spellEnd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CDFB" w14:textId="77777777" w:rsidR="00A61A90" w:rsidRPr="0035284B" w:rsidRDefault="00A61A90" w:rsidP="00A61A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Vertinamas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pilnai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integruoto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AI/ML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Dirbtinio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Intelekto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/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Mašininio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Mokymosi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paieškos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variklio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skirto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DIA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PTM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duomenų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analizei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44E085FC" w14:textId="74E56297" w:rsidR="00A61A90" w:rsidRPr="0035284B" w:rsidRDefault="00A61A90" w:rsidP="0035284B">
            <w:pPr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pilnai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integruotas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ir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licenzijuotas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AI/ML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paieškos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variklis</w:t>
            </w:r>
            <w:proofErr w:type="spellEnd"/>
            <w:r w:rsidR="0035284B"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E219" w14:textId="6AF391A8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L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5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 xml:space="preserve"> =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6EBE50" w14:textId="302A0234" w:rsidR="00A61A90" w:rsidRPr="0035284B" w:rsidRDefault="0035284B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7,5</w:t>
            </w:r>
          </w:p>
        </w:tc>
      </w:tr>
      <w:tr w:rsidR="00A61A90" w:rsidRPr="0035284B" w14:paraId="159F1B3C" w14:textId="77777777" w:rsidTr="00A61A90">
        <w:trPr>
          <w:trHeight w:val="62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D036C" w14:textId="1D4DBD26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T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6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22ED" w14:textId="28306D35" w:rsidR="00A61A90" w:rsidRPr="0035284B" w:rsidRDefault="00A61A90" w:rsidP="00A61A90">
            <w:pPr>
              <w:jc w:val="both"/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Papildoma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infrastruktūros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apsauga</w:t>
            </w:r>
            <w:proofErr w:type="spellEnd"/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50AC8" w14:textId="77777777" w:rsidR="00A61A90" w:rsidRPr="0035284B" w:rsidRDefault="00A61A90" w:rsidP="00A61A90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Vertinamas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aukštesnės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klasės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nepertraukiamo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maitinimo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šaltinio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(UPS)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pasiūlymas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  <w:p w14:paraId="29FD85A9" w14:textId="1A740E68" w:rsidR="00A61A90" w:rsidRPr="0035284B" w:rsidRDefault="00A61A90" w:rsidP="0035284B">
            <w:pPr>
              <w:rPr>
                <w:rFonts w:ascii="Arial" w:hAnsi="Arial" w:cs="Arial"/>
                <w:sz w:val="21"/>
                <w:szCs w:val="21"/>
                <w:lang w:val="lt-LT"/>
              </w:rPr>
            </w:pP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Pasiūlytas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"On-line" (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dvigubos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konversijos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)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tipo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UPS,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kurio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galia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ne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mažesnė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</w:t>
            </w:r>
            <w:proofErr w:type="spellStart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>nei</w:t>
            </w:r>
            <w:proofErr w:type="spellEnd"/>
            <w:r w:rsidRPr="0035284B">
              <w:rPr>
                <w:rFonts w:ascii="Arial" w:eastAsia="Times New Roman" w:hAnsi="Arial" w:cs="Arial"/>
                <w:sz w:val="21"/>
                <w:szCs w:val="21"/>
              </w:rPr>
              <w:t xml:space="preserve"> 10 kVA</w:t>
            </w:r>
            <w:r w:rsidR="0035284B" w:rsidRPr="0035284B">
              <w:rPr>
                <w:rFonts w:ascii="Arial" w:eastAsia="Times New Roman" w:hAnsi="Arial" w:cs="Arial"/>
                <w:sz w:val="21"/>
                <w:szCs w:val="21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7AA2" w14:textId="18506F8F" w:rsidR="00A61A90" w:rsidRPr="0035284B" w:rsidRDefault="00A61A90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L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6</w:t>
            </w: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 xml:space="preserve"> =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569BAE" w14:textId="715958CF" w:rsidR="00A61A90" w:rsidRPr="0035284B" w:rsidRDefault="0035284B" w:rsidP="00A61A90">
            <w:pPr>
              <w:jc w:val="center"/>
              <w:rPr>
                <w:rFonts w:ascii="Arial" w:hAnsi="Arial" w:cs="Arial"/>
                <w:sz w:val="21"/>
                <w:szCs w:val="21"/>
                <w:lang w:val="lt-LT"/>
              </w:rPr>
            </w:pPr>
            <w:r w:rsidRPr="0035284B">
              <w:rPr>
                <w:rFonts w:ascii="Arial" w:hAnsi="Arial" w:cs="Arial"/>
                <w:sz w:val="21"/>
                <w:szCs w:val="21"/>
                <w:lang w:val="lt-LT"/>
              </w:rPr>
              <w:t>3</w:t>
            </w:r>
          </w:p>
        </w:tc>
      </w:tr>
    </w:tbl>
    <w:p w14:paraId="655815E5" w14:textId="77777777" w:rsidR="00247708" w:rsidRPr="0035284B" w:rsidRDefault="00247708" w:rsidP="00A61A90">
      <w:pPr>
        <w:pStyle w:val="Heading3"/>
        <w:rPr>
          <w:rFonts w:ascii="Arial" w:hAnsi="Arial" w:cs="Arial"/>
          <w:b w:val="0"/>
          <w:bCs w:val="0"/>
          <w:sz w:val="21"/>
          <w:szCs w:val="21"/>
        </w:rPr>
      </w:pPr>
    </w:p>
    <w:sectPr w:rsidR="00247708" w:rsidRPr="003528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A5E67"/>
    <w:multiLevelType w:val="multilevel"/>
    <w:tmpl w:val="A4E69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D1C89"/>
    <w:multiLevelType w:val="multilevel"/>
    <w:tmpl w:val="C5C21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E20BF1"/>
    <w:multiLevelType w:val="multilevel"/>
    <w:tmpl w:val="905A30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387C7E"/>
    <w:multiLevelType w:val="hybridMultilevel"/>
    <w:tmpl w:val="87D2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2C500C"/>
    <w:multiLevelType w:val="multilevel"/>
    <w:tmpl w:val="2036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6F5E19"/>
    <w:multiLevelType w:val="multilevel"/>
    <w:tmpl w:val="4BB82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D71B11"/>
    <w:multiLevelType w:val="multilevel"/>
    <w:tmpl w:val="27B0D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BE7ED1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1338D1"/>
    <w:multiLevelType w:val="multilevel"/>
    <w:tmpl w:val="B7CA5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ACA055B"/>
    <w:multiLevelType w:val="multilevel"/>
    <w:tmpl w:val="6C3810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10" w15:restartNumberingAfterBreak="0">
    <w:nsid w:val="3DCB55B9"/>
    <w:multiLevelType w:val="multilevel"/>
    <w:tmpl w:val="BB484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8227702"/>
    <w:multiLevelType w:val="multilevel"/>
    <w:tmpl w:val="C1F4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2F4EC2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689089D"/>
    <w:multiLevelType w:val="multilevel"/>
    <w:tmpl w:val="55C28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546A8C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8423644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40190A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EA4F86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170972"/>
    <w:multiLevelType w:val="hybridMultilevel"/>
    <w:tmpl w:val="0A50E2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B577EF"/>
    <w:multiLevelType w:val="hybridMultilevel"/>
    <w:tmpl w:val="DEAC0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AC709C"/>
    <w:multiLevelType w:val="multilevel"/>
    <w:tmpl w:val="B93EE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543DD0"/>
    <w:multiLevelType w:val="hybridMultilevel"/>
    <w:tmpl w:val="3ACC3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A837FC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7403E0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D3C6A4E"/>
    <w:multiLevelType w:val="multilevel"/>
    <w:tmpl w:val="05420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26E27F9"/>
    <w:multiLevelType w:val="hybridMultilevel"/>
    <w:tmpl w:val="5B3ED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CE23E9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6631B8"/>
    <w:multiLevelType w:val="hybridMultilevel"/>
    <w:tmpl w:val="3098BA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C8142A"/>
    <w:multiLevelType w:val="multilevel"/>
    <w:tmpl w:val="9C32964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683793">
    <w:abstractNumId w:val="10"/>
  </w:num>
  <w:num w:numId="2" w16cid:durableId="1423337018">
    <w:abstractNumId w:val="4"/>
  </w:num>
  <w:num w:numId="3" w16cid:durableId="796724272">
    <w:abstractNumId w:val="5"/>
  </w:num>
  <w:num w:numId="4" w16cid:durableId="1627588444">
    <w:abstractNumId w:val="1"/>
  </w:num>
  <w:num w:numId="5" w16cid:durableId="573202693">
    <w:abstractNumId w:val="11"/>
  </w:num>
  <w:num w:numId="6" w16cid:durableId="1529366606">
    <w:abstractNumId w:val="13"/>
  </w:num>
  <w:num w:numId="7" w16cid:durableId="361634251">
    <w:abstractNumId w:val="24"/>
  </w:num>
  <w:num w:numId="8" w16cid:durableId="648630156">
    <w:abstractNumId w:val="9"/>
  </w:num>
  <w:num w:numId="9" w16cid:durableId="1969969957">
    <w:abstractNumId w:val="8"/>
  </w:num>
  <w:num w:numId="10" w16cid:durableId="1923175837">
    <w:abstractNumId w:val="6"/>
  </w:num>
  <w:num w:numId="11" w16cid:durableId="1427195440">
    <w:abstractNumId w:val="0"/>
  </w:num>
  <w:num w:numId="12" w16cid:durableId="793910882">
    <w:abstractNumId w:val="2"/>
  </w:num>
  <w:num w:numId="13" w16cid:durableId="2073309132">
    <w:abstractNumId w:val="20"/>
  </w:num>
  <w:num w:numId="14" w16cid:durableId="121968226">
    <w:abstractNumId w:val="18"/>
  </w:num>
  <w:num w:numId="15" w16cid:durableId="724716208">
    <w:abstractNumId w:val="27"/>
  </w:num>
  <w:num w:numId="16" w16cid:durableId="1426148439">
    <w:abstractNumId w:val="25"/>
  </w:num>
  <w:num w:numId="17" w16cid:durableId="897782286">
    <w:abstractNumId w:val="19"/>
  </w:num>
  <w:num w:numId="18" w16cid:durableId="152112127">
    <w:abstractNumId w:val="21"/>
  </w:num>
  <w:num w:numId="19" w16cid:durableId="1457988990">
    <w:abstractNumId w:val="3"/>
  </w:num>
  <w:num w:numId="20" w16cid:durableId="315384429">
    <w:abstractNumId w:val="15"/>
  </w:num>
  <w:num w:numId="21" w16cid:durableId="570627372">
    <w:abstractNumId w:val="26"/>
  </w:num>
  <w:num w:numId="22" w16cid:durableId="935090521">
    <w:abstractNumId w:val="23"/>
  </w:num>
  <w:num w:numId="23" w16cid:durableId="1139957097">
    <w:abstractNumId w:val="14"/>
  </w:num>
  <w:num w:numId="24" w16cid:durableId="1252280186">
    <w:abstractNumId w:val="22"/>
  </w:num>
  <w:num w:numId="25" w16cid:durableId="2077824858">
    <w:abstractNumId w:val="28"/>
  </w:num>
  <w:num w:numId="26" w16cid:durableId="1897157305">
    <w:abstractNumId w:val="12"/>
  </w:num>
  <w:num w:numId="27" w16cid:durableId="1551918735">
    <w:abstractNumId w:val="16"/>
  </w:num>
  <w:num w:numId="28" w16cid:durableId="619066183">
    <w:abstractNumId w:val="17"/>
  </w:num>
  <w:num w:numId="29" w16cid:durableId="2162819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6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1834"/>
    <w:rsid w:val="000042F1"/>
    <w:rsid w:val="00023334"/>
    <w:rsid w:val="00060643"/>
    <w:rsid w:val="00177BE2"/>
    <w:rsid w:val="00181C56"/>
    <w:rsid w:val="0019616B"/>
    <w:rsid w:val="001C68CE"/>
    <w:rsid w:val="001D319D"/>
    <w:rsid w:val="001F69BC"/>
    <w:rsid w:val="00247708"/>
    <w:rsid w:val="0035284B"/>
    <w:rsid w:val="00431834"/>
    <w:rsid w:val="00432262"/>
    <w:rsid w:val="004346BE"/>
    <w:rsid w:val="005B7939"/>
    <w:rsid w:val="005E196B"/>
    <w:rsid w:val="00613A62"/>
    <w:rsid w:val="006F2222"/>
    <w:rsid w:val="007D50B6"/>
    <w:rsid w:val="00831AC6"/>
    <w:rsid w:val="008C1791"/>
    <w:rsid w:val="008F0FA6"/>
    <w:rsid w:val="009D27EA"/>
    <w:rsid w:val="00A61A90"/>
    <w:rsid w:val="00AC504B"/>
    <w:rsid w:val="00B56235"/>
    <w:rsid w:val="00B81527"/>
    <w:rsid w:val="00D51DA1"/>
    <w:rsid w:val="00E71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78C77"/>
  <w15:chartTrackingRefBased/>
  <w15:docId w15:val="{B72AF66A-9A57-49A7-B631-072A06F16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346B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31834"/>
    <w:rPr>
      <w:b/>
      <w:bCs/>
    </w:rPr>
  </w:style>
  <w:style w:type="character" w:customStyle="1" w:styleId="math-inline">
    <w:name w:val="math-inline"/>
    <w:basedOn w:val="DefaultParagraphFont"/>
    <w:rsid w:val="00431834"/>
  </w:style>
  <w:style w:type="character" w:customStyle="1" w:styleId="Heading3Char">
    <w:name w:val="Heading 3 Char"/>
    <w:basedOn w:val="DefaultParagraphFont"/>
    <w:link w:val="Heading3"/>
    <w:uiPriority w:val="9"/>
    <w:rsid w:val="004346B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unhideWhenUsed/>
    <w:rsid w:val="0043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D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4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2109</Words>
  <Characters>12022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Valius</dc:creator>
  <cp:keywords/>
  <dc:description/>
  <cp:lastModifiedBy>Regvyta Gelumbauskienė</cp:lastModifiedBy>
  <cp:revision>3</cp:revision>
  <dcterms:created xsi:type="dcterms:W3CDTF">2025-11-13T19:16:00Z</dcterms:created>
  <dcterms:modified xsi:type="dcterms:W3CDTF">2025-11-13T19:30:00Z</dcterms:modified>
</cp:coreProperties>
</file>