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6B7B78A" w14:textId="77777777" w:rsidR="00AD095E" w:rsidRPr="001A3319" w:rsidRDefault="00AD095E" w:rsidP="00AD095E">
          <w:pPr>
            <w:pStyle w:val="Patvirtinta"/>
            <w:ind w:left="0" w:firstLine="6379"/>
            <w:rPr>
              <w:rFonts w:ascii="Times New Roman" w:hAnsi="Times New Roman" w:cs="Times New Roman"/>
              <w:sz w:val="22"/>
              <w:szCs w:val="22"/>
              <w:lang w:val="lt-LT"/>
            </w:rPr>
          </w:pPr>
          <w:r w:rsidRPr="001A3319">
            <w:rPr>
              <w:rFonts w:ascii="Times New Roman" w:hAnsi="Times New Roman" w:cs="Times New Roman"/>
              <w:sz w:val="22"/>
              <w:szCs w:val="22"/>
              <w:lang w:val="lt-LT"/>
            </w:rPr>
            <w:t>PATVIRTINTA</w:t>
          </w:r>
        </w:p>
        <w:p w14:paraId="1108F9AF" w14:textId="77777777" w:rsidR="00AD095E" w:rsidRDefault="00AD095E" w:rsidP="00AD095E">
          <w:pPr>
            <w:pStyle w:val="Patvirtinta"/>
            <w:ind w:left="0" w:firstLine="6379"/>
            <w:rPr>
              <w:rFonts w:ascii="Times New Roman" w:hAnsi="Times New Roman" w:cs="Times New Roman"/>
              <w:sz w:val="22"/>
              <w:szCs w:val="22"/>
              <w:lang w:val="lt-LT"/>
            </w:rPr>
          </w:pPr>
          <w:r>
            <w:rPr>
              <w:rFonts w:ascii="Times New Roman" w:hAnsi="Times New Roman" w:cs="Times New Roman"/>
              <w:sz w:val="22"/>
              <w:szCs w:val="22"/>
              <w:lang w:val="lt-LT"/>
            </w:rPr>
            <w:t>Kauno technologijų mokymo centro</w:t>
          </w:r>
        </w:p>
        <w:p w14:paraId="205F6C2B" w14:textId="72B4D99D" w:rsidR="00AD095E" w:rsidRDefault="00AD095E" w:rsidP="00AD095E">
          <w:pPr>
            <w:pStyle w:val="Patvirtinta"/>
            <w:ind w:left="0" w:firstLine="6379"/>
            <w:rPr>
              <w:rFonts w:ascii="Times New Roman" w:hAnsi="Times New Roman" w:cs="Times New Roman"/>
              <w:sz w:val="22"/>
              <w:szCs w:val="22"/>
              <w:lang w:val="lt-LT"/>
            </w:rPr>
          </w:pPr>
          <w:r>
            <w:rPr>
              <w:rFonts w:ascii="Times New Roman" w:hAnsi="Times New Roman" w:cs="Times New Roman"/>
              <w:sz w:val="22"/>
              <w:szCs w:val="22"/>
              <w:lang w:val="lt-LT"/>
            </w:rPr>
            <w:t xml:space="preserve">Direktoriaus 2025 m. lapkričio </w:t>
          </w:r>
          <w:r w:rsidR="00775BBA">
            <w:rPr>
              <w:rFonts w:ascii="Times New Roman" w:hAnsi="Times New Roman" w:cs="Times New Roman"/>
              <w:sz w:val="22"/>
              <w:szCs w:val="22"/>
              <w:lang w:val="lt-LT"/>
            </w:rPr>
            <w:t xml:space="preserve">10 </w:t>
          </w:r>
          <w:r>
            <w:rPr>
              <w:rFonts w:ascii="Times New Roman" w:hAnsi="Times New Roman" w:cs="Times New Roman"/>
              <w:sz w:val="22"/>
              <w:szCs w:val="22"/>
              <w:lang w:val="lt-LT"/>
            </w:rPr>
            <w:t>d.</w:t>
          </w:r>
        </w:p>
        <w:p w14:paraId="07C56CF0" w14:textId="6DA931B4" w:rsidR="00AD095E" w:rsidRDefault="00AD095E" w:rsidP="00AD095E">
          <w:pPr>
            <w:pStyle w:val="Patvirtinta"/>
            <w:rPr>
              <w:rFonts w:ascii="Times New Roman" w:hAnsi="Times New Roman" w:cs="Times New Roman"/>
              <w:sz w:val="22"/>
              <w:szCs w:val="22"/>
              <w:lang w:val="lt-LT"/>
            </w:rPr>
          </w:pPr>
          <w:r>
            <w:rPr>
              <w:rFonts w:ascii="Times New Roman" w:hAnsi="Times New Roman" w:cs="Times New Roman"/>
              <w:sz w:val="22"/>
              <w:szCs w:val="22"/>
              <w:lang w:val="lt-LT"/>
            </w:rPr>
            <w:t xml:space="preserve">        įsakymu Nr. 116-</w:t>
          </w:r>
          <w:r w:rsidR="00775BBA">
            <w:rPr>
              <w:rFonts w:ascii="Times New Roman" w:hAnsi="Times New Roman" w:cs="Times New Roman"/>
              <w:sz w:val="22"/>
              <w:szCs w:val="22"/>
              <w:lang w:val="lt-LT"/>
            </w:rPr>
            <w:t>21</w:t>
          </w:r>
        </w:p>
        <w:p w14:paraId="3BF0F952" w14:textId="77777777" w:rsidR="00AD095E" w:rsidRPr="001A3319" w:rsidRDefault="00AD095E" w:rsidP="00AD095E">
          <w:pPr>
            <w:pStyle w:val="Patvirtinta"/>
            <w:ind w:left="0" w:firstLine="6379"/>
            <w:rPr>
              <w:rFonts w:ascii="Times New Roman" w:hAnsi="Times New Roman" w:cs="Times New Roman"/>
              <w:sz w:val="22"/>
              <w:szCs w:val="22"/>
              <w:lang w:val="lt-LT"/>
            </w:rPr>
          </w:pPr>
        </w:p>
        <w:p w14:paraId="2699993B" w14:textId="77777777" w:rsidR="00AD095E" w:rsidRPr="003E5419" w:rsidRDefault="00AD095E" w:rsidP="00AD095E">
          <w:pPr>
            <w:spacing w:after="120"/>
            <w:contextualSpacing/>
            <w:rPr>
              <w:rFonts w:ascii="Times New Roman" w:hAnsi="Times New Roman" w:cs="Times New Roman"/>
              <w:sz w:val="28"/>
              <w:szCs w:val="28"/>
            </w:rPr>
          </w:pPr>
        </w:p>
        <w:p w14:paraId="6D982920" w14:textId="77777777" w:rsidR="00AD095E" w:rsidRPr="003E5419" w:rsidRDefault="00AD095E" w:rsidP="00AD095E">
          <w:pPr>
            <w:spacing w:after="120"/>
            <w:contextualSpacing/>
            <w:rPr>
              <w:rFonts w:ascii="Times New Roman" w:hAnsi="Times New Roman" w:cs="Times New Roman"/>
              <w:sz w:val="28"/>
              <w:szCs w:val="28"/>
            </w:rPr>
          </w:pPr>
        </w:p>
        <w:p w14:paraId="016E8F6A" w14:textId="77777777" w:rsidR="00AD095E" w:rsidRPr="00FE7EF7" w:rsidRDefault="00AD095E" w:rsidP="00AD095E">
          <w:pPr>
            <w:spacing w:line="240" w:lineRule="auto"/>
            <w:jc w:val="center"/>
            <w:rPr>
              <w:rFonts w:ascii="Times New Roman" w:hAnsi="Times New Roman" w:cs="Times New Roman"/>
              <w:bCs/>
              <w:sz w:val="28"/>
              <w:szCs w:val="28"/>
            </w:rPr>
          </w:pPr>
          <w:r w:rsidRPr="00FE7EF7">
            <w:rPr>
              <w:rFonts w:ascii="Times New Roman" w:hAnsi="Times New Roman" w:cs="Times New Roman"/>
              <w:bCs/>
              <w:sz w:val="28"/>
              <w:szCs w:val="28"/>
            </w:rPr>
            <w:t xml:space="preserve">MAŽOS VERTĖS SKELBIAMOS APKLAUSOS PIRKIMO </w:t>
          </w:r>
        </w:p>
        <w:p w14:paraId="09808072" w14:textId="77777777" w:rsidR="00AD095E" w:rsidRPr="005422AE" w:rsidRDefault="00AD095E" w:rsidP="00AD095E">
          <w:pPr>
            <w:spacing w:line="240" w:lineRule="auto"/>
            <w:jc w:val="center"/>
            <w:rPr>
              <w:rFonts w:ascii="Times New Roman" w:eastAsia="Times New Roman" w:hAnsi="Times New Roman" w:cs="Times New Roman"/>
              <w:i/>
              <w:sz w:val="28"/>
              <w:szCs w:val="28"/>
            </w:rPr>
          </w:pPr>
          <w:bookmarkStart w:id="0" w:name="_Hlk166276859"/>
          <w:r w:rsidRPr="005422AE">
            <w:rPr>
              <w:rFonts w:ascii="Times New Roman" w:hAnsi="Times New Roman"/>
              <w:b/>
              <w:sz w:val="28"/>
              <w:szCs w:val="28"/>
            </w:rPr>
            <w:t xml:space="preserve">KAUNO TECHNOLOGIJŲ MOKYMO CENTRO </w:t>
          </w:r>
          <w:r w:rsidRPr="005422AE">
            <w:rPr>
              <w:rFonts w:ascii="Times New Roman" w:hAnsi="Times New Roman" w:cs="Times New Roman"/>
              <w:b/>
              <w:bCs/>
              <w:sz w:val="28"/>
              <w:szCs w:val="28"/>
            </w:rPr>
            <w:t xml:space="preserve">PASTATŲ </w:t>
          </w:r>
          <w:r w:rsidRPr="005422AE">
            <w:rPr>
              <w:rFonts w:ascii="Times New Roman" w:hAnsi="Times New Roman"/>
              <w:b/>
              <w:sz w:val="28"/>
              <w:szCs w:val="28"/>
            </w:rPr>
            <w:t xml:space="preserve">ADRESU: KAUNO V. KRĖVĖS PR. 114, TAIKOS PR.127, TAIKOS PR.127A, TAIKOS PR. 129, V. KRĖVĖS PR. 112,  JONAVOS G. 160. </w:t>
          </w:r>
          <w:r w:rsidRPr="005422AE">
            <w:rPr>
              <w:rFonts w:ascii="Times New Roman" w:hAnsi="Times New Roman" w:cs="Times New Roman"/>
              <w:b/>
              <w:bCs/>
              <w:sz w:val="28"/>
              <w:szCs w:val="28"/>
            </w:rPr>
            <w:t>IR ĮRANGOS BEI TURTO DRAUDIMO PASLAUGA</w:t>
          </w:r>
        </w:p>
        <w:bookmarkEnd w:id="0"/>
        <w:p w14:paraId="21CC4BF7" w14:textId="77777777" w:rsidR="00AD095E" w:rsidRPr="00FE7EF7" w:rsidRDefault="00AD095E" w:rsidP="00AD095E">
          <w:pPr>
            <w:spacing w:line="240" w:lineRule="auto"/>
            <w:jc w:val="center"/>
            <w:rPr>
              <w:rFonts w:ascii="Times New Roman" w:hAnsi="Times New Roman" w:cs="Times New Roman"/>
              <w:bCs/>
              <w:sz w:val="28"/>
              <w:szCs w:val="28"/>
            </w:rPr>
          </w:pPr>
          <w:r w:rsidRPr="00FE7EF7">
            <w:rPr>
              <w:rFonts w:ascii="Times New Roman" w:hAnsi="Times New Roman" w:cs="Times New Roman"/>
              <w:bCs/>
              <w:sz w:val="28"/>
              <w:szCs w:val="28"/>
            </w:rPr>
            <w:t>PIRKIMO BENDROSIOS SĄLYGOS</w:t>
          </w:r>
        </w:p>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AACF5" w14:textId="77777777" w:rsidR="00EA4EEE" w:rsidRDefault="00EA4EEE" w:rsidP="00D05666">
      <w:r>
        <w:separator/>
      </w:r>
    </w:p>
  </w:endnote>
  <w:endnote w:type="continuationSeparator" w:id="0">
    <w:p w14:paraId="3BFFD27F" w14:textId="77777777" w:rsidR="00EA4EEE" w:rsidRDefault="00EA4EEE" w:rsidP="00D05666">
      <w:r>
        <w:continuationSeparator/>
      </w:r>
    </w:p>
  </w:endnote>
  <w:endnote w:type="continuationNotice" w:id="1">
    <w:p w14:paraId="55C5CD83" w14:textId="77777777" w:rsidR="00EA4EEE" w:rsidRDefault="00EA4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5211E" w14:textId="77777777" w:rsidR="00EA4EEE" w:rsidRDefault="00EA4EEE" w:rsidP="00D05666">
      <w:r>
        <w:separator/>
      </w:r>
    </w:p>
  </w:footnote>
  <w:footnote w:type="continuationSeparator" w:id="0">
    <w:p w14:paraId="5DFA15E2" w14:textId="77777777" w:rsidR="00EA4EEE" w:rsidRDefault="00EA4EEE" w:rsidP="00D05666">
      <w:r>
        <w:continuationSeparator/>
      </w:r>
    </w:p>
  </w:footnote>
  <w:footnote w:type="continuationNotice" w:id="1">
    <w:p w14:paraId="046D7657" w14:textId="77777777" w:rsidR="00EA4EEE" w:rsidRDefault="00EA4EE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5BBA"/>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5E"/>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675"/>
    <w:rsid w:val="00EA2DA2"/>
    <w:rsid w:val="00EA4970"/>
    <w:rsid w:val="00EA4EEE"/>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5CA"/>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Patvirtinta">
    <w:name w:val="Patvirtinta"/>
    <w:rsid w:val="00AD095E"/>
    <w:pPr>
      <w:tabs>
        <w:tab w:val="left" w:pos="-4755"/>
        <w:tab w:val="left" w:pos="-4602"/>
        <w:tab w:val="left" w:pos="-4455"/>
        <w:tab w:val="left" w:pos="-4302"/>
      </w:tabs>
      <w:suppressAutoHyphens/>
      <w:spacing w:after="0" w:line="100" w:lineRule="atLeast"/>
      <w:ind w:left="5953"/>
    </w:pPr>
    <w:rPr>
      <w:rFonts w:ascii="TimesLT" w:eastAsia="Times New Roman" w:hAnsi="TimesLT" w:cs="TimesLT"/>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33449</Words>
  <Characters>19067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Lina Dambrauskienė</cp:lastModifiedBy>
  <cp:revision>4</cp:revision>
  <dcterms:created xsi:type="dcterms:W3CDTF">2024-11-27T12:11:00Z</dcterms:created>
  <dcterms:modified xsi:type="dcterms:W3CDTF">2025-11-14T02:53:00Z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