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908C2" w14:textId="77777777" w:rsidR="00105B10" w:rsidRPr="00BC1B37" w:rsidRDefault="00105B10" w:rsidP="00105B10">
      <w:pPr>
        <w:rPr>
          <w:rFonts w:ascii="Aptos" w:hAnsi="Aptos" w:cs="Times New Roman"/>
          <w:szCs w:val="24"/>
        </w:rPr>
      </w:pPr>
    </w:p>
    <w:p w14:paraId="3B11AEED" w14:textId="77777777" w:rsidR="00105B10" w:rsidRPr="00BC1B37" w:rsidRDefault="00105B10" w:rsidP="00105B10">
      <w:pPr>
        <w:ind w:left="5771"/>
        <w:rPr>
          <w:rFonts w:ascii="Aptos" w:hAnsi="Aptos" w:cs="Times New Roman"/>
          <w:szCs w:val="24"/>
        </w:rPr>
      </w:pPr>
      <w:r w:rsidRPr="00BC1B37">
        <w:rPr>
          <w:rFonts w:ascii="Aptos" w:hAnsi="Aptos" w:cs="Times New Roman"/>
          <w:szCs w:val="24"/>
        </w:rPr>
        <w:t>Specialiųjų pirkimo sąlygų</w:t>
      </w:r>
    </w:p>
    <w:p w14:paraId="307099A2" w14:textId="6B6BC183" w:rsidR="00105B10" w:rsidRPr="00BC1B37" w:rsidRDefault="00105B10" w:rsidP="00105B10">
      <w:pPr>
        <w:pStyle w:val="Sraopastraipa"/>
        <w:ind w:left="5771"/>
        <w:rPr>
          <w:rFonts w:ascii="Aptos" w:hAnsi="Aptos" w:cs="Times New Roman"/>
          <w:szCs w:val="24"/>
        </w:rPr>
      </w:pPr>
      <w:bookmarkStart w:id="0" w:name="_Ref126410385"/>
      <w:r>
        <w:rPr>
          <w:rFonts w:ascii="Aptos" w:hAnsi="Aptos" w:cs="Times New Roman"/>
          <w:szCs w:val="24"/>
        </w:rPr>
        <w:t xml:space="preserve">8 </w:t>
      </w:r>
      <w:r w:rsidRPr="00BC1B37">
        <w:rPr>
          <w:rFonts w:ascii="Aptos" w:hAnsi="Aptos" w:cs="Times New Roman"/>
          <w:szCs w:val="24"/>
        </w:rPr>
        <w:t>priedas</w:t>
      </w:r>
      <w:bookmarkEnd w:id="0"/>
    </w:p>
    <w:p w14:paraId="6AC2A607" w14:textId="77777777" w:rsidR="00105B10" w:rsidRPr="00BC1B37" w:rsidRDefault="00105B10" w:rsidP="00105B10">
      <w:pPr>
        <w:rPr>
          <w:rFonts w:ascii="Aptos" w:hAnsi="Aptos" w:cs="Times New Roman"/>
          <w:szCs w:val="24"/>
        </w:rPr>
      </w:pPr>
    </w:p>
    <w:p w14:paraId="48685400" w14:textId="77777777" w:rsidR="00105B10" w:rsidRPr="00BC1B37" w:rsidRDefault="00105B10" w:rsidP="00105B10">
      <w:pPr>
        <w:jc w:val="center"/>
        <w:rPr>
          <w:rFonts w:ascii="Aptos" w:hAnsi="Aptos" w:cs="Times New Roman"/>
          <w:b/>
          <w:bCs/>
          <w:szCs w:val="24"/>
        </w:rPr>
      </w:pPr>
      <w:r w:rsidRPr="00BC1B37">
        <w:rPr>
          <w:rFonts w:ascii="Aptos" w:hAnsi="Aptos" w:cs="Times New Roman"/>
          <w:b/>
          <w:bCs/>
          <w:szCs w:val="24"/>
        </w:rPr>
        <w:t>PASIŪLYMO FORMA</w:t>
      </w:r>
    </w:p>
    <w:p w14:paraId="656B6EB2" w14:textId="77777777" w:rsidR="00105B10" w:rsidRPr="00BC1B37" w:rsidRDefault="00105B10" w:rsidP="00105B10">
      <w:pPr>
        <w:rPr>
          <w:rFonts w:ascii="Aptos" w:hAnsi="Aptos" w:cs="Times New Roman"/>
          <w:szCs w:val="24"/>
        </w:rPr>
      </w:pPr>
    </w:p>
    <w:p w14:paraId="658295AD" w14:textId="77777777" w:rsidR="00105B10" w:rsidRPr="00BC1B37" w:rsidRDefault="00105B10" w:rsidP="00105B10">
      <w:pPr>
        <w:jc w:val="center"/>
        <w:rPr>
          <w:rFonts w:ascii="Aptos" w:hAnsi="Aptos" w:cs="Times New Roman"/>
          <w:b/>
          <w:bCs/>
          <w:szCs w:val="24"/>
        </w:rPr>
      </w:pPr>
      <w:r w:rsidRPr="00BC1B37">
        <w:rPr>
          <w:rFonts w:ascii="Aptos" w:hAnsi="Aptos" w:cs="Times New Roman"/>
          <w:b/>
          <w:bCs/>
          <w:szCs w:val="24"/>
        </w:rPr>
        <w:t>(pasiūlymo forma)</w:t>
      </w:r>
    </w:p>
    <w:p w14:paraId="5DB50715" w14:textId="77777777" w:rsidR="00105B10" w:rsidRPr="00BC1B37" w:rsidRDefault="00105B10" w:rsidP="00105B10">
      <w:pPr>
        <w:rPr>
          <w:rFonts w:ascii="Aptos" w:hAnsi="Aptos" w:cs="Times New Roman"/>
          <w:szCs w:val="24"/>
        </w:rPr>
      </w:pPr>
    </w:p>
    <w:tbl>
      <w:tblPr>
        <w:tblStyle w:val="Lentelstinklelis"/>
        <w:tblW w:w="0" w:type="auto"/>
        <w:tblLook w:val="04A0" w:firstRow="1" w:lastRow="0" w:firstColumn="1" w:lastColumn="0" w:noHBand="0" w:noVBand="1"/>
      </w:tblPr>
      <w:tblGrid>
        <w:gridCol w:w="1549"/>
        <w:gridCol w:w="5931"/>
        <w:gridCol w:w="1546"/>
      </w:tblGrid>
      <w:tr w:rsidR="00105B10" w:rsidRPr="00BC1B37" w14:paraId="117DC4FF" w14:textId="77777777" w:rsidTr="00610961">
        <w:tc>
          <w:tcPr>
            <w:tcW w:w="1555" w:type="dxa"/>
          </w:tcPr>
          <w:p w14:paraId="04DD866D" w14:textId="77777777" w:rsidR="00105B10" w:rsidRPr="00BC1B37" w:rsidRDefault="00105B10" w:rsidP="00610961">
            <w:pPr>
              <w:rPr>
                <w:rFonts w:ascii="Aptos" w:hAnsi="Aptos" w:cs="Times New Roman"/>
                <w:szCs w:val="24"/>
              </w:rPr>
            </w:pPr>
          </w:p>
        </w:tc>
        <w:tc>
          <w:tcPr>
            <w:tcW w:w="5953" w:type="dxa"/>
            <w:tcBorders>
              <w:bottom w:val="single" w:sz="4" w:space="0" w:color="auto"/>
            </w:tcBorders>
          </w:tcPr>
          <w:p w14:paraId="417AB640" w14:textId="77777777" w:rsidR="00105B10" w:rsidRPr="00BC1B37" w:rsidRDefault="00105B10" w:rsidP="00610961">
            <w:pPr>
              <w:rPr>
                <w:rFonts w:ascii="Aptos" w:hAnsi="Aptos" w:cs="Times New Roman"/>
                <w:szCs w:val="24"/>
              </w:rPr>
            </w:pPr>
          </w:p>
        </w:tc>
        <w:tc>
          <w:tcPr>
            <w:tcW w:w="1553" w:type="dxa"/>
          </w:tcPr>
          <w:p w14:paraId="1BAE8700" w14:textId="77777777" w:rsidR="00105B10" w:rsidRPr="00BC1B37" w:rsidRDefault="00105B10" w:rsidP="00610961">
            <w:pPr>
              <w:rPr>
                <w:rFonts w:ascii="Aptos" w:hAnsi="Aptos" w:cs="Times New Roman"/>
                <w:szCs w:val="24"/>
              </w:rPr>
            </w:pPr>
          </w:p>
        </w:tc>
      </w:tr>
      <w:tr w:rsidR="00105B10" w:rsidRPr="00BC1B37" w14:paraId="3C891767" w14:textId="77777777" w:rsidTr="00610961">
        <w:tc>
          <w:tcPr>
            <w:tcW w:w="1555" w:type="dxa"/>
          </w:tcPr>
          <w:p w14:paraId="20FB34BE" w14:textId="77777777" w:rsidR="00105B10" w:rsidRPr="00BC1B37" w:rsidRDefault="00105B10" w:rsidP="00610961">
            <w:pPr>
              <w:rPr>
                <w:rFonts w:ascii="Aptos" w:hAnsi="Aptos" w:cs="Times New Roman"/>
                <w:szCs w:val="24"/>
              </w:rPr>
            </w:pPr>
          </w:p>
        </w:tc>
        <w:tc>
          <w:tcPr>
            <w:tcW w:w="5953" w:type="dxa"/>
            <w:tcBorders>
              <w:top w:val="single" w:sz="4" w:space="0" w:color="auto"/>
            </w:tcBorders>
          </w:tcPr>
          <w:p w14:paraId="60232926" w14:textId="77777777" w:rsidR="00105B10" w:rsidRPr="00BC1B37" w:rsidRDefault="00105B10" w:rsidP="00610961">
            <w:pPr>
              <w:jc w:val="center"/>
              <w:rPr>
                <w:rFonts w:ascii="Aptos" w:hAnsi="Aptos" w:cs="Times New Roman"/>
                <w:szCs w:val="24"/>
              </w:rPr>
            </w:pPr>
            <w:r w:rsidRPr="00BC1B37">
              <w:rPr>
                <w:rFonts w:ascii="Aptos" w:hAnsi="Aptos" w:cs="Times New Roman"/>
                <w:szCs w:val="24"/>
              </w:rPr>
              <w:t>(tiekėjo pavadinimas)</w:t>
            </w:r>
          </w:p>
        </w:tc>
        <w:tc>
          <w:tcPr>
            <w:tcW w:w="1553" w:type="dxa"/>
          </w:tcPr>
          <w:p w14:paraId="3FEE85A0" w14:textId="77777777" w:rsidR="00105B10" w:rsidRPr="00BC1B37" w:rsidRDefault="00105B10" w:rsidP="00610961">
            <w:pPr>
              <w:rPr>
                <w:rFonts w:ascii="Aptos" w:hAnsi="Aptos" w:cs="Times New Roman"/>
                <w:szCs w:val="24"/>
              </w:rPr>
            </w:pPr>
          </w:p>
        </w:tc>
      </w:tr>
    </w:tbl>
    <w:p w14:paraId="7253A0CF" w14:textId="77777777" w:rsidR="00105B10" w:rsidRPr="00BC1B37" w:rsidRDefault="00105B10" w:rsidP="00105B10">
      <w:pPr>
        <w:rPr>
          <w:rFonts w:ascii="Aptos" w:hAnsi="Aptos" w:cs="Times New Roman"/>
          <w:szCs w:val="24"/>
        </w:rPr>
      </w:pPr>
    </w:p>
    <w:p w14:paraId="0D4D0F9A" w14:textId="77777777" w:rsidR="00105B10" w:rsidRPr="00BC1B37" w:rsidRDefault="00105B10" w:rsidP="00105B10">
      <w:pPr>
        <w:rPr>
          <w:rFonts w:ascii="Aptos" w:hAnsi="Aptos" w:cs="Times New Roman"/>
          <w:szCs w:val="24"/>
        </w:rPr>
      </w:pPr>
      <w:r w:rsidRPr="00BC1B37">
        <w:rPr>
          <w:rFonts w:ascii="Aptos" w:hAnsi="Aptos" w:cs="Times New Roman"/>
          <w:szCs w:val="24"/>
        </w:rPr>
        <w:t>Greitosios medicinos pagalbos tarnybai</w:t>
      </w:r>
    </w:p>
    <w:p w14:paraId="605C37B9" w14:textId="77777777" w:rsidR="00105B10" w:rsidRPr="00BC1B37" w:rsidRDefault="00105B10" w:rsidP="00105B10">
      <w:pPr>
        <w:rPr>
          <w:rFonts w:ascii="Aptos" w:hAnsi="Aptos" w:cs="Times New Roman"/>
          <w:szCs w:val="24"/>
        </w:rPr>
      </w:pPr>
    </w:p>
    <w:p w14:paraId="4CD29790" w14:textId="77777777" w:rsidR="00105B10" w:rsidRPr="00BC1B37" w:rsidRDefault="00105B10" w:rsidP="00105B10">
      <w:pPr>
        <w:jc w:val="center"/>
        <w:rPr>
          <w:rFonts w:ascii="Aptos" w:hAnsi="Aptos" w:cs="Times New Roman"/>
          <w:b/>
          <w:bCs/>
          <w:szCs w:val="24"/>
        </w:rPr>
      </w:pPr>
      <w:r w:rsidRPr="00BC1B37">
        <w:rPr>
          <w:rFonts w:ascii="Aptos" w:hAnsi="Aptos" w:cs="Times New Roman"/>
          <w:b/>
          <w:bCs/>
          <w:szCs w:val="24"/>
        </w:rPr>
        <w:t>PASIŪLYMAS</w:t>
      </w:r>
    </w:p>
    <w:p w14:paraId="460D439B" w14:textId="77777777" w:rsidR="00105B10" w:rsidRPr="00BC1B37" w:rsidRDefault="00105B10" w:rsidP="00105B10">
      <w:pPr>
        <w:jc w:val="center"/>
        <w:rPr>
          <w:rFonts w:ascii="Aptos" w:hAnsi="Aptos" w:cs="Times New Roman"/>
          <w:b/>
          <w:bCs/>
          <w:szCs w:val="24"/>
        </w:rPr>
      </w:pPr>
      <w:r w:rsidRPr="00BC1B37">
        <w:rPr>
          <w:rFonts w:ascii="Aptos" w:hAnsi="Aptos" w:cs="Times New Roman"/>
          <w:b/>
          <w:bCs/>
          <w:szCs w:val="24"/>
        </w:rPr>
        <w:t>DĖL PIRKIMO „TELEKOMUNIKACIJOS PASLAUGOS“</w:t>
      </w:r>
    </w:p>
    <w:p w14:paraId="05E7786A" w14:textId="77777777" w:rsidR="00105B10" w:rsidRPr="00BC1B37" w:rsidRDefault="00105B10" w:rsidP="00105B10">
      <w:pPr>
        <w:rPr>
          <w:rFonts w:ascii="Aptos" w:hAnsi="Aptos" w:cs="Times New Roman"/>
          <w:szCs w:val="24"/>
        </w:rPr>
      </w:pPr>
    </w:p>
    <w:tbl>
      <w:tblPr>
        <w:tblStyle w:val="Lentelstinklelis"/>
        <w:tblW w:w="0" w:type="auto"/>
        <w:tblLook w:val="04A0" w:firstRow="1" w:lastRow="0" w:firstColumn="1" w:lastColumn="0" w:noHBand="0" w:noVBand="1"/>
      </w:tblPr>
      <w:tblGrid>
        <w:gridCol w:w="3529"/>
        <w:gridCol w:w="1980"/>
        <w:gridCol w:w="3517"/>
      </w:tblGrid>
      <w:tr w:rsidR="00105B10" w:rsidRPr="00BC1B37" w14:paraId="2B53FB09" w14:textId="77777777" w:rsidTr="00610961">
        <w:tc>
          <w:tcPr>
            <w:tcW w:w="3544" w:type="dxa"/>
          </w:tcPr>
          <w:p w14:paraId="1C032B97" w14:textId="77777777" w:rsidR="00105B10" w:rsidRPr="00BC1B37" w:rsidRDefault="00105B10" w:rsidP="00610961">
            <w:pPr>
              <w:rPr>
                <w:rFonts w:ascii="Aptos" w:hAnsi="Aptos" w:cs="Times New Roman"/>
                <w:szCs w:val="24"/>
              </w:rPr>
            </w:pPr>
          </w:p>
        </w:tc>
        <w:tc>
          <w:tcPr>
            <w:tcW w:w="1985" w:type="dxa"/>
            <w:tcBorders>
              <w:bottom w:val="single" w:sz="4" w:space="0" w:color="auto"/>
            </w:tcBorders>
          </w:tcPr>
          <w:p w14:paraId="40ABF25C" w14:textId="77777777" w:rsidR="00105B10" w:rsidRPr="00BC1B37" w:rsidRDefault="00105B10" w:rsidP="00610961">
            <w:pPr>
              <w:rPr>
                <w:rFonts w:ascii="Aptos" w:hAnsi="Aptos" w:cs="Times New Roman"/>
                <w:szCs w:val="24"/>
              </w:rPr>
            </w:pPr>
          </w:p>
        </w:tc>
        <w:tc>
          <w:tcPr>
            <w:tcW w:w="3532" w:type="dxa"/>
          </w:tcPr>
          <w:p w14:paraId="1F7D773C" w14:textId="77777777" w:rsidR="00105B10" w:rsidRPr="00BC1B37" w:rsidRDefault="00105B10" w:rsidP="00610961">
            <w:pPr>
              <w:rPr>
                <w:rFonts w:ascii="Aptos" w:hAnsi="Aptos" w:cs="Times New Roman"/>
                <w:szCs w:val="24"/>
              </w:rPr>
            </w:pPr>
          </w:p>
        </w:tc>
      </w:tr>
      <w:tr w:rsidR="00105B10" w:rsidRPr="00BC1B37" w14:paraId="196E198B" w14:textId="77777777" w:rsidTr="00610961">
        <w:tc>
          <w:tcPr>
            <w:tcW w:w="3544" w:type="dxa"/>
          </w:tcPr>
          <w:p w14:paraId="4FD251A0" w14:textId="77777777" w:rsidR="00105B10" w:rsidRPr="00BC1B37" w:rsidRDefault="00105B10" w:rsidP="00610961">
            <w:pPr>
              <w:rPr>
                <w:rFonts w:ascii="Aptos" w:hAnsi="Aptos" w:cs="Times New Roman"/>
                <w:szCs w:val="24"/>
              </w:rPr>
            </w:pPr>
          </w:p>
        </w:tc>
        <w:tc>
          <w:tcPr>
            <w:tcW w:w="1985" w:type="dxa"/>
            <w:tcBorders>
              <w:top w:val="single" w:sz="4" w:space="0" w:color="auto"/>
            </w:tcBorders>
          </w:tcPr>
          <w:p w14:paraId="52923A4B" w14:textId="77777777" w:rsidR="00105B10" w:rsidRPr="00BC1B37" w:rsidRDefault="00105B10" w:rsidP="00610961">
            <w:pPr>
              <w:jc w:val="center"/>
              <w:rPr>
                <w:rFonts w:ascii="Aptos" w:hAnsi="Aptos" w:cs="Times New Roman"/>
                <w:szCs w:val="24"/>
              </w:rPr>
            </w:pPr>
            <w:r w:rsidRPr="00BC1B37">
              <w:rPr>
                <w:rFonts w:ascii="Aptos" w:hAnsi="Aptos" w:cs="Times New Roman"/>
                <w:szCs w:val="24"/>
              </w:rPr>
              <w:t>(data)</w:t>
            </w:r>
          </w:p>
        </w:tc>
        <w:tc>
          <w:tcPr>
            <w:tcW w:w="3532" w:type="dxa"/>
          </w:tcPr>
          <w:p w14:paraId="4ED340E9" w14:textId="77777777" w:rsidR="00105B10" w:rsidRPr="00BC1B37" w:rsidRDefault="00105B10" w:rsidP="00610961">
            <w:pPr>
              <w:rPr>
                <w:rFonts w:ascii="Aptos" w:hAnsi="Aptos" w:cs="Times New Roman"/>
                <w:szCs w:val="24"/>
              </w:rPr>
            </w:pPr>
          </w:p>
        </w:tc>
      </w:tr>
    </w:tbl>
    <w:p w14:paraId="2FD69661" w14:textId="77777777" w:rsidR="00105B10" w:rsidRPr="00BC1B37" w:rsidRDefault="00105B10" w:rsidP="00105B10">
      <w:pPr>
        <w:rPr>
          <w:rFonts w:ascii="Aptos" w:hAnsi="Aptos" w:cs="Times New Roman"/>
          <w:szCs w:val="24"/>
        </w:rPr>
      </w:pPr>
    </w:p>
    <w:p w14:paraId="5653D982" w14:textId="77777777" w:rsidR="00105B10" w:rsidRPr="00BC1B37" w:rsidRDefault="00105B10" w:rsidP="00105B10">
      <w:pPr>
        <w:jc w:val="center"/>
        <w:rPr>
          <w:rFonts w:ascii="Aptos" w:hAnsi="Aptos" w:cs="Times New Roman"/>
          <w:b/>
          <w:bCs/>
          <w:szCs w:val="24"/>
        </w:rPr>
      </w:pPr>
      <w:r w:rsidRPr="00BC1B37">
        <w:rPr>
          <w:rFonts w:ascii="Aptos" w:hAnsi="Aptos" w:cs="Times New Roman"/>
          <w:b/>
          <w:bCs/>
          <w:szCs w:val="24"/>
        </w:rPr>
        <w:t>I SKYRIUS</w:t>
      </w:r>
    </w:p>
    <w:p w14:paraId="69CC3AFF" w14:textId="77777777" w:rsidR="00105B10" w:rsidRPr="00BC1B37" w:rsidRDefault="00105B10" w:rsidP="00105B10">
      <w:pPr>
        <w:jc w:val="center"/>
        <w:rPr>
          <w:rFonts w:ascii="Aptos" w:hAnsi="Aptos" w:cs="Times New Roman"/>
          <w:b/>
          <w:bCs/>
          <w:szCs w:val="24"/>
        </w:rPr>
      </w:pPr>
      <w:r w:rsidRPr="00BC1B37">
        <w:rPr>
          <w:rFonts w:ascii="Aptos" w:hAnsi="Aptos" w:cs="Times New Roman"/>
          <w:b/>
          <w:bCs/>
          <w:szCs w:val="24"/>
        </w:rPr>
        <w:t>INFORMACIJA APIE TIEKĖJĄ</w:t>
      </w:r>
    </w:p>
    <w:p w14:paraId="5B00429E" w14:textId="77777777" w:rsidR="00105B10" w:rsidRPr="00BC1B37" w:rsidRDefault="00105B10" w:rsidP="00105B10">
      <w:pPr>
        <w:rPr>
          <w:rFonts w:ascii="Aptos" w:hAnsi="Aptos" w:cs="Times New Roman"/>
          <w:szCs w:val="24"/>
        </w:rPr>
      </w:pPr>
    </w:p>
    <w:p w14:paraId="34089C83" w14:textId="77777777" w:rsidR="00105B10" w:rsidRPr="00BC1B37" w:rsidRDefault="00105B10" w:rsidP="00105B10">
      <w:pPr>
        <w:pStyle w:val="Antrat"/>
        <w:rPr>
          <w:rFonts w:ascii="Aptos" w:hAnsi="Aptos" w:cs="Times New Roman"/>
          <w:b w:val="0"/>
          <w:bCs/>
          <w:szCs w:val="24"/>
        </w:rPr>
      </w:pPr>
      <w:r w:rsidRPr="00BC1B37">
        <w:rPr>
          <w:rFonts w:ascii="Aptos" w:hAnsi="Aptos" w:cs="Times New Roman"/>
          <w:szCs w:val="24"/>
        </w:rPr>
        <w:fldChar w:fldCharType="begin"/>
      </w:r>
      <w:r w:rsidRPr="00BC1B37">
        <w:rPr>
          <w:rFonts w:ascii="Aptos" w:hAnsi="Aptos" w:cs="Times New Roman"/>
          <w:szCs w:val="24"/>
        </w:rPr>
        <w:instrText xml:space="preserve"> SEQ lentelė \* ARABIC </w:instrText>
      </w:r>
      <w:r w:rsidRPr="00BC1B37">
        <w:rPr>
          <w:rFonts w:ascii="Aptos" w:hAnsi="Aptos" w:cs="Times New Roman"/>
          <w:szCs w:val="24"/>
        </w:rPr>
        <w:fldChar w:fldCharType="separate"/>
      </w:r>
      <w:r>
        <w:rPr>
          <w:rFonts w:ascii="Aptos" w:hAnsi="Aptos" w:cs="Times New Roman"/>
          <w:noProof/>
          <w:szCs w:val="24"/>
        </w:rPr>
        <w:t>1</w:t>
      </w:r>
      <w:r w:rsidRPr="00BC1B37">
        <w:rPr>
          <w:rFonts w:ascii="Aptos" w:hAnsi="Aptos" w:cs="Times New Roman"/>
          <w:noProof/>
          <w:szCs w:val="24"/>
        </w:rPr>
        <w:fldChar w:fldCharType="end"/>
      </w:r>
      <w:r w:rsidRPr="00BC1B37">
        <w:rPr>
          <w:rFonts w:ascii="Aptos" w:hAnsi="Aptos" w:cs="Times New Roman"/>
          <w:szCs w:val="24"/>
        </w:rPr>
        <w:t xml:space="preserve"> lentelė. </w:t>
      </w:r>
      <w:r w:rsidRPr="00BC1B37">
        <w:rPr>
          <w:rFonts w:ascii="Aptos" w:hAnsi="Aptos" w:cs="Times New Roman"/>
          <w:b w:val="0"/>
          <w:bCs/>
          <w:szCs w:val="24"/>
        </w:rPr>
        <w:t>Informacija apie tiekėją</w:t>
      </w:r>
    </w:p>
    <w:tbl>
      <w:tblPr>
        <w:tblStyle w:val="Lentelstinkleli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04"/>
      </w:tblGrid>
      <w:tr w:rsidR="00105B10" w:rsidRPr="00BC1B37" w14:paraId="1118739A" w14:textId="77777777" w:rsidTr="00610961">
        <w:tc>
          <w:tcPr>
            <w:tcW w:w="4530" w:type="dxa"/>
          </w:tcPr>
          <w:p w14:paraId="496923C2" w14:textId="77777777" w:rsidR="00105B10" w:rsidRPr="00BC1B37" w:rsidRDefault="00105B10" w:rsidP="00610961">
            <w:pPr>
              <w:rPr>
                <w:rFonts w:ascii="Aptos" w:hAnsi="Aptos" w:cs="Times New Roman"/>
                <w:szCs w:val="24"/>
              </w:rPr>
            </w:pPr>
            <w:r w:rsidRPr="00BC1B37">
              <w:rPr>
                <w:rFonts w:ascii="Aptos" w:hAnsi="Aptos" w:cs="Times New Roman"/>
                <w:szCs w:val="24"/>
              </w:rPr>
              <w:t>Tiekėjo arba ūkio subjektų grupės dalyvių pavadinimas (-ai), juridinio asmens kodas (-ai) (jeigu pasiūlymą teikia fizinis asmuo – vardas ir pavardė), adresas (-ai)</w:t>
            </w:r>
          </w:p>
        </w:tc>
        <w:tc>
          <w:tcPr>
            <w:tcW w:w="4531" w:type="dxa"/>
          </w:tcPr>
          <w:p w14:paraId="618D9EF8" w14:textId="77777777" w:rsidR="00105B10" w:rsidRPr="00BC1B37" w:rsidRDefault="00105B10" w:rsidP="00610961">
            <w:pPr>
              <w:rPr>
                <w:rFonts w:ascii="Aptos" w:hAnsi="Aptos" w:cs="Times New Roman"/>
                <w:szCs w:val="24"/>
              </w:rPr>
            </w:pPr>
          </w:p>
        </w:tc>
      </w:tr>
      <w:tr w:rsidR="00105B10" w:rsidRPr="00BC1B37" w14:paraId="6BDB6F93" w14:textId="77777777" w:rsidTr="00610961">
        <w:tc>
          <w:tcPr>
            <w:tcW w:w="4530" w:type="dxa"/>
          </w:tcPr>
          <w:p w14:paraId="721796CF" w14:textId="77777777" w:rsidR="00105B10" w:rsidRPr="00BC1B37" w:rsidRDefault="00105B10" w:rsidP="00610961">
            <w:pPr>
              <w:rPr>
                <w:rFonts w:ascii="Aptos" w:hAnsi="Aptos" w:cs="Times New Roman"/>
                <w:szCs w:val="24"/>
              </w:rPr>
            </w:pPr>
            <w:r w:rsidRPr="00BC1B37">
              <w:rPr>
                <w:rFonts w:ascii="Aptos" w:hAnsi="Aptos" w:cs="Times New Roman"/>
                <w:szCs w:val="24"/>
              </w:rPr>
              <w:t>Ūkio subjektų grupės dalyvis, atstovaujantis arba vadovaujantis ūkio subjektų grupei (pildoma, jei pasiūlymą teikia tiekėjų grupė)</w:t>
            </w:r>
          </w:p>
        </w:tc>
        <w:tc>
          <w:tcPr>
            <w:tcW w:w="4531" w:type="dxa"/>
          </w:tcPr>
          <w:p w14:paraId="0E01886D" w14:textId="77777777" w:rsidR="00105B10" w:rsidRPr="00BC1B37" w:rsidRDefault="00105B10" w:rsidP="00610961">
            <w:pPr>
              <w:rPr>
                <w:rFonts w:ascii="Aptos" w:hAnsi="Aptos" w:cs="Times New Roman"/>
                <w:szCs w:val="24"/>
              </w:rPr>
            </w:pPr>
          </w:p>
        </w:tc>
      </w:tr>
      <w:tr w:rsidR="00105B10" w:rsidRPr="00BC1B37" w14:paraId="3685C4A8" w14:textId="77777777" w:rsidTr="00610961">
        <w:tc>
          <w:tcPr>
            <w:tcW w:w="4530" w:type="dxa"/>
          </w:tcPr>
          <w:p w14:paraId="5C543A29" w14:textId="77777777" w:rsidR="00105B10" w:rsidRPr="00BC1B37" w:rsidRDefault="00105B10" w:rsidP="00610961">
            <w:pPr>
              <w:rPr>
                <w:rFonts w:ascii="Aptos" w:hAnsi="Aptos" w:cs="Times New Roman"/>
                <w:szCs w:val="24"/>
              </w:rPr>
            </w:pPr>
            <w:r w:rsidRPr="00BC1B37">
              <w:rPr>
                <w:rFonts w:ascii="Aptos" w:hAnsi="Aptos" w:cs="Times New Roman"/>
                <w:szCs w:val="24"/>
              </w:rPr>
              <w:t>Asmens, įgalioto bendrauti su perkančiąją organizacija, kontaktinė informacija (vardas, pavardė, telefono numeris)</w:t>
            </w:r>
          </w:p>
        </w:tc>
        <w:tc>
          <w:tcPr>
            <w:tcW w:w="4531" w:type="dxa"/>
          </w:tcPr>
          <w:p w14:paraId="26481621" w14:textId="77777777" w:rsidR="00105B10" w:rsidRPr="00BC1B37" w:rsidRDefault="00105B10" w:rsidP="00610961">
            <w:pPr>
              <w:rPr>
                <w:rFonts w:ascii="Aptos" w:hAnsi="Aptos" w:cs="Times New Roman"/>
                <w:szCs w:val="24"/>
              </w:rPr>
            </w:pPr>
          </w:p>
        </w:tc>
      </w:tr>
    </w:tbl>
    <w:p w14:paraId="44D6449C" w14:textId="77777777" w:rsidR="00105B10" w:rsidRPr="00BC1B37" w:rsidRDefault="00105B10" w:rsidP="00105B10">
      <w:pPr>
        <w:rPr>
          <w:rFonts w:ascii="Aptos" w:hAnsi="Aptos" w:cs="Times New Roman"/>
          <w:szCs w:val="24"/>
        </w:rPr>
      </w:pPr>
    </w:p>
    <w:p w14:paraId="6B12FDDE" w14:textId="77777777" w:rsidR="00105B10" w:rsidRPr="00BC1B37" w:rsidRDefault="00105B10" w:rsidP="00105B10">
      <w:pPr>
        <w:jc w:val="center"/>
        <w:rPr>
          <w:rFonts w:ascii="Aptos" w:hAnsi="Aptos" w:cs="Times New Roman"/>
          <w:b/>
          <w:bCs/>
          <w:szCs w:val="24"/>
        </w:rPr>
      </w:pPr>
      <w:r w:rsidRPr="00BC1B37">
        <w:rPr>
          <w:rFonts w:ascii="Aptos" w:hAnsi="Aptos" w:cs="Times New Roman"/>
          <w:b/>
          <w:bCs/>
          <w:szCs w:val="24"/>
        </w:rPr>
        <w:t>II SKYRIUS</w:t>
      </w:r>
    </w:p>
    <w:p w14:paraId="52A22EC0" w14:textId="77777777" w:rsidR="00105B10" w:rsidRPr="00BC1B37" w:rsidRDefault="00105B10" w:rsidP="00105B10">
      <w:pPr>
        <w:jc w:val="center"/>
        <w:rPr>
          <w:rFonts w:ascii="Aptos" w:hAnsi="Aptos" w:cs="Times New Roman"/>
          <w:b/>
          <w:bCs/>
          <w:szCs w:val="24"/>
        </w:rPr>
      </w:pPr>
      <w:r w:rsidRPr="00BC1B37">
        <w:rPr>
          <w:rFonts w:ascii="Aptos" w:hAnsi="Aptos" w:cs="Times New Roman"/>
          <w:b/>
          <w:bCs/>
          <w:szCs w:val="24"/>
        </w:rPr>
        <w:t>INFORMACIJA APIE ŽINOMUS SUBTIEKĖJUS IR JIEMS PERDUODAMA VYKDYTI SUTARTIES DALIS</w:t>
      </w:r>
    </w:p>
    <w:p w14:paraId="32E85464" w14:textId="77777777" w:rsidR="00105B10" w:rsidRPr="00BC1B37" w:rsidRDefault="00105B10" w:rsidP="00105B10">
      <w:pPr>
        <w:rPr>
          <w:rFonts w:ascii="Aptos" w:hAnsi="Aptos" w:cs="Times New Roman"/>
          <w:szCs w:val="24"/>
        </w:rPr>
      </w:pPr>
    </w:p>
    <w:p w14:paraId="15FA5599" w14:textId="77777777" w:rsidR="00105B10" w:rsidRPr="00BC1B37" w:rsidRDefault="00105B10" w:rsidP="00105B10">
      <w:pPr>
        <w:pStyle w:val="Antrat"/>
        <w:rPr>
          <w:rFonts w:ascii="Aptos" w:hAnsi="Aptos" w:cs="Times New Roman"/>
          <w:szCs w:val="24"/>
        </w:rPr>
      </w:pPr>
      <w:r w:rsidRPr="00BC1B37">
        <w:rPr>
          <w:rFonts w:ascii="Aptos" w:hAnsi="Aptos" w:cs="Times New Roman"/>
          <w:szCs w:val="24"/>
        </w:rPr>
        <w:fldChar w:fldCharType="begin"/>
      </w:r>
      <w:r w:rsidRPr="00BC1B37">
        <w:rPr>
          <w:rFonts w:ascii="Aptos" w:hAnsi="Aptos" w:cs="Times New Roman"/>
          <w:szCs w:val="24"/>
        </w:rPr>
        <w:instrText xml:space="preserve"> SEQ lentelė \* ARABIC </w:instrText>
      </w:r>
      <w:r w:rsidRPr="00BC1B37">
        <w:rPr>
          <w:rFonts w:ascii="Aptos" w:hAnsi="Aptos" w:cs="Times New Roman"/>
          <w:szCs w:val="24"/>
        </w:rPr>
        <w:fldChar w:fldCharType="separate"/>
      </w:r>
      <w:r>
        <w:rPr>
          <w:rFonts w:ascii="Aptos" w:hAnsi="Aptos" w:cs="Times New Roman"/>
          <w:noProof/>
          <w:szCs w:val="24"/>
        </w:rPr>
        <w:t>2</w:t>
      </w:r>
      <w:r w:rsidRPr="00BC1B37">
        <w:rPr>
          <w:rFonts w:ascii="Aptos" w:hAnsi="Aptos" w:cs="Times New Roman"/>
          <w:noProof/>
          <w:szCs w:val="24"/>
        </w:rPr>
        <w:fldChar w:fldCharType="end"/>
      </w:r>
      <w:r w:rsidRPr="00BC1B37">
        <w:rPr>
          <w:rFonts w:ascii="Aptos" w:hAnsi="Aptos" w:cs="Times New Roman"/>
          <w:szCs w:val="24"/>
        </w:rPr>
        <w:t xml:space="preserve"> lentelė</w:t>
      </w:r>
      <w:r w:rsidRPr="00BC1B37">
        <w:rPr>
          <w:rFonts w:ascii="Aptos" w:hAnsi="Aptos" w:cs="Times New Roman"/>
          <w:b w:val="0"/>
          <w:bCs/>
          <w:szCs w:val="24"/>
        </w:rPr>
        <w:t>. Informacija apie žinomus subtiekėjus</w:t>
      </w:r>
    </w:p>
    <w:tbl>
      <w:tblPr>
        <w:tblStyle w:val="Lentelstinkleli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5451"/>
        <w:gridCol w:w="3006"/>
      </w:tblGrid>
      <w:tr w:rsidR="00105B10" w:rsidRPr="00BC1B37" w14:paraId="1A8BE74C" w14:textId="77777777" w:rsidTr="00610961">
        <w:tc>
          <w:tcPr>
            <w:tcW w:w="310" w:type="pct"/>
          </w:tcPr>
          <w:p w14:paraId="3FB29D2F" w14:textId="77777777" w:rsidR="00105B10" w:rsidRPr="00BC1B37" w:rsidRDefault="00105B10" w:rsidP="00610961">
            <w:pPr>
              <w:jc w:val="center"/>
              <w:rPr>
                <w:rFonts w:ascii="Aptos" w:hAnsi="Aptos" w:cs="Times New Roman"/>
                <w:b/>
                <w:bCs/>
                <w:szCs w:val="24"/>
              </w:rPr>
            </w:pPr>
            <w:r w:rsidRPr="00BC1B37">
              <w:rPr>
                <w:rFonts w:ascii="Aptos" w:hAnsi="Aptos" w:cs="Times New Roman"/>
                <w:b/>
                <w:bCs/>
                <w:szCs w:val="24"/>
              </w:rPr>
              <w:t>Nr.</w:t>
            </w:r>
          </w:p>
        </w:tc>
        <w:tc>
          <w:tcPr>
            <w:tcW w:w="3023" w:type="pct"/>
          </w:tcPr>
          <w:p w14:paraId="4244DC4E" w14:textId="77777777" w:rsidR="00105B10" w:rsidRPr="00BC1B37" w:rsidRDefault="00105B10" w:rsidP="00610961">
            <w:pPr>
              <w:jc w:val="center"/>
              <w:rPr>
                <w:rFonts w:ascii="Aptos" w:hAnsi="Aptos" w:cs="Times New Roman"/>
                <w:b/>
                <w:bCs/>
                <w:szCs w:val="24"/>
              </w:rPr>
            </w:pPr>
            <w:r w:rsidRPr="00BC1B37">
              <w:rPr>
                <w:rFonts w:ascii="Aptos" w:hAnsi="Aptos" w:cs="Times New Roman"/>
                <w:b/>
                <w:bCs/>
                <w:szCs w:val="24"/>
              </w:rPr>
              <w:t>Subtiekėjo pavadinimas, juridinio asmens kodas, adresas</w:t>
            </w:r>
          </w:p>
        </w:tc>
        <w:tc>
          <w:tcPr>
            <w:tcW w:w="1667" w:type="pct"/>
          </w:tcPr>
          <w:p w14:paraId="66C47A12" w14:textId="77777777" w:rsidR="00105B10" w:rsidRPr="00BC1B37" w:rsidRDefault="00105B10" w:rsidP="00610961">
            <w:pPr>
              <w:jc w:val="center"/>
              <w:rPr>
                <w:rFonts w:ascii="Aptos" w:hAnsi="Aptos" w:cs="Times New Roman"/>
                <w:b/>
                <w:bCs/>
                <w:szCs w:val="24"/>
              </w:rPr>
            </w:pPr>
            <w:r w:rsidRPr="00BC1B37">
              <w:rPr>
                <w:rFonts w:ascii="Aptos" w:hAnsi="Aptos" w:cs="Times New Roman"/>
                <w:b/>
                <w:bCs/>
                <w:szCs w:val="24"/>
              </w:rPr>
              <w:t>Sutarties objekto dalies, perduodamos vykdyti subtiekėjui, aprašymas</w:t>
            </w:r>
          </w:p>
        </w:tc>
      </w:tr>
      <w:tr w:rsidR="00105B10" w:rsidRPr="00BC1B37" w14:paraId="3C61FFCD" w14:textId="77777777" w:rsidTr="00610961">
        <w:tc>
          <w:tcPr>
            <w:tcW w:w="310" w:type="pct"/>
          </w:tcPr>
          <w:p w14:paraId="04351186" w14:textId="77777777" w:rsidR="00105B10" w:rsidRPr="00BC1B37" w:rsidRDefault="00105B10" w:rsidP="00610961">
            <w:pPr>
              <w:jc w:val="center"/>
              <w:rPr>
                <w:rFonts w:ascii="Aptos" w:hAnsi="Aptos" w:cs="Times New Roman"/>
                <w:b/>
                <w:bCs/>
                <w:szCs w:val="24"/>
              </w:rPr>
            </w:pPr>
            <w:r w:rsidRPr="00BC1B37">
              <w:rPr>
                <w:rFonts w:ascii="Aptos" w:hAnsi="Aptos" w:cs="Times New Roman"/>
                <w:b/>
                <w:bCs/>
                <w:szCs w:val="24"/>
              </w:rPr>
              <w:t>1</w:t>
            </w:r>
          </w:p>
        </w:tc>
        <w:tc>
          <w:tcPr>
            <w:tcW w:w="3023" w:type="pct"/>
          </w:tcPr>
          <w:p w14:paraId="02EDFD07" w14:textId="77777777" w:rsidR="00105B10" w:rsidRPr="00BC1B37" w:rsidRDefault="00105B10" w:rsidP="00610961">
            <w:pPr>
              <w:jc w:val="center"/>
              <w:rPr>
                <w:rFonts w:ascii="Aptos" w:hAnsi="Aptos" w:cs="Times New Roman"/>
                <w:b/>
                <w:bCs/>
                <w:szCs w:val="24"/>
              </w:rPr>
            </w:pPr>
            <w:r w:rsidRPr="00BC1B37">
              <w:rPr>
                <w:rFonts w:ascii="Aptos" w:hAnsi="Aptos" w:cs="Times New Roman"/>
                <w:b/>
                <w:bCs/>
                <w:szCs w:val="24"/>
              </w:rPr>
              <w:t>2</w:t>
            </w:r>
          </w:p>
        </w:tc>
        <w:tc>
          <w:tcPr>
            <w:tcW w:w="1667" w:type="pct"/>
          </w:tcPr>
          <w:p w14:paraId="7F10A39F" w14:textId="77777777" w:rsidR="00105B10" w:rsidRPr="00BC1B37" w:rsidRDefault="00105B10" w:rsidP="00610961">
            <w:pPr>
              <w:jc w:val="center"/>
              <w:rPr>
                <w:rFonts w:ascii="Aptos" w:hAnsi="Aptos" w:cs="Times New Roman"/>
                <w:b/>
                <w:bCs/>
                <w:szCs w:val="24"/>
              </w:rPr>
            </w:pPr>
            <w:r w:rsidRPr="00BC1B37">
              <w:rPr>
                <w:rFonts w:ascii="Aptos" w:hAnsi="Aptos" w:cs="Times New Roman"/>
                <w:b/>
                <w:bCs/>
                <w:szCs w:val="24"/>
              </w:rPr>
              <w:t>3</w:t>
            </w:r>
          </w:p>
        </w:tc>
      </w:tr>
      <w:tr w:rsidR="00105B10" w:rsidRPr="00BC1B37" w14:paraId="7D5BC7E5" w14:textId="77777777" w:rsidTr="00610961">
        <w:tc>
          <w:tcPr>
            <w:tcW w:w="310" w:type="pct"/>
          </w:tcPr>
          <w:p w14:paraId="169F41C1" w14:textId="77777777" w:rsidR="00105B10" w:rsidRPr="00BC1B37" w:rsidRDefault="00105B10" w:rsidP="00610961">
            <w:pPr>
              <w:rPr>
                <w:rFonts w:ascii="Aptos" w:hAnsi="Aptos" w:cs="Times New Roman"/>
                <w:szCs w:val="24"/>
              </w:rPr>
            </w:pPr>
          </w:p>
        </w:tc>
        <w:tc>
          <w:tcPr>
            <w:tcW w:w="3023" w:type="pct"/>
          </w:tcPr>
          <w:p w14:paraId="76AA3A43" w14:textId="77777777" w:rsidR="00105B10" w:rsidRPr="00BC1B37" w:rsidRDefault="00105B10" w:rsidP="00610961">
            <w:pPr>
              <w:rPr>
                <w:rFonts w:ascii="Aptos" w:hAnsi="Aptos" w:cs="Times New Roman"/>
                <w:szCs w:val="24"/>
              </w:rPr>
            </w:pPr>
          </w:p>
        </w:tc>
        <w:tc>
          <w:tcPr>
            <w:tcW w:w="1667" w:type="pct"/>
          </w:tcPr>
          <w:p w14:paraId="7B8A2288" w14:textId="77777777" w:rsidR="00105B10" w:rsidRPr="00BC1B37" w:rsidRDefault="00105B10" w:rsidP="00610961">
            <w:pPr>
              <w:rPr>
                <w:rFonts w:ascii="Aptos" w:hAnsi="Aptos" w:cs="Times New Roman"/>
                <w:szCs w:val="24"/>
              </w:rPr>
            </w:pPr>
          </w:p>
        </w:tc>
      </w:tr>
      <w:tr w:rsidR="00105B10" w:rsidRPr="00BC1B37" w14:paraId="72D0EFAA" w14:textId="77777777" w:rsidTr="00610961">
        <w:tc>
          <w:tcPr>
            <w:tcW w:w="310" w:type="pct"/>
          </w:tcPr>
          <w:p w14:paraId="45108C36" w14:textId="77777777" w:rsidR="00105B10" w:rsidRPr="00BC1B37" w:rsidRDefault="00105B10" w:rsidP="00610961">
            <w:pPr>
              <w:rPr>
                <w:rFonts w:ascii="Aptos" w:hAnsi="Aptos" w:cs="Times New Roman"/>
                <w:szCs w:val="24"/>
              </w:rPr>
            </w:pPr>
          </w:p>
        </w:tc>
        <w:tc>
          <w:tcPr>
            <w:tcW w:w="3023" w:type="pct"/>
          </w:tcPr>
          <w:p w14:paraId="26DFBC60" w14:textId="77777777" w:rsidR="00105B10" w:rsidRPr="00BC1B37" w:rsidRDefault="00105B10" w:rsidP="00610961">
            <w:pPr>
              <w:rPr>
                <w:rFonts w:ascii="Aptos" w:hAnsi="Aptos" w:cs="Times New Roman"/>
                <w:szCs w:val="24"/>
              </w:rPr>
            </w:pPr>
          </w:p>
        </w:tc>
        <w:tc>
          <w:tcPr>
            <w:tcW w:w="1667" w:type="pct"/>
          </w:tcPr>
          <w:p w14:paraId="704A70A9" w14:textId="77777777" w:rsidR="00105B10" w:rsidRPr="00BC1B37" w:rsidRDefault="00105B10" w:rsidP="00610961">
            <w:pPr>
              <w:rPr>
                <w:rFonts w:ascii="Aptos" w:hAnsi="Aptos" w:cs="Times New Roman"/>
                <w:szCs w:val="24"/>
              </w:rPr>
            </w:pPr>
          </w:p>
        </w:tc>
      </w:tr>
    </w:tbl>
    <w:p w14:paraId="548738BB" w14:textId="77777777" w:rsidR="00105B10" w:rsidRPr="00BC1B37" w:rsidRDefault="00105B10" w:rsidP="00105B10">
      <w:pPr>
        <w:rPr>
          <w:rFonts w:ascii="Aptos" w:hAnsi="Aptos" w:cs="Times New Roman"/>
          <w:szCs w:val="24"/>
        </w:rPr>
      </w:pPr>
    </w:p>
    <w:p w14:paraId="62982E08" w14:textId="77777777" w:rsidR="00105B10" w:rsidRPr="00BC1B37" w:rsidRDefault="00105B10" w:rsidP="00105B10">
      <w:pPr>
        <w:jc w:val="center"/>
        <w:rPr>
          <w:rFonts w:ascii="Aptos" w:hAnsi="Aptos" w:cs="Times New Roman"/>
          <w:b/>
          <w:bCs/>
          <w:szCs w:val="24"/>
        </w:rPr>
      </w:pPr>
      <w:r w:rsidRPr="00BC1B37">
        <w:rPr>
          <w:rFonts w:ascii="Aptos" w:hAnsi="Aptos" w:cs="Times New Roman"/>
          <w:b/>
          <w:bCs/>
          <w:szCs w:val="24"/>
        </w:rPr>
        <w:t>III SKYRIUS</w:t>
      </w:r>
    </w:p>
    <w:p w14:paraId="032AC96B" w14:textId="77777777" w:rsidR="00105B10" w:rsidRPr="00BC1B37" w:rsidRDefault="00105B10" w:rsidP="00105B10">
      <w:pPr>
        <w:jc w:val="center"/>
        <w:rPr>
          <w:rFonts w:ascii="Aptos" w:hAnsi="Aptos" w:cs="Times New Roman"/>
          <w:b/>
          <w:bCs/>
          <w:szCs w:val="24"/>
        </w:rPr>
      </w:pPr>
      <w:r w:rsidRPr="00BC1B37">
        <w:rPr>
          <w:rFonts w:ascii="Aptos" w:hAnsi="Aptos" w:cs="Times New Roman"/>
          <w:b/>
          <w:bCs/>
          <w:szCs w:val="24"/>
        </w:rPr>
        <w:t>PASIŪLYMO KAINA</w:t>
      </w:r>
    </w:p>
    <w:p w14:paraId="1B7DBF8D" w14:textId="77777777" w:rsidR="00105B10" w:rsidRPr="00BC1B37" w:rsidRDefault="00105B10" w:rsidP="00105B10">
      <w:pPr>
        <w:rPr>
          <w:rFonts w:ascii="Aptos" w:hAnsi="Aptos" w:cs="Times New Roman"/>
          <w:szCs w:val="24"/>
        </w:rPr>
      </w:pPr>
    </w:p>
    <w:p w14:paraId="422A481C" w14:textId="77777777" w:rsidR="00105B10" w:rsidRPr="00BC1B37" w:rsidRDefault="00105B10" w:rsidP="00105B10">
      <w:pPr>
        <w:pStyle w:val="Sraopastraipa"/>
        <w:numPr>
          <w:ilvl w:val="0"/>
          <w:numId w:val="1"/>
        </w:numPr>
        <w:rPr>
          <w:rFonts w:ascii="Aptos" w:hAnsi="Aptos" w:cs="Times New Roman"/>
          <w:szCs w:val="24"/>
        </w:rPr>
      </w:pPr>
      <w:r w:rsidRPr="00BC1B37">
        <w:rPr>
          <w:rFonts w:ascii="Aptos" w:hAnsi="Aptos" w:cs="Times New Roman"/>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B1D3A61" w14:textId="77777777" w:rsidR="00105B10" w:rsidRPr="00BC1B37" w:rsidRDefault="00105B10" w:rsidP="00105B10">
      <w:pPr>
        <w:pStyle w:val="Sraopastraipa"/>
        <w:numPr>
          <w:ilvl w:val="0"/>
          <w:numId w:val="1"/>
        </w:numPr>
        <w:rPr>
          <w:rFonts w:ascii="Aptos" w:hAnsi="Aptos" w:cs="Times New Roman"/>
          <w:szCs w:val="24"/>
        </w:rPr>
      </w:pPr>
      <w:r w:rsidRPr="00BC1B37">
        <w:rPr>
          <w:rFonts w:ascii="Aptos" w:hAnsi="Aptos" w:cs="Times New Roman"/>
          <w:szCs w:val="24"/>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elektroninių sąskaitų teikimo išlaidos.</w:t>
      </w:r>
    </w:p>
    <w:p w14:paraId="5B557DC5" w14:textId="77777777" w:rsidR="00105B10" w:rsidRPr="00401A1B" w:rsidRDefault="00105B10" w:rsidP="00105B10">
      <w:pPr>
        <w:pStyle w:val="Sraopastraipa"/>
        <w:numPr>
          <w:ilvl w:val="0"/>
          <w:numId w:val="1"/>
        </w:numPr>
        <w:rPr>
          <w:rFonts w:ascii="Aptos" w:hAnsi="Aptos" w:cs="Times New Roman"/>
          <w:szCs w:val="24"/>
        </w:rPr>
      </w:pPr>
      <w:r w:rsidRPr="00BC1B37">
        <w:rPr>
          <w:rFonts w:ascii="Aptos" w:hAnsi="Aptos" w:cs="Times New Roman"/>
          <w:szCs w:val="24"/>
        </w:rPr>
        <w:t xml:space="preserve">Pasiūlyme nurodyta kaina ar kainos (įskaitant visus tarpinius skaičiavimus) turi būti nurodomos keturių skaičių po kablelio tikslumu. Jei penktas skaičius po kablelio yra nuo 0 iki 4, ketvirtasis skaičius po kablelio paliekamas koks yra, jei penktas skaičius po kablelio </w:t>
      </w:r>
      <w:r w:rsidRPr="00401A1B">
        <w:rPr>
          <w:rFonts w:ascii="Aptos" w:hAnsi="Aptos" w:cs="Times New Roman"/>
          <w:szCs w:val="24"/>
        </w:rPr>
        <w:t>yra nuo 5 iki 9, ketvirtąjį skaičių po kablelio padidiname vienu vienetu, pvz., 3,14231 suapvalinus iki dešimt tūkstantųjų bus 3,1423. Suapvalinus 3,11536 iki dešimt tūkstantųjų bus 3,1154.</w:t>
      </w:r>
    </w:p>
    <w:p w14:paraId="79C6C302" w14:textId="77777777" w:rsidR="00105B10" w:rsidRPr="00401A1B" w:rsidRDefault="00105B10" w:rsidP="00105B10">
      <w:pPr>
        <w:pStyle w:val="Sraopastraipa"/>
        <w:numPr>
          <w:ilvl w:val="0"/>
          <w:numId w:val="1"/>
        </w:numPr>
        <w:rPr>
          <w:rFonts w:ascii="Aptos" w:hAnsi="Aptos" w:cs="Times New Roman"/>
          <w:szCs w:val="24"/>
        </w:rPr>
      </w:pPr>
      <w:r w:rsidRPr="00401A1B">
        <w:rPr>
          <w:rFonts w:ascii="Aptos" w:hAnsi="Aptos" w:cs="Times New Roman"/>
          <w:szCs w:val="24"/>
        </w:rPr>
        <w:t xml:space="preserve">Tarptautiniai pokalbiai </w:t>
      </w:r>
      <w:r w:rsidRPr="00401A1B">
        <w:rPr>
          <w:rFonts w:ascii="Aptos" w:hAnsi="Aptos"/>
          <w:szCs w:val="24"/>
        </w:rPr>
        <w:t xml:space="preserve">Europos Sąjungos ir Europos Ekonominės Erdvės valstybėse apmokestinami pagal </w:t>
      </w:r>
      <w:r w:rsidRPr="00401A1B">
        <w:rPr>
          <w:rFonts w:ascii="Aptos" w:hAnsi="Aptos" w:cs="Times New Roman"/>
          <w:szCs w:val="24"/>
        </w:rPr>
        <w:t>tą dieną Paslaugų teikėjo viešai skelbiamus ir galiojančius paslaugų įkainius.</w:t>
      </w:r>
    </w:p>
    <w:p w14:paraId="593418C3" w14:textId="77777777" w:rsidR="00105B10" w:rsidRPr="00401A1B" w:rsidRDefault="00105B10" w:rsidP="00105B10">
      <w:pPr>
        <w:pStyle w:val="Sraopastraipa"/>
        <w:numPr>
          <w:ilvl w:val="0"/>
          <w:numId w:val="1"/>
        </w:numPr>
        <w:rPr>
          <w:rFonts w:ascii="Aptos" w:hAnsi="Aptos" w:cs="Times New Roman"/>
          <w:szCs w:val="24"/>
        </w:rPr>
      </w:pPr>
      <w:r w:rsidRPr="00401A1B">
        <w:rPr>
          <w:rFonts w:ascii="Aptos" w:hAnsi="Aptos" w:cs="Times New Roman"/>
          <w:szCs w:val="24"/>
        </w:rPr>
        <w:t xml:space="preserve">Tarptinklinis ryšys </w:t>
      </w:r>
      <w:r w:rsidRPr="00401A1B">
        <w:rPr>
          <w:rFonts w:ascii="Aptos" w:hAnsi="Aptos"/>
        </w:rPr>
        <w:t>(</w:t>
      </w:r>
      <w:proofErr w:type="spellStart"/>
      <w:r w:rsidRPr="00401A1B">
        <w:rPr>
          <w:rFonts w:ascii="Aptos" w:hAnsi="Aptos"/>
        </w:rPr>
        <w:t>roaming'as</w:t>
      </w:r>
      <w:proofErr w:type="spellEnd"/>
      <w:r w:rsidRPr="00401A1B">
        <w:rPr>
          <w:rFonts w:ascii="Aptos" w:hAnsi="Aptos"/>
        </w:rPr>
        <w:t xml:space="preserve">) </w:t>
      </w:r>
      <w:r w:rsidRPr="00401A1B">
        <w:rPr>
          <w:rFonts w:ascii="Aptos" w:hAnsi="Aptos"/>
          <w:szCs w:val="24"/>
        </w:rPr>
        <w:t>Europos Sąjungos ir Europos Ekonominės Erdvės valstybėse apmokestinami vadovaujantis Europos Parlamento ir Tarybos reglamentu (ES) 2022/612 2022 m. balandžio 6 d. dėl tarptinklinio ryšio per viešuosius judriojo ryšio tinklus Europos Sąjungoje (nauja redakcija) (taikomas „kalbėk kaip namie“ principas</w:t>
      </w:r>
      <w:r w:rsidRPr="00401A1B">
        <w:rPr>
          <w:rStyle w:val="Puslapioinaosnuoroda"/>
          <w:rFonts w:ascii="Aptos" w:hAnsi="Aptos"/>
          <w:szCs w:val="24"/>
        </w:rPr>
        <w:footnoteReference w:id="1"/>
      </w:r>
      <w:r w:rsidRPr="00401A1B">
        <w:rPr>
          <w:rFonts w:ascii="Aptos" w:hAnsi="Aptos"/>
          <w:szCs w:val="24"/>
        </w:rPr>
        <w:t xml:space="preserve">) ir Paslaugų teikėjo Sąžiningo naudojimosi taisyklėmis. Viršijus Paslaugų </w:t>
      </w:r>
      <w:r w:rsidRPr="00401A1B">
        <w:rPr>
          <w:rFonts w:ascii="Aptos" w:hAnsi="Aptos"/>
          <w:szCs w:val="24"/>
        </w:rPr>
        <w:lastRenderedPageBreak/>
        <w:t xml:space="preserve">teikėjo Sąžiningo naudojimosi taisyklėse nustatytas ribas, apmokestinami pagal </w:t>
      </w:r>
      <w:r w:rsidRPr="00401A1B">
        <w:rPr>
          <w:rFonts w:ascii="Aptos" w:hAnsi="Aptos" w:cs="Times New Roman"/>
          <w:szCs w:val="24"/>
        </w:rPr>
        <w:t>tą dieną Paslaugų teikėjo viešai skelbiamus ir galiojančius paslaugų įkainius.</w:t>
      </w:r>
    </w:p>
    <w:p w14:paraId="3EA6E68D" w14:textId="77777777" w:rsidR="00105B10" w:rsidRPr="00807A83" w:rsidRDefault="00105B10" w:rsidP="00105B10">
      <w:pPr>
        <w:pStyle w:val="Sraopastraipa"/>
        <w:numPr>
          <w:ilvl w:val="0"/>
          <w:numId w:val="1"/>
        </w:numPr>
        <w:rPr>
          <w:rFonts w:ascii="Aptos" w:hAnsi="Aptos" w:cs="Times New Roman"/>
          <w:szCs w:val="24"/>
        </w:rPr>
      </w:pPr>
      <w:r w:rsidRPr="00807A83">
        <w:rPr>
          <w:rFonts w:ascii="Aptos" w:hAnsi="Aptos" w:cs="Times New Roman"/>
          <w:szCs w:val="24"/>
        </w:rPr>
        <w:t xml:space="preserve">Tarptautiniai pokalbiai ir tarptinklinis ryšys </w:t>
      </w:r>
      <w:r w:rsidRPr="00807A83">
        <w:rPr>
          <w:rFonts w:ascii="Aptos" w:hAnsi="Aptos"/>
        </w:rPr>
        <w:t>(</w:t>
      </w:r>
      <w:proofErr w:type="spellStart"/>
      <w:r w:rsidRPr="00807A83">
        <w:rPr>
          <w:rFonts w:ascii="Aptos" w:hAnsi="Aptos"/>
        </w:rPr>
        <w:t>roaming'as</w:t>
      </w:r>
      <w:proofErr w:type="spellEnd"/>
      <w:r w:rsidRPr="00807A83">
        <w:rPr>
          <w:rFonts w:ascii="Aptos" w:hAnsi="Aptos"/>
        </w:rPr>
        <w:t xml:space="preserve">) </w:t>
      </w:r>
      <w:r w:rsidRPr="00807A83">
        <w:rPr>
          <w:rFonts w:ascii="Aptos" w:hAnsi="Aptos" w:cs="Times New Roman"/>
          <w:szCs w:val="24"/>
        </w:rPr>
        <w:t xml:space="preserve">ne </w:t>
      </w:r>
      <w:r w:rsidRPr="00807A83">
        <w:rPr>
          <w:rFonts w:ascii="Aptos" w:hAnsi="Aptos"/>
          <w:szCs w:val="24"/>
        </w:rPr>
        <w:t xml:space="preserve">Europos Sąjungos ir ne Europos Ekonominės Erdvės valstybėse apmokestinami pagal </w:t>
      </w:r>
      <w:r w:rsidRPr="00807A83">
        <w:rPr>
          <w:rFonts w:ascii="Aptos" w:hAnsi="Aptos" w:cs="Times New Roman"/>
          <w:szCs w:val="24"/>
        </w:rPr>
        <w:t>tą dieną Paslaugų teikėjo viešai skelbiamus ir galiojančius paslaugų įkainius.</w:t>
      </w:r>
    </w:p>
    <w:p w14:paraId="6E411F54" w14:textId="77777777" w:rsidR="00105B10" w:rsidRDefault="00105B10" w:rsidP="00105B10">
      <w:pPr>
        <w:pStyle w:val="Sraopastraipa"/>
        <w:ind w:left="709"/>
        <w:rPr>
          <w:rFonts w:ascii="Aptos" w:hAnsi="Aptos" w:cs="Times New Roman"/>
          <w:szCs w:val="24"/>
        </w:rPr>
        <w:sectPr w:rsidR="00105B10">
          <w:pgSz w:w="11906" w:h="16838"/>
          <w:pgMar w:top="1440" w:right="1440" w:bottom="1440" w:left="1440" w:header="567" w:footer="567" w:gutter="0"/>
          <w:cols w:space="1296"/>
          <w:docGrid w:linePitch="360"/>
        </w:sectPr>
      </w:pPr>
    </w:p>
    <w:p w14:paraId="23E796C7" w14:textId="77777777" w:rsidR="00105B10" w:rsidRPr="00BC1B37" w:rsidRDefault="00105B10" w:rsidP="00105B10">
      <w:pPr>
        <w:pStyle w:val="Sraopastraipa"/>
        <w:ind w:left="709"/>
        <w:rPr>
          <w:rFonts w:ascii="Aptos" w:hAnsi="Aptos" w:cs="Times New Roman"/>
          <w:szCs w:val="24"/>
        </w:rPr>
      </w:pPr>
    </w:p>
    <w:p w14:paraId="2D6F1C06" w14:textId="77777777" w:rsidR="00105B10" w:rsidRPr="00BC1B37" w:rsidRDefault="00105B10" w:rsidP="00105B10">
      <w:pPr>
        <w:rPr>
          <w:rFonts w:ascii="Aptos" w:eastAsia="Calibri" w:hAnsi="Aptos" w:cs="Arial"/>
          <w:bCs/>
          <w:iCs/>
          <w:szCs w:val="24"/>
        </w:rPr>
      </w:pPr>
      <w:r w:rsidRPr="00BC1B37">
        <w:rPr>
          <w:rFonts w:ascii="Aptos" w:eastAsia="Calibri" w:hAnsi="Aptos" w:cs="Arial"/>
          <w:b/>
          <w:iCs/>
          <w:szCs w:val="24"/>
        </w:rPr>
        <w:fldChar w:fldCharType="begin"/>
      </w:r>
      <w:r w:rsidRPr="00BC1B37">
        <w:rPr>
          <w:rFonts w:ascii="Aptos" w:eastAsia="Calibri" w:hAnsi="Aptos" w:cs="Arial"/>
          <w:b/>
          <w:iCs/>
          <w:szCs w:val="24"/>
        </w:rPr>
        <w:instrText xml:space="preserve"> SEQ lentelė \* ARABIC </w:instrText>
      </w:r>
      <w:r w:rsidRPr="00BC1B37">
        <w:rPr>
          <w:rFonts w:ascii="Aptos" w:eastAsia="Calibri" w:hAnsi="Aptos" w:cs="Arial"/>
          <w:b/>
          <w:iCs/>
          <w:szCs w:val="24"/>
        </w:rPr>
        <w:fldChar w:fldCharType="separate"/>
      </w:r>
      <w:r>
        <w:rPr>
          <w:rFonts w:ascii="Aptos" w:eastAsia="Calibri" w:hAnsi="Aptos" w:cs="Arial"/>
          <w:b/>
          <w:iCs/>
          <w:noProof/>
          <w:szCs w:val="24"/>
        </w:rPr>
        <w:t>3</w:t>
      </w:r>
      <w:r w:rsidRPr="00BC1B37">
        <w:rPr>
          <w:rFonts w:ascii="Aptos" w:eastAsia="Calibri" w:hAnsi="Aptos" w:cs="Arial"/>
          <w:b/>
          <w:iCs/>
          <w:szCs w:val="24"/>
        </w:rPr>
        <w:fldChar w:fldCharType="end"/>
      </w:r>
      <w:r w:rsidRPr="00BC1B37">
        <w:rPr>
          <w:rFonts w:ascii="Aptos" w:eastAsia="Calibri" w:hAnsi="Aptos" w:cs="Arial"/>
          <w:b/>
          <w:iCs/>
          <w:szCs w:val="24"/>
        </w:rPr>
        <w:t xml:space="preserve"> lentelė. </w:t>
      </w:r>
      <w:r w:rsidRPr="00BC1B37">
        <w:rPr>
          <w:rFonts w:ascii="Aptos" w:eastAsia="Calibri" w:hAnsi="Aptos" w:cs="Arial"/>
          <w:bCs/>
          <w:iCs/>
          <w:szCs w:val="24"/>
        </w:rPr>
        <w:t>Pasiūlymo kaina</w:t>
      </w:r>
    </w:p>
    <w:tbl>
      <w:tblPr>
        <w:tblStyle w:val="Lentelstinkleli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2226"/>
        <w:gridCol w:w="3069"/>
        <w:gridCol w:w="1269"/>
        <w:gridCol w:w="1649"/>
        <w:gridCol w:w="1492"/>
        <w:gridCol w:w="993"/>
        <w:gridCol w:w="1769"/>
        <w:gridCol w:w="954"/>
      </w:tblGrid>
      <w:tr w:rsidR="00105B10" w:rsidRPr="00BC1B37" w14:paraId="20DD2E96" w14:textId="77777777" w:rsidTr="00610961">
        <w:trPr>
          <w:tblHeader/>
        </w:trPr>
        <w:tc>
          <w:tcPr>
            <w:tcW w:w="189" w:type="pct"/>
            <w:vAlign w:val="center"/>
          </w:tcPr>
          <w:p w14:paraId="1A92EBDF" w14:textId="77777777" w:rsidR="00105B10" w:rsidRPr="00BC1B37" w:rsidRDefault="00105B10" w:rsidP="00610961">
            <w:pPr>
              <w:rPr>
                <w:rFonts w:ascii="Aptos" w:hAnsi="Aptos"/>
                <w:b/>
                <w:bCs/>
              </w:rPr>
            </w:pPr>
            <w:r w:rsidRPr="00BC1B37">
              <w:rPr>
                <w:rFonts w:ascii="Aptos" w:hAnsi="Aptos"/>
                <w:b/>
                <w:bCs/>
              </w:rPr>
              <w:t>Nr.</w:t>
            </w:r>
          </w:p>
        </w:tc>
        <w:tc>
          <w:tcPr>
            <w:tcW w:w="1898" w:type="pct"/>
            <w:gridSpan w:val="2"/>
            <w:vAlign w:val="center"/>
          </w:tcPr>
          <w:p w14:paraId="116F8DC0" w14:textId="77777777" w:rsidR="00105B10" w:rsidRPr="00BC1B37" w:rsidRDefault="00105B10" w:rsidP="00610961">
            <w:pPr>
              <w:jc w:val="center"/>
              <w:rPr>
                <w:rFonts w:ascii="Aptos" w:hAnsi="Aptos"/>
                <w:b/>
                <w:bCs/>
              </w:rPr>
            </w:pPr>
            <w:r w:rsidRPr="00BC1B37">
              <w:rPr>
                <w:rFonts w:ascii="Aptos" w:hAnsi="Aptos"/>
                <w:b/>
                <w:bCs/>
              </w:rPr>
              <w:t>Pirkimo objektas</w:t>
            </w:r>
          </w:p>
        </w:tc>
        <w:tc>
          <w:tcPr>
            <w:tcW w:w="455" w:type="pct"/>
            <w:vAlign w:val="center"/>
          </w:tcPr>
          <w:p w14:paraId="7F9DBA04" w14:textId="77777777" w:rsidR="00105B10" w:rsidRPr="00BC1B37" w:rsidRDefault="00105B10" w:rsidP="00610961">
            <w:pPr>
              <w:jc w:val="center"/>
              <w:rPr>
                <w:rFonts w:ascii="Aptos" w:hAnsi="Aptos"/>
                <w:b/>
                <w:bCs/>
              </w:rPr>
            </w:pPr>
            <w:r w:rsidRPr="00BC1B37">
              <w:rPr>
                <w:rFonts w:ascii="Aptos" w:hAnsi="Aptos"/>
                <w:b/>
                <w:bCs/>
              </w:rPr>
              <w:t>Mato vienetas</w:t>
            </w:r>
          </w:p>
        </w:tc>
        <w:tc>
          <w:tcPr>
            <w:tcW w:w="591" w:type="pct"/>
            <w:vAlign w:val="center"/>
          </w:tcPr>
          <w:p w14:paraId="60F61F4A" w14:textId="77777777" w:rsidR="00105B10" w:rsidRPr="00BC1B37" w:rsidRDefault="00105B10" w:rsidP="00610961">
            <w:pPr>
              <w:jc w:val="center"/>
              <w:rPr>
                <w:rFonts w:ascii="Aptos" w:hAnsi="Aptos"/>
                <w:b/>
                <w:bCs/>
              </w:rPr>
            </w:pPr>
            <w:r w:rsidRPr="00BC1B37">
              <w:rPr>
                <w:rFonts w:ascii="Aptos" w:hAnsi="Aptos"/>
                <w:b/>
                <w:bCs/>
              </w:rPr>
              <w:t>Lyginamasis koeficientas</w:t>
            </w:r>
            <w:r w:rsidRPr="00BC1B37">
              <w:rPr>
                <w:rStyle w:val="Puslapioinaosnuoroda"/>
                <w:rFonts w:ascii="Aptos" w:hAnsi="Aptos"/>
                <w:b/>
                <w:bCs/>
              </w:rPr>
              <w:footnoteReference w:id="2"/>
            </w:r>
          </w:p>
        </w:tc>
        <w:tc>
          <w:tcPr>
            <w:tcW w:w="535" w:type="pct"/>
            <w:vAlign w:val="center"/>
          </w:tcPr>
          <w:p w14:paraId="5D1B5331" w14:textId="77777777" w:rsidR="00105B10" w:rsidRPr="00BC1B37" w:rsidRDefault="00105B10" w:rsidP="00610961">
            <w:pPr>
              <w:jc w:val="center"/>
              <w:rPr>
                <w:rFonts w:ascii="Aptos" w:hAnsi="Aptos"/>
                <w:b/>
                <w:bCs/>
              </w:rPr>
            </w:pPr>
            <w:r w:rsidRPr="00BC1B37">
              <w:rPr>
                <w:rFonts w:ascii="Aptos" w:hAnsi="Aptos"/>
                <w:b/>
                <w:bCs/>
              </w:rPr>
              <w:t>Galimas maksimalus mato vieneto įkainis, Eur be PVM</w:t>
            </w:r>
          </w:p>
        </w:tc>
        <w:tc>
          <w:tcPr>
            <w:tcW w:w="355" w:type="pct"/>
            <w:vAlign w:val="center"/>
          </w:tcPr>
          <w:p w14:paraId="7C535B8F" w14:textId="77777777" w:rsidR="00105B10" w:rsidRPr="00BC1B37" w:rsidRDefault="00105B10" w:rsidP="00610961">
            <w:pPr>
              <w:jc w:val="center"/>
              <w:rPr>
                <w:rFonts w:ascii="Aptos" w:hAnsi="Aptos"/>
                <w:b/>
                <w:bCs/>
              </w:rPr>
            </w:pPr>
            <w:r w:rsidRPr="00BC1B37">
              <w:rPr>
                <w:rFonts w:ascii="Aptos" w:hAnsi="Aptos"/>
                <w:b/>
                <w:bCs/>
              </w:rPr>
              <w:t>Mato vieneto įkainis, Eur be PVM</w:t>
            </w:r>
          </w:p>
        </w:tc>
        <w:tc>
          <w:tcPr>
            <w:tcW w:w="634" w:type="pct"/>
            <w:vAlign w:val="center"/>
          </w:tcPr>
          <w:p w14:paraId="24EC7835" w14:textId="77777777" w:rsidR="00105B10" w:rsidRPr="00BC1B37" w:rsidRDefault="00105B10" w:rsidP="00610961">
            <w:pPr>
              <w:jc w:val="center"/>
              <w:rPr>
                <w:rFonts w:ascii="Aptos" w:hAnsi="Aptos"/>
                <w:b/>
                <w:bCs/>
              </w:rPr>
            </w:pPr>
            <w:r w:rsidRPr="00BC1B37">
              <w:rPr>
                <w:rFonts w:ascii="Aptos" w:hAnsi="Aptos"/>
                <w:b/>
                <w:bCs/>
              </w:rPr>
              <w:t>Perskaičiuotas įkainis, Eur be PVM</w:t>
            </w:r>
          </w:p>
        </w:tc>
        <w:tc>
          <w:tcPr>
            <w:tcW w:w="342" w:type="pct"/>
            <w:vAlign w:val="center"/>
          </w:tcPr>
          <w:p w14:paraId="1ECC5B74" w14:textId="77777777" w:rsidR="00105B10" w:rsidRPr="00BC1B37" w:rsidRDefault="00105B10" w:rsidP="00610961">
            <w:pPr>
              <w:jc w:val="center"/>
              <w:rPr>
                <w:rFonts w:ascii="Aptos" w:hAnsi="Aptos"/>
                <w:b/>
                <w:bCs/>
              </w:rPr>
            </w:pPr>
            <w:r w:rsidRPr="00BC1B37">
              <w:rPr>
                <w:rFonts w:ascii="Aptos" w:hAnsi="Aptos"/>
                <w:b/>
                <w:bCs/>
              </w:rPr>
              <w:t>PVM tarifas, %</w:t>
            </w:r>
          </w:p>
        </w:tc>
      </w:tr>
      <w:tr w:rsidR="00105B10" w:rsidRPr="00BC1B37" w14:paraId="3CDCF159" w14:textId="77777777" w:rsidTr="00610961">
        <w:trPr>
          <w:tblHeader/>
        </w:trPr>
        <w:tc>
          <w:tcPr>
            <w:tcW w:w="189" w:type="pct"/>
          </w:tcPr>
          <w:p w14:paraId="6050E1DE" w14:textId="77777777" w:rsidR="00105B10" w:rsidRPr="00BC1B37" w:rsidRDefault="00105B10" w:rsidP="00610961">
            <w:pPr>
              <w:jc w:val="center"/>
              <w:rPr>
                <w:rFonts w:ascii="Aptos" w:hAnsi="Aptos"/>
                <w:b/>
                <w:bCs/>
              </w:rPr>
            </w:pPr>
            <w:r w:rsidRPr="00BC1B37">
              <w:rPr>
                <w:rFonts w:ascii="Aptos" w:hAnsi="Aptos"/>
                <w:b/>
                <w:bCs/>
              </w:rPr>
              <w:t>1</w:t>
            </w:r>
          </w:p>
        </w:tc>
        <w:tc>
          <w:tcPr>
            <w:tcW w:w="798" w:type="pct"/>
          </w:tcPr>
          <w:p w14:paraId="19F5F664" w14:textId="77777777" w:rsidR="00105B10" w:rsidRPr="00BC1B37" w:rsidRDefault="00105B10" w:rsidP="00610961">
            <w:pPr>
              <w:jc w:val="center"/>
              <w:rPr>
                <w:rFonts w:ascii="Aptos" w:hAnsi="Aptos"/>
                <w:b/>
                <w:bCs/>
              </w:rPr>
            </w:pPr>
            <w:r w:rsidRPr="00BC1B37">
              <w:rPr>
                <w:rFonts w:ascii="Aptos" w:hAnsi="Aptos"/>
                <w:b/>
                <w:bCs/>
              </w:rPr>
              <w:t>2</w:t>
            </w:r>
          </w:p>
        </w:tc>
        <w:tc>
          <w:tcPr>
            <w:tcW w:w="1100" w:type="pct"/>
          </w:tcPr>
          <w:p w14:paraId="0BFA0DA8" w14:textId="77777777" w:rsidR="00105B10" w:rsidRPr="00BC1B37" w:rsidRDefault="00105B10" w:rsidP="00610961">
            <w:pPr>
              <w:jc w:val="center"/>
              <w:rPr>
                <w:rFonts w:ascii="Aptos" w:hAnsi="Aptos"/>
                <w:b/>
                <w:bCs/>
              </w:rPr>
            </w:pPr>
            <w:r w:rsidRPr="00BC1B37">
              <w:rPr>
                <w:rFonts w:ascii="Aptos" w:hAnsi="Aptos"/>
                <w:b/>
                <w:bCs/>
              </w:rPr>
              <w:t>3</w:t>
            </w:r>
          </w:p>
        </w:tc>
        <w:tc>
          <w:tcPr>
            <w:tcW w:w="455" w:type="pct"/>
          </w:tcPr>
          <w:p w14:paraId="12EAA9C5" w14:textId="77777777" w:rsidR="00105B10" w:rsidRPr="00BC1B37" w:rsidRDefault="00105B10" w:rsidP="00610961">
            <w:pPr>
              <w:jc w:val="center"/>
              <w:rPr>
                <w:rFonts w:ascii="Aptos" w:hAnsi="Aptos"/>
                <w:b/>
                <w:bCs/>
              </w:rPr>
            </w:pPr>
            <w:r w:rsidRPr="00BC1B37">
              <w:rPr>
                <w:rFonts w:ascii="Aptos" w:hAnsi="Aptos"/>
                <w:b/>
                <w:bCs/>
              </w:rPr>
              <w:t>4</w:t>
            </w:r>
          </w:p>
        </w:tc>
        <w:tc>
          <w:tcPr>
            <w:tcW w:w="591" w:type="pct"/>
          </w:tcPr>
          <w:p w14:paraId="4F7FA5D6" w14:textId="77777777" w:rsidR="00105B10" w:rsidRPr="00BC1B37" w:rsidRDefault="00105B10" w:rsidP="00610961">
            <w:pPr>
              <w:jc w:val="center"/>
              <w:rPr>
                <w:rFonts w:ascii="Aptos" w:hAnsi="Aptos"/>
                <w:b/>
                <w:bCs/>
              </w:rPr>
            </w:pPr>
            <w:r w:rsidRPr="00BC1B37">
              <w:rPr>
                <w:rFonts w:ascii="Aptos" w:hAnsi="Aptos"/>
                <w:b/>
                <w:bCs/>
              </w:rPr>
              <w:t>5</w:t>
            </w:r>
          </w:p>
        </w:tc>
        <w:tc>
          <w:tcPr>
            <w:tcW w:w="535" w:type="pct"/>
          </w:tcPr>
          <w:p w14:paraId="6F09D037" w14:textId="77777777" w:rsidR="00105B10" w:rsidRPr="00BC1B37" w:rsidRDefault="00105B10" w:rsidP="00610961">
            <w:pPr>
              <w:jc w:val="center"/>
              <w:rPr>
                <w:rFonts w:ascii="Aptos" w:hAnsi="Aptos"/>
                <w:b/>
                <w:bCs/>
              </w:rPr>
            </w:pPr>
            <w:r w:rsidRPr="00BC1B37">
              <w:rPr>
                <w:rFonts w:ascii="Aptos" w:hAnsi="Aptos"/>
                <w:b/>
                <w:bCs/>
              </w:rPr>
              <w:t>6</w:t>
            </w:r>
          </w:p>
        </w:tc>
        <w:tc>
          <w:tcPr>
            <w:tcW w:w="355" w:type="pct"/>
          </w:tcPr>
          <w:p w14:paraId="6685C723" w14:textId="77777777" w:rsidR="00105B10" w:rsidRPr="00BC1B37" w:rsidRDefault="00105B10" w:rsidP="00610961">
            <w:pPr>
              <w:jc w:val="center"/>
              <w:rPr>
                <w:rFonts w:ascii="Aptos" w:hAnsi="Aptos"/>
                <w:b/>
                <w:bCs/>
              </w:rPr>
            </w:pPr>
            <w:r w:rsidRPr="00BC1B37">
              <w:rPr>
                <w:rFonts w:ascii="Aptos" w:hAnsi="Aptos"/>
                <w:b/>
                <w:bCs/>
              </w:rPr>
              <w:t>7</w:t>
            </w:r>
          </w:p>
        </w:tc>
        <w:tc>
          <w:tcPr>
            <w:tcW w:w="634" w:type="pct"/>
          </w:tcPr>
          <w:p w14:paraId="35357EFB" w14:textId="77777777" w:rsidR="00105B10" w:rsidRPr="00BC1B37" w:rsidRDefault="00105B10" w:rsidP="00610961">
            <w:pPr>
              <w:jc w:val="center"/>
              <w:rPr>
                <w:rFonts w:ascii="Aptos" w:hAnsi="Aptos"/>
                <w:b/>
                <w:bCs/>
              </w:rPr>
            </w:pPr>
            <w:r w:rsidRPr="00BC1B37">
              <w:rPr>
                <w:rFonts w:ascii="Aptos" w:hAnsi="Aptos"/>
                <w:b/>
                <w:bCs/>
              </w:rPr>
              <w:t>8=5x7</w:t>
            </w:r>
          </w:p>
        </w:tc>
        <w:tc>
          <w:tcPr>
            <w:tcW w:w="342" w:type="pct"/>
          </w:tcPr>
          <w:p w14:paraId="605520EC" w14:textId="77777777" w:rsidR="00105B10" w:rsidRPr="00BC1B37" w:rsidRDefault="00105B10" w:rsidP="00610961">
            <w:pPr>
              <w:jc w:val="center"/>
              <w:rPr>
                <w:rFonts w:ascii="Aptos" w:hAnsi="Aptos"/>
                <w:b/>
                <w:bCs/>
              </w:rPr>
            </w:pPr>
            <w:r w:rsidRPr="00BC1B37">
              <w:rPr>
                <w:rFonts w:ascii="Aptos" w:hAnsi="Aptos"/>
                <w:b/>
                <w:bCs/>
              </w:rPr>
              <w:t>9</w:t>
            </w:r>
          </w:p>
        </w:tc>
      </w:tr>
      <w:tr w:rsidR="00105B10" w:rsidRPr="00BC1B37" w14:paraId="4F0248BC" w14:textId="77777777" w:rsidTr="00610961">
        <w:tc>
          <w:tcPr>
            <w:tcW w:w="189" w:type="pct"/>
            <w:vAlign w:val="center"/>
          </w:tcPr>
          <w:p w14:paraId="0323C797" w14:textId="77777777" w:rsidR="00105B10" w:rsidRPr="00BC1B37" w:rsidRDefault="00105B10" w:rsidP="00105B10">
            <w:pPr>
              <w:pStyle w:val="Sraopastraipa"/>
              <w:numPr>
                <w:ilvl w:val="0"/>
                <w:numId w:val="3"/>
              </w:numPr>
              <w:jc w:val="center"/>
              <w:rPr>
                <w:rFonts w:ascii="Aptos" w:hAnsi="Aptos"/>
              </w:rPr>
            </w:pPr>
          </w:p>
        </w:tc>
        <w:tc>
          <w:tcPr>
            <w:tcW w:w="798" w:type="pct"/>
            <w:vAlign w:val="center"/>
          </w:tcPr>
          <w:p w14:paraId="0EACA0AF" w14:textId="77777777" w:rsidR="00105B10" w:rsidRPr="00BC1B37" w:rsidRDefault="00105B10" w:rsidP="00610961">
            <w:pPr>
              <w:jc w:val="left"/>
              <w:rPr>
                <w:rFonts w:ascii="Aptos" w:hAnsi="Aptos"/>
              </w:rPr>
            </w:pPr>
            <w:r w:rsidRPr="00BC1B37">
              <w:rPr>
                <w:rFonts w:ascii="Aptos" w:hAnsi="Aptos"/>
              </w:rPr>
              <w:t>Virtualios telefono stotelės paslauga</w:t>
            </w:r>
          </w:p>
        </w:tc>
        <w:tc>
          <w:tcPr>
            <w:tcW w:w="1100" w:type="pct"/>
            <w:vAlign w:val="center"/>
          </w:tcPr>
          <w:p w14:paraId="0F9D0F3A" w14:textId="77777777" w:rsidR="00105B10" w:rsidRPr="00BC1B37" w:rsidRDefault="00105B10" w:rsidP="00610961">
            <w:pPr>
              <w:jc w:val="left"/>
              <w:rPr>
                <w:rFonts w:ascii="Aptos" w:hAnsi="Aptos"/>
              </w:rPr>
            </w:pPr>
            <w:r w:rsidRPr="00BC1B37">
              <w:rPr>
                <w:rFonts w:ascii="Aptos" w:hAnsi="Aptos"/>
              </w:rPr>
              <w:t>Vieno abonento įtraukto į virtualią telefonų stotelę aptarnavimo paslauga</w:t>
            </w:r>
          </w:p>
        </w:tc>
        <w:tc>
          <w:tcPr>
            <w:tcW w:w="455" w:type="pct"/>
            <w:vAlign w:val="center"/>
          </w:tcPr>
          <w:p w14:paraId="175DF0A6" w14:textId="77777777" w:rsidR="00105B10" w:rsidRPr="00BC1B37" w:rsidRDefault="00105B10" w:rsidP="00610961">
            <w:pPr>
              <w:jc w:val="center"/>
              <w:rPr>
                <w:rFonts w:ascii="Aptos" w:hAnsi="Aptos"/>
              </w:rPr>
            </w:pPr>
            <w:r w:rsidRPr="00BC1B37">
              <w:rPr>
                <w:rFonts w:ascii="Aptos" w:hAnsi="Aptos"/>
              </w:rPr>
              <w:t>abonentas per mėnesį</w:t>
            </w:r>
          </w:p>
        </w:tc>
        <w:tc>
          <w:tcPr>
            <w:tcW w:w="591" w:type="pct"/>
            <w:vAlign w:val="center"/>
          </w:tcPr>
          <w:p w14:paraId="09E5DC36" w14:textId="77777777" w:rsidR="00105B10" w:rsidRPr="00BC1B37" w:rsidRDefault="00105B10" w:rsidP="00610961">
            <w:pPr>
              <w:jc w:val="center"/>
              <w:rPr>
                <w:rFonts w:ascii="Aptos" w:hAnsi="Aptos"/>
              </w:rPr>
            </w:pPr>
            <w:r w:rsidRPr="00BC1B37">
              <w:rPr>
                <w:rFonts w:ascii="Aptos" w:hAnsi="Aptos"/>
              </w:rPr>
              <w:t>2000</w:t>
            </w:r>
          </w:p>
        </w:tc>
        <w:tc>
          <w:tcPr>
            <w:tcW w:w="535" w:type="pct"/>
            <w:vAlign w:val="center"/>
          </w:tcPr>
          <w:p w14:paraId="523DB72B" w14:textId="77777777" w:rsidR="00105B10" w:rsidRPr="00BC1B37" w:rsidRDefault="00105B10" w:rsidP="00610961">
            <w:pPr>
              <w:jc w:val="center"/>
              <w:rPr>
                <w:rFonts w:ascii="Aptos" w:hAnsi="Aptos"/>
              </w:rPr>
            </w:pPr>
            <w:r w:rsidRPr="00BC1B37">
              <w:rPr>
                <w:rFonts w:ascii="Aptos" w:hAnsi="Aptos"/>
              </w:rPr>
              <w:t>5,0000</w:t>
            </w:r>
          </w:p>
        </w:tc>
        <w:tc>
          <w:tcPr>
            <w:tcW w:w="355" w:type="pct"/>
            <w:vAlign w:val="center"/>
          </w:tcPr>
          <w:p w14:paraId="24A8C543" w14:textId="77777777" w:rsidR="00105B10" w:rsidRPr="00BC1B37" w:rsidRDefault="00105B10" w:rsidP="00610961">
            <w:pPr>
              <w:jc w:val="center"/>
              <w:rPr>
                <w:rFonts w:ascii="Aptos" w:hAnsi="Aptos"/>
              </w:rPr>
            </w:pPr>
          </w:p>
        </w:tc>
        <w:tc>
          <w:tcPr>
            <w:tcW w:w="634" w:type="pct"/>
            <w:vAlign w:val="center"/>
          </w:tcPr>
          <w:p w14:paraId="79A4709B" w14:textId="77777777" w:rsidR="00105B10" w:rsidRPr="00BC1B37" w:rsidRDefault="00105B10" w:rsidP="00610961">
            <w:pPr>
              <w:jc w:val="center"/>
              <w:rPr>
                <w:rFonts w:ascii="Aptos" w:hAnsi="Aptos"/>
              </w:rPr>
            </w:pPr>
          </w:p>
        </w:tc>
        <w:tc>
          <w:tcPr>
            <w:tcW w:w="342" w:type="pct"/>
            <w:vAlign w:val="center"/>
          </w:tcPr>
          <w:p w14:paraId="3480DF46" w14:textId="77777777" w:rsidR="00105B10" w:rsidRPr="00BC1B37" w:rsidRDefault="00105B10" w:rsidP="00610961">
            <w:pPr>
              <w:jc w:val="center"/>
              <w:rPr>
                <w:rFonts w:ascii="Aptos" w:hAnsi="Aptos"/>
              </w:rPr>
            </w:pPr>
            <w:r w:rsidRPr="00BC1B37">
              <w:rPr>
                <w:rFonts w:ascii="Aptos" w:hAnsi="Aptos"/>
              </w:rPr>
              <w:t>21,0</w:t>
            </w:r>
          </w:p>
        </w:tc>
      </w:tr>
      <w:tr w:rsidR="00105B10" w:rsidRPr="00BC1B37" w14:paraId="5C707162" w14:textId="77777777" w:rsidTr="00610961">
        <w:tc>
          <w:tcPr>
            <w:tcW w:w="189" w:type="pct"/>
            <w:vAlign w:val="center"/>
          </w:tcPr>
          <w:p w14:paraId="25AD3901" w14:textId="77777777" w:rsidR="00105B10" w:rsidRPr="00BC1B37" w:rsidRDefault="00105B10" w:rsidP="00105B10">
            <w:pPr>
              <w:pStyle w:val="Sraopastraipa"/>
              <w:numPr>
                <w:ilvl w:val="0"/>
                <w:numId w:val="3"/>
              </w:numPr>
              <w:jc w:val="center"/>
              <w:rPr>
                <w:rFonts w:ascii="Aptos" w:hAnsi="Aptos"/>
              </w:rPr>
            </w:pPr>
          </w:p>
        </w:tc>
        <w:tc>
          <w:tcPr>
            <w:tcW w:w="798" w:type="pct"/>
            <w:vAlign w:val="center"/>
          </w:tcPr>
          <w:p w14:paraId="017093A3" w14:textId="77777777" w:rsidR="00105B10" w:rsidRPr="00BC1B37" w:rsidRDefault="00105B10" w:rsidP="00610961">
            <w:pPr>
              <w:jc w:val="left"/>
              <w:rPr>
                <w:rFonts w:ascii="Aptos" w:hAnsi="Aptos"/>
              </w:rPr>
            </w:pPr>
            <w:r w:rsidRPr="00BC1B37">
              <w:rPr>
                <w:rFonts w:ascii="Aptos" w:hAnsi="Aptos"/>
              </w:rPr>
              <w:t>Minimalus prakalbamas mokestis</w:t>
            </w:r>
          </w:p>
        </w:tc>
        <w:tc>
          <w:tcPr>
            <w:tcW w:w="1100" w:type="pct"/>
            <w:vAlign w:val="center"/>
          </w:tcPr>
          <w:p w14:paraId="56DC9780" w14:textId="77777777" w:rsidR="00105B10" w:rsidRPr="00BC1B37" w:rsidRDefault="00105B10" w:rsidP="00610961">
            <w:pPr>
              <w:jc w:val="left"/>
              <w:rPr>
                <w:rFonts w:ascii="Aptos" w:hAnsi="Aptos"/>
              </w:rPr>
            </w:pPr>
            <w:r w:rsidRPr="00BC1B37">
              <w:rPr>
                <w:rFonts w:ascii="Aptos" w:hAnsi="Aptos"/>
              </w:rPr>
              <w:t>Viešojo judriojo ryšio abonemento minimalus prakalbamas mokestis</w:t>
            </w:r>
          </w:p>
        </w:tc>
        <w:tc>
          <w:tcPr>
            <w:tcW w:w="455" w:type="pct"/>
            <w:vAlign w:val="center"/>
          </w:tcPr>
          <w:p w14:paraId="67ACE7AF" w14:textId="77777777" w:rsidR="00105B10" w:rsidRPr="00BC1B37" w:rsidRDefault="00105B10" w:rsidP="00610961">
            <w:pPr>
              <w:jc w:val="center"/>
              <w:rPr>
                <w:rFonts w:ascii="Aptos" w:hAnsi="Aptos"/>
              </w:rPr>
            </w:pPr>
            <w:r w:rsidRPr="00BC1B37">
              <w:rPr>
                <w:rFonts w:ascii="Aptos" w:hAnsi="Aptos"/>
              </w:rPr>
              <w:t>abonentas per mėnesį</w:t>
            </w:r>
          </w:p>
        </w:tc>
        <w:tc>
          <w:tcPr>
            <w:tcW w:w="591" w:type="pct"/>
            <w:vAlign w:val="center"/>
          </w:tcPr>
          <w:p w14:paraId="6F41163D" w14:textId="77777777" w:rsidR="00105B10" w:rsidRPr="00BC1B37" w:rsidRDefault="00105B10" w:rsidP="00610961">
            <w:pPr>
              <w:jc w:val="center"/>
              <w:rPr>
                <w:rFonts w:ascii="Aptos" w:hAnsi="Aptos"/>
              </w:rPr>
            </w:pPr>
            <w:r w:rsidRPr="00BC1B37">
              <w:rPr>
                <w:rFonts w:ascii="Aptos" w:hAnsi="Aptos"/>
              </w:rPr>
              <w:t>3000</w:t>
            </w:r>
          </w:p>
        </w:tc>
        <w:tc>
          <w:tcPr>
            <w:tcW w:w="535" w:type="pct"/>
            <w:vAlign w:val="center"/>
          </w:tcPr>
          <w:p w14:paraId="2EFF110E" w14:textId="77777777" w:rsidR="00105B10" w:rsidRPr="00BC1B37" w:rsidRDefault="00105B10" w:rsidP="00610961">
            <w:pPr>
              <w:jc w:val="center"/>
              <w:rPr>
                <w:rFonts w:ascii="Aptos" w:hAnsi="Aptos"/>
              </w:rPr>
            </w:pPr>
            <w:r w:rsidRPr="00BC1B37">
              <w:rPr>
                <w:rFonts w:ascii="Aptos" w:hAnsi="Aptos"/>
              </w:rPr>
              <w:t>2,0000</w:t>
            </w:r>
          </w:p>
        </w:tc>
        <w:tc>
          <w:tcPr>
            <w:tcW w:w="355" w:type="pct"/>
            <w:vAlign w:val="center"/>
          </w:tcPr>
          <w:p w14:paraId="0A3E1956" w14:textId="77777777" w:rsidR="00105B10" w:rsidRPr="00BC1B37" w:rsidRDefault="00105B10" w:rsidP="00610961">
            <w:pPr>
              <w:jc w:val="center"/>
              <w:rPr>
                <w:rFonts w:ascii="Aptos" w:hAnsi="Aptos"/>
              </w:rPr>
            </w:pPr>
          </w:p>
        </w:tc>
        <w:tc>
          <w:tcPr>
            <w:tcW w:w="634" w:type="pct"/>
            <w:vAlign w:val="center"/>
          </w:tcPr>
          <w:p w14:paraId="0B5EA427" w14:textId="77777777" w:rsidR="00105B10" w:rsidRPr="00BC1B37" w:rsidRDefault="00105B10" w:rsidP="00610961">
            <w:pPr>
              <w:jc w:val="center"/>
              <w:rPr>
                <w:rFonts w:ascii="Aptos" w:hAnsi="Aptos"/>
              </w:rPr>
            </w:pPr>
          </w:p>
        </w:tc>
        <w:tc>
          <w:tcPr>
            <w:tcW w:w="342" w:type="pct"/>
            <w:vAlign w:val="center"/>
          </w:tcPr>
          <w:p w14:paraId="48CC3094" w14:textId="77777777" w:rsidR="00105B10" w:rsidRPr="00BC1B37" w:rsidRDefault="00105B10" w:rsidP="00610961">
            <w:pPr>
              <w:jc w:val="center"/>
              <w:rPr>
                <w:rFonts w:ascii="Aptos" w:hAnsi="Aptos"/>
              </w:rPr>
            </w:pPr>
            <w:r w:rsidRPr="00BC1B37">
              <w:rPr>
                <w:rFonts w:ascii="Aptos" w:hAnsi="Aptos"/>
              </w:rPr>
              <w:t>21,0</w:t>
            </w:r>
          </w:p>
        </w:tc>
      </w:tr>
      <w:tr w:rsidR="00105B10" w:rsidRPr="00BC1B37" w14:paraId="1EC63F01" w14:textId="77777777" w:rsidTr="00610961">
        <w:tc>
          <w:tcPr>
            <w:tcW w:w="189" w:type="pct"/>
            <w:vAlign w:val="center"/>
          </w:tcPr>
          <w:p w14:paraId="60BAB1B6" w14:textId="77777777" w:rsidR="00105B10" w:rsidRPr="00BC1B37" w:rsidRDefault="00105B10" w:rsidP="00105B10">
            <w:pPr>
              <w:pStyle w:val="Sraopastraipa"/>
              <w:numPr>
                <w:ilvl w:val="0"/>
                <w:numId w:val="3"/>
              </w:numPr>
              <w:jc w:val="center"/>
              <w:rPr>
                <w:rFonts w:ascii="Aptos" w:hAnsi="Aptos"/>
              </w:rPr>
            </w:pPr>
          </w:p>
        </w:tc>
        <w:tc>
          <w:tcPr>
            <w:tcW w:w="798" w:type="pct"/>
            <w:vAlign w:val="center"/>
          </w:tcPr>
          <w:p w14:paraId="75408FA5" w14:textId="77777777" w:rsidR="00105B10" w:rsidRPr="00BC1B37" w:rsidRDefault="00105B10" w:rsidP="00610961">
            <w:pPr>
              <w:jc w:val="left"/>
              <w:rPr>
                <w:rFonts w:ascii="Aptos" w:hAnsi="Aptos"/>
              </w:rPr>
            </w:pPr>
            <w:r w:rsidRPr="00BC1B37">
              <w:rPr>
                <w:rFonts w:ascii="Aptos" w:hAnsi="Aptos"/>
              </w:rPr>
              <w:t>Mokestis</w:t>
            </w:r>
          </w:p>
        </w:tc>
        <w:tc>
          <w:tcPr>
            <w:tcW w:w="1100" w:type="pct"/>
            <w:vAlign w:val="center"/>
          </w:tcPr>
          <w:p w14:paraId="48D3A8CC" w14:textId="77777777" w:rsidR="00105B10" w:rsidRPr="00BC1B37" w:rsidRDefault="00105B10" w:rsidP="00610961">
            <w:pPr>
              <w:jc w:val="left"/>
              <w:rPr>
                <w:rFonts w:ascii="Aptos" w:hAnsi="Aptos"/>
              </w:rPr>
            </w:pPr>
            <w:r w:rsidRPr="00BC1B37">
              <w:rPr>
                <w:rFonts w:ascii="Aptos" w:hAnsi="Aptos"/>
              </w:rPr>
              <w:t>Viešojo fiksuotojo ryšio abonemento mokestis</w:t>
            </w:r>
          </w:p>
        </w:tc>
        <w:tc>
          <w:tcPr>
            <w:tcW w:w="455" w:type="pct"/>
            <w:vAlign w:val="center"/>
          </w:tcPr>
          <w:p w14:paraId="7AFF7DB0" w14:textId="77777777" w:rsidR="00105B10" w:rsidRPr="00BC1B37" w:rsidRDefault="00105B10" w:rsidP="00610961">
            <w:pPr>
              <w:jc w:val="center"/>
              <w:rPr>
                <w:rFonts w:ascii="Aptos" w:hAnsi="Aptos"/>
              </w:rPr>
            </w:pPr>
            <w:r w:rsidRPr="00BC1B37">
              <w:rPr>
                <w:rFonts w:ascii="Aptos" w:hAnsi="Aptos"/>
              </w:rPr>
              <w:t>abonentas per mėnesį</w:t>
            </w:r>
          </w:p>
        </w:tc>
        <w:tc>
          <w:tcPr>
            <w:tcW w:w="591" w:type="pct"/>
            <w:vAlign w:val="center"/>
          </w:tcPr>
          <w:p w14:paraId="3685B223" w14:textId="77777777" w:rsidR="00105B10" w:rsidRPr="00BC1B37" w:rsidRDefault="00105B10" w:rsidP="00610961">
            <w:pPr>
              <w:jc w:val="center"/>
              <w:rPr>
                <w:rFonts w:ascii="Aptos" w:hAnsi="Aptos"/>
              </w:rPr>
            </w:pPr>
            <w:r w:rsidRPr="00BC1B37">
              <w:rPr>
                <w:rFonts w:ascii="Aptos" w:hAnsi="Aptos"/>
              </w:rPr>
              <w:t>1000</w:t>
            </w:r>
          </w:p>
        </w:tc>
        <w:tc>
          <w:tcPr>
            <w:tcW w:w="535" w:type="pct"/>
            <w:vAlign w:val="center"/>
          </w:tcPr>
          <w:p w14:paraId="420FC374" w14:textId="77777777" w:rsidR="00105B10" w:rsidRPr="00BC1B37" w:rsidRDefault="00105B10" w:rsidP="00610961">
            <w:pPr>
              <w:jc w:val="center"/>
              <w:rPr>
                <w:rFonts w:ascii="Aptos" w:hAnsi="Aptos"/>
              </w:rPr>
            </w:pPr>
            <w:r w:rsidRPr="00BC1B37">
              <w:rPr>
                <w:rFonts w:ascii="Aptos" w:hAnsi="Aptos"/>
              </w:rPr>
              <w:t>5,0000</w:t>
            </w:r>
          </w:p>
        </w:tc>
        <w:tc>
          <w:tcPr>
            <w:tcW w:w="355" w:type="pct"/>
            <w:vAlign w:val="center"/>
          </w:tcPr>
          <w:p w14:paraId="71CA11B4" w14:textId="77777777" w:rsidR="00105B10" w:rsidRPr="00BC1B37" w:rsidRDefault="00105B10" w:rsidP="00610961">
            <w:pPr>
              <w:jc w:val="center"/>
              <w:rPr>
                <w:rFonts w:ascii="Aptos" w:hAnsi="Aptos"/>
              </w:rPr>
            </w:pPr>
          </w:p>
        </w:tc>
        <w:tc>
          <w:tcPr>
            <w:tcW w:w="634" w:type="pct"/>
            <w:vAlign w:val="center"/>
          </w:tcPr>
          <w:p w14:paraId="70161B0D" w14:textId="77777777" w:rsidR="00105B10" w:rsidRPr="00BC1B37" w:rsidRDefault="00105B10" w:rsidP="00610961">
            <w:pPr>
              <w:jc w:val="center"/>
              <w:rPr>
                <w:rFonts w:ascii="Aptos" w:hAnsi="Aptos"/>
              </w:rPr>
            </w:pPr>
          </w:p>
        </w:tc>
        <w:tc>
          <w:tcPr>
            <w:tcW w:w="342" w:type="pct"/>
            <w:vAlign w:val="center"/>
          </w:tcPr>
          <w:p w14:paraId="1B18BAE2" w14:textId="77777777" w:rsidR="00105B10" w:rsidRPr="00BC1B37" w:rsidRDefault="00105B10" w:rsidP="00610961">
            <w:pPr>
              <w:jc w:val="center"/>
              <w:rPr>
                <w:rFonts w:ascii="Aptos" w:hAnsi="Aptos"/>
              </w:rPr>
            </w:pPr>
            <w:r w:rsidRPr="00BC1B37">
              <w:rPr>
                <w:rFonts w:ascii="Aptos" w:hAnsi="Aptos"/>
              </w:rPr>
              <w:t>21,0</w:t>
            </w:r>
          </w:p>
        </w:tc>
      </w:tr>
      <w:tr w:rsidR="00105B10" w:rsidRPr="00BC1B37" w14:paraId="0EDBCF95" w14:textId="77777777" w:rsidTr="00610961">
        <w:tc>
          <w:tcPr>
            <w:tcW w:w="4024" w:type="pct"/>
            <w:gridSpan w:val="7"/>
          </w:tcPr>
          <w:p w14:paraId="366BC71B" w14:textId="77777777" w:rsidR="00105B10" w:rsidRPr="00BC1B37" w:rsidRDefault="00105B10" w:rsidP="00610961">
            <w:pPr>
              <w:jc w:val="right"/>
              <w:rPr>
                <w:rFonts w:ascii="Aptos" w:hAnsi="Aptos"/>
              </w:rPr>
            </w:pPr>
            <w:r w:rsidRPr="00BC1B37">
              <w:rPr>
                <w:rFonts w:ascii="Aptos" w:hAnsi="Aptos"/>
              </w:rPr>
              <w:t>Pasiūlymo palyginamoji kaina iš viso, Eur be PVM</w:t>
            </w:r>
          </w:p>
        </w:tc>
        <w:tc>
          <w:tcPr>
            <w:tcW w:w="634" w:type="pct"/>
          </w:tcPr>
          <w:p w14:paraId="5FC2240F" w14:textId="77777777" w:rsidR="00105B10" w:rsidRPr="00BC1B37" w:rsidRDefault="00105B10" w:rsidP="00610961">
            <w:pPr>
              <w:rPr>
                <w:rFonts w:ascii="Aptos" w:hAnsi="Aptos"/>
              </w:rPr>
            </w:pPr>
          </w:p>
        </w:tc>
        <w:tc>
          <w:tcPr>
            <w:tcW w:w="342" w:type="pct"/>
          </w:tcPr>
          <w:p w14:paraId="35EE37B4" w14:textId="77777777" w:rsidR="00105B10" w:rsidRPr="00BC1B37" w:rsidRDefault="00105B10" w:rsidP="00610961">
            <w:pPr>
              <w:rPr>
                <w:rFonts w:ascii="Aptos" w:hAnsi="Aptos"/>
              </w:rPr>
            </w:pPr>
          </w:p>
        </w:tc>
      </w:tr>
      <w:tr w:rsidR="00105B10" w:rsidRPr="00BC1B37" w14:paraId="15F08E83" w14:textId="77777777" w:rsidTr="00610961">
        <w:tc>
          <w:tcPr>
            <w:tcW w:w="4024" w:type="pct"/>
            <w:gridSpan w:val="7"/>
          </w:tcPr>
          <w:p w14:paraId="21B73CC8" w14:textId="77777777" w:rsidR="00105B10" w:rsidRPr="00BC1B37" w:rsidRDefault="00105B10" w:rsidP="00610961">
            <w:pPr>
              <w:jc w:val="right"/>
              <w:rPr>
                <w:rFonts w:ascii="Aptos" w:hAnsi="Aptos"/>
              </w:rPr>
            </w:pPr>
            <w:r w:rsidRPr="00BC1B37">
              <w:rPr>
                <w:rFonts w:ascii="Aptos" w:hAnsi="Aptos"/>
              </w:rPr>
              <w:t>PVM, Eur</w:t>
            </w:r>
          </w:p>
        </w:tc>
        <w:tc>
          <w:tcPr>
            <w:tcW w:w="634" w:type="pct"/>
          </w:tcPr>
          <w:p w14:paraId="0DA37A3C" w14:textId="77777777" w:rsidR="00105B10" w:rsidRPr="00BC1B37" w:rsidRDefault="00105B10" w:rsidP="00610961">
            <w:pPr>
              <w:rPr>
                <w:rFonts w:ascii="Aptos" w:hAnsi="Aptos"/>
              </w:rPr>
            </w:pPr>
          </w:p>
        </w:tc>
        <w:tc>
          <w:tcPr>
            <w:tcW w:w="342" w:type="pct"/>
          </w:tcPr>
          <w:p w14:paraId="5394FE67" w14:textId="77777777" w:rsidR="00105B10" w:rsidRPr="00BC1B37" w:rsidRDefault="00105B10" w:rsidP="00610961">
            <w:pPr>
              <w:rPr>
                <w:rFonts w:ascii="Aptos" w:hAnsi="Aptos"/>
              </w:rPr>
            </w:pPr>
          </w:p>
        </w:tc>
      </w:tr>
      <w:tr w:rsidR="00105B10" w:rsidRPr="00BC1B37" w14:paraId="4A5467E4" w14:textId="77777777" w:rsidTr="00610961">
        <w:tc>
          <w:tcPr>
            <w:tcW w:w="4024" w:type="pct"/>
            <w:gridSpan w:val="7"/>
          </w:tcPr>
          <w:p w14:paraId="4897E9F1" w14:textId="77777777" w:rsidR="00105B10" w:rsidRPr="00BC1B37" w:rsidRDefault="00105B10" w:rsidP="00610961">
            <w:pPr>
              <w:jc w:val="right"/>
              <w:rPr>
                <w:rFonts w:ascii="Aptos" w:hAnsi="Aptos"/>
              </w:rPr>
            </w:pPr>
            <w:r w:rsidRPr="00BC1B37">
              <w:rPr>
                <w:rFonts w:ascii="Aptos" w:hAnsi="Aptos"/>
              </w:rPr>
              <w:t>Pasiūlymo palyginamoji kaina iš viso, Eur su PVM</w:t>
            </w:r>
          </w:p>
        </w:tc>
        <w:tc>
          <w:tcPr>
            <w:tcW w:w="634" w:type="pct"/>
          </w:tcPr>
          <w:p w14:paraId="06F69ECB" w14:textId="77777777" w:rsidR="00105B10" w:rsidRPr="00BC1B37" w:rsidRDefault="00105B10" w:rsidP="00610961">
            <w:pPr>
              <w:rPr>
                <w:rFonts w:ascii="Aptos" w:hAnsi="Aptos"/>
              </w:rPr>
            </w:pPr>
          </w:p>
        </w:tc>
        <w:tc>
          <w:tcPr>
            <w:tcW w:w="342" w:type="pct"/>
          </w:tcPr>
          <w:p w14:paraId="3E3675DD" w14:textId="77777777" w:rsidR="00105B10" w:rsidRPr="00BC1B37" w:rsidRDefault="00105B10" w:rsidP="00610961">
            <w:pPr>
              <w:rPr>
                <w:rFonts w:ascii="Aptos" w:hAnsi="Aptos"/>
              </w:rPr>
            </w:pPr>
          </w:p>
        </w:tc>
      </w:tr>
    </w:tbl>
    <w:p w14:paraId="2322700B" w14:textId="77777777" w:rsidR="00105B10" w:rsidRPr="00E964A1" w:rsidRDefault="00105B10" w:rsidP="00105B10">
      <w:pPr>
        <w:rPr>
          <w:rFonts w:cs="Times New Roman"/>
          <w:sz w:val="20"/>
          <w:szCs w:val="20"/>
        </w:rPr>
      </w:pPr>
    </w:p>
    <w:p w14:paraId="7B312425" w14:textId="77777777" w:rsidR="00105B10" w:rsidRPr="00BC1B37" w:rsidRDefault="00105B10" w:rsidP="00105B10">
      <w:pPr>
        <w:rPr>
          <w:rFonts w:ascii="Aptos" w:eastAsia="Calibri" w:hAnsi="Aptos" w:cs="Arial"/>
          <w:sz w:val="22"/>
        </w:rPr>
      </w:pPr>
    </w:p>
    <w:p w14:paraId="27448A97" w14:textId="77777777" w:rsidR="00105B10" w:rsidRPr="00BC1B37" w:rsidRDefault="00105B10" w:rsidP="00105B10">
      <w:pPr>
        <w:numPr>
          <w:ilvl w:val="0"/>
          <w:numId w:val="1"/>
        </w:numPr>
        <w:contextualSpacing/>
        <w:rPr>
          <w:rFonts w:ascii="Aptos" w:eastAsia="Calibri" w:hAnsi="Aptos" w:cs="Arial"/>
          <w:szCs w:val="24"/>
        </w:rPr>
      </w:pPr>
      <w:r w:rsidRPr="00BC1B37">
        <w:rPr>
          <w:rFonts w:ascii="Aptos" w:eastAsia="Calibri" w:hAnsi="Aptos" w:cs="Arial"/>
          <w:szCs w:val="24"/>
        </w:rPr>
        <w:t>Jei aukščiau esančios lentelės eilutės „PVM, Eur“ laukas nepildomas, nurodykite priežastis, dėl kurių PVM nemokamas: ________________.</w:t>
      </w:r>
    </w:p>
    <w:p w14:paraId="66EF47E0" w14:textId="77777777" w:rsidR="00105B10" w:rsidRDefault="00105B10">
      <w:pPr>
        <w:sectPr w:rsidR="00105B10" w:rsidSect="00105B10">
          <w:pgSz w:w="16838" w:h="11906" w:orient="landscape"/>
          <w:pgMar w:top="1440" w:right="1440" w:bottom="1440" w:left="1440" w:header="567" w:footer="567" w:gutter="0"/>
          <w:cols w:space="1296"/>
          <w:docGrid w:linePitch="360"/>
        </w:sectPr>
      </w:pPr>
    </w:p>
    <w:p w14:paraId="27BA9278" w14:textId="77777777" w:rsidR="00105B10" w:rsidRPr="00BC1B37" w:rsidRDefault="00105B10" w:rsidP="00105B10">
      <w:pPr>
        <w:rPr>
          <w:rFonts w:ascii="Aptos" w:hAnsi="Aptos" w:cs="Times New Roman"/>
          <w:szCs w:val="24"/>
        </w:rPr>
      </w:pPr>
    </w:p>
    <w:p w14:paraId="3B91C103" w14:textId="77777777" w:rsidR="00105B10" w:rsidRPr="00BC1B37" w:rsidRDefault="00105B10" w:rsidP="00105B10">
      <w:pPr>
        <w:jc w:val="center"/>
        <w:rPr>
          <w:rFonts w:ascii="Aptos" w:hAnsi="Aptos" w:cs="Times New Roman"/>
          <w:b/>
          <w:bCs/>
          <w:szCs w:val="24"/>
        </w:rPr>
      </w:pPr>
      <w:r w:rsidRPr="00BC1B37">
        <w:rPr>
          <w:rFonts w:ascii="Aptos" w:hAnsi="Aptos" w:cs="Times New Roman"/>
          <w:b/>
          <w:bCs/>
          <w:szCs w:val="24"/>
        </w:rPr>
        <w:t>IV SKYRIUS</w:t>
      </w:r>
    </w:p>
    <w:p w14:paraId="61A66B80" w14:textId="77777777" w:rsidR="00105B10" w:rsidRPr="00BC1B37" w:rsidRDefault="00105B10" w:rsidP="00105B10">
      <w:pPr>
        <w:jc w:val="center"/>
        <w:rPr>
          <w:rFonts w:ascii="Aptos" w:hAnsi="Aptos" w:cs="Times New Roman"/>
          <w:b/>
          <w:bCs/>
          <w:szCs w:val="24"/>
        </w:rPr>
      </w:pPr>
      <w:r w:rsidRPr="00BC1B37">
        <w:rPr>
          <w:rFonts w:ascii="Aptos" w:hAnsi="Aptos" w:cs="Times New Roman"/>
          <w:b/>
          <w:bCs/>
          <w:szCs w:val="24"/>
        </w:rPr>
        <w:t>PRIDEDAMI DOKUMENTAI IR INFORMACIJA APIE KONFIDENCIALUMĄ</w:t>
      </w:r>
    </w:p>
    <w:p w14:paraId="4876FE6B" w14:textId="77777777" w:rsidR="00105B10" w:rsidRPr="00BC1B37" w:rsidRDefault="00105B10" w:rsidP="00105B10">
      <w:pPr>
        <w:rPr>
          <w:rFonts w:ascii="Aptos" w:hAnsi="Aptos" w:cs="Times New Roman"/>
          <w:szCs w:val="24"/>
        </w:rPr>
      </w:pPr>
    </w:p>
    <w:p w14:paraId="180B1E73" w14:textId="77777777" w:rsidR="00105B10" w:rsidRPr="00BC1B37" w:rsidRDefault="00105B10" w:rsidP="00105B10">
      <w:pPr>
        <w:pStyle w:val="Sraopastraipa"/>
        <w:numPr>
          <w:ilvl w:val="0"/>
          <w:numId w:val="1"/>
        </w:numPr>
        <w:rPr>
          <w:rFonts w:ascii="Aptos" w:hAnsi="Aptos" w:cs="Times New Roman"/>
          <w:szCs w:val="24"/>
        </w:rPr>
      </w:pPr>
      <w:r w:rsidRPr="00BC1B37">
        <w:rPr>
          <w:rFonts w:ascii="Aptos" w:hAnsi="Aptos" w:cs="Times New Roman"/>
          <w:szCs w:val="24"/>
        </w:rPr>
        <w:t>Dokumentai teikiami su pasiūlymu CVP IS priemonėmis:</w:t>
      </w:r>
    </w:p>
    <w:p w14:paraId="7D9BD181" w14:textId="77777777" w:rsidR="00105B10" w:rsidRPr="00BC1B37" w:rsidRDefault="00105B10" w:rsidP="00105B10">
      <w:pPr>
        <w:rPr>
          <w:rFonts w:ascii="Aptos" w:hAnsi="Aptos" w:cs="Times New Roman"/>
          <w:szCs w:val="24"/>
        </w:rPr>
      </w:pPr>
    </w:p>
    <w:p w14:paraId="5DC136C0" w14:textId="77777777" w:rsidR="00105B10" w:rsidRPr="00BC1B37" w:rsidRDefault="00105B10" w:rsidP="00105B10">
      <w:pPr>
        <w:pStyle w:val="Antrat"/>
        <w:rPr>
          <w:rFonts w:ascii="Aptos" w:hAnsi="Aptos" w:cs="Times New Roman"/>
          <w:b w:val="0"/>
          <w:bCs/>
          <w:szCs w:val="24"/>
        </w:rPr>
      </w:pPr>
      <w:r w:rsidRPr="00BC1B37">
        <w:rPr>
          <w:rFonts w:ascii="Aptos" w:hAnsi="Aptos" w:cs="Times New Roman"/>
          <w:szCs w:val="24"/>
        </w:rPr>
        <w:fldChar w:fldCharType="begin"/>
      </w:r>
      <w:r w:rsidRPr="00BC1B37">
        <w:rPr>
          <w:rFonts w:ascii="Aptos" w:hAnsi="Aptos" w:cs="Times New Roman"/>
          <w:szCs w:val="24"/>
        </w:rPr>
        <w:instrText xml:space="preserve"> SEQ lentelė \* ARABIC </w:instrText>
      </w:r>
      <w:r w:rsidRPr="00BC1B37">
        <w:rPr>
          <w:rFonts w:ascii="Aptos" w:hAnsi="Aptos" w:cs="Times New Roman"/>
          <w:szCs w:val="24"/>
        </w:rPr>
        <w:fldChar w:fldCharType="separate"/>
      </w:r>
      <w:r>
        <w:rPr>
          <w:rFonts w:ascii="Aptos" w:hAnsi="Aptos" w:cs="Times New Roman"/>
          <w:noProof/>
          <w:szCs w:val="24"/>
        </w:rPr>
        <w:t>4</w:t>
      </w:r>
      <w:r w:rsidRPr="00BC1B37">
        <w:rPr>
          <w:rFonts w:ascii="Aptos" w:hAnsi="Aptos" w:cs="Times New Roman"/>
          <w:noProof/>
          <w:szCs w:val="24"/>
        </w:rPr>
        <w:fldChar w:fldCharType="end"/>
      </w:r>
      <w:r w:rsidRPr="00BC1B37">
        <w:rPr>
          <w:rFonts w:ascii="Aptos" w:hAnsi="Aptos" w:cs="Times New Roman"/>
          <w:szCs w:val="24"/>
        </w:rPr>
        <w:t xml:space="preserve"> lentelė. </w:t>
      </w:r>
      <w:r w:rsidRPr="00BC1B37">
        <w:rPr>
          <w:rFonts w:ascii="Aptos" w:hAnsi="Aptos" w:cs="Times New Roman"/>
          <w:b w:val="0"/>
          <w:bCs/>
          <w:szCs w:val="24"/>
        </w:rPr>
        <w:t>Pridedami dokumentai</w:t>
      </w:r>
    </w:p>
    <w:tbl>
      <w:tblPr>
        <w:tblStyle w:val="Lentelstinkleli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3244"/>
        <w:gridCol w:w="1975"/>
        <w:gridCol w:w="3239"/>
      </w:tblGrid>
      <w:tr w:rsidR="00105B10" w:rsidRPr="00BC1B37" w14:paraId="1EF7F496" w14:textId="77777777" w:rsidTr="00610961">
        <w:tc>
          <w:tcPr>
            <w:tcW w:w="310" w:type="pct"/>
          </w:tcPr>
          <w:p w14:paraId="585E4B60" w14:textId="77777777" w:rsidR="00105B10" w:rsidRPr="00BC1B37" w:rsidRDefault="00105B10" w:rsidP="00610961">
            <w:pPr>
              <w:jc w:val="center"/>
              <w:rPr>
                <w:rFonts w:ascii="Aptos" w:hAnsi="Aptos" w:cs="Times New Roman"/>
                <w:b/>
                <w:bCs/>
                <w:szCs w:val="24"/>
              </w:rPr>
            </w:pPr>
            <w:r w:rsidRPr="00BC1B37">
              <w:rPr>
                <w:rFonts w:ascii="Aptos" w:hAnsi="Aptos" w:cs="Times New Roman"/>
                <w:b/>
                <w:bCs/>
                <w:szCs w:val="24"/>
              </w:rPr>
              <w:t>Nr.</w:t>
            </w:r>
          </w:p>
        </w:tc>
        <w:tc>
          <w:tcPr>
            <w:tcW w:w="1799" w:type="pct"/>
          </w:tcPr>
          <w:p w14:paraId="347E83BB" w14:textId="77777777" w:rsidR="00105B10" w:rsidRPr="00BC1B37" w:rsidRDefault="00105B10" w:rsidP="00610961">
            <w:pPr>
              <w:jc w:val="center"/>
              <w:rPr>
                <w:rFonts w:ascii="Aptos" w:hAnsi="Aptos" w:cs="Times New Roman"/>
                <w:b/>
                <w:bCs/>
                <w:szCs w:val="24"/>
              </w:rPr>
            </w:pPr>
            <w:r w:rsidRPr="00BC1B37">
              <w:rPr>
                <w:rFonts w:ascii="Aptos" w:hAnsi="Aptos" w:cs="Times New Roman"/>
                <w:b/>
                <w:bCs/>
                <w:szCs w:val="24"/>
              </w:rPr>
              <w:t>Dokumentas</w:t>
            </w:r>
          </w:p>
        </w:tc>
        <w:tc>
          <w:tcPr>
            <w:tcW w:w="1095" w:type="pct"/>
          </w:tcPr>
          <w:p w14:paraId="74907F50" w14:textId="77777777" w:rsidR="00105B10" w:rsidRPr="00BC1B37" w:rsidRDefault="00105B10" w:rsidP="00610961">
            <w:pPr>
              <w:jc w:val="center"/>
              <w:rPr>
                <w:rFonts w:ascii="Aptos" w:hAnsi="Aptos" w:cs="Times New Roman"/>
                <w:b/>
                <w:bCs/>
                <w:szCs w:val="24"/>
              </w:rPr>
            </w:pPr>
            <w:r w:rsidRPr="00BC1B37">
              <w:rPr>
                <w:rFonts w:ascii="Aptos" w:hAnsi="Aptos" w:cs="Times New Roman"/>
                <w:b/>
                <w:bCs/>
                <w:szCs w:val="24"/>
              </w:rPr>
              <w:t>Ar dokumente yra konfidencialios informacijos?</w:t>
            </w:r>
          </w:p>
          <w:p w14:paraId="66710CDB" w14:textId="77777777" w:rsidR="00105B10" w:rsidRPr="00BC1B37" w:rsidRDefault="00105B10" w:rsidP="00610961">
            <w:pPr>
              <w:jc w:val="center"/>
              <w:rPr>
                <w:rFonts w:ascii="Aptos" w:hAnsi="Aptos" w:cs="Times New Roman"/>
                <w:b/>
                <w:bCs/>
                <w:szCs w:val="24"/>
              </w:rPr>
            </w:pPr>
            <w:r w:rsidRPr="00BC1B37">
              <w:rPr>
                <w:rFonts w:ascii="Aptos" w:hAnsi="Aptos" w:cs="Times New Roman"/>
                <w:b/>
                <w:bCs/>
                <w:szCs w:val="24"/>
              </w:rPr>
              <w:t>(Taip / Ne)</w:t>
            </w:r>
          </w:p>
        </w:tc>
        <w:tc>
          <w:tcPr>
            <w:tcW w:w="1796" w:type="pct"/>
          </w:tcPr>
          <w:p w14:paraId="1A0723DF" w14:textId="77777777" w:rsidR="00105B10" w:rsidRPr="00BC1B37" w:rsidRDefault="00105B10" w:rsidP="00610961">
            <w:pPr>
              <w:jc w:val="center"/>
              <w:rPr>
                <w:rFonts w:ascii="Aptos" w:hAnsi="Aptos" w:cs="Times New Roman"/>
                <w:b/>
                <w:bCs/>
                <w:szCs w:val="24"/>
              </w:rPr>
            </w:pPr>
            <w:r w:rsidRPr="00BC1B37">
              <w:rPr>
                <w:rFonts w:ascii="Aptos" w:hAnsi="Aptos" w:cs="Times New Roman"/>
                <w:b/>
                <w:bCs/>
                <w:szCs w:val="24"/>
              </w:rPr>
              <w:t>Paaiškinimas, kokia konkreti informacija dokumente yra konfidenciali ir pagrindimas, kodėl ši informacija yra konfidenciali</w:t>
            </w:r>
          </w:p>
        </w:tc>
      </w:tr>
      <w:tr w:rsidR="00105B10" w:rsidRPr="00BC1B37" w14:paraId="3F50DBE7" w14:textId="77777777" w:rsidTr="00610961">
        <w:tc>
          <w:tcPr>
            <w:tcW w:w="310" w:type="pct"/>
          </w:tcPr>
          <w:p w14:paraId="296ED86A" w14:textId="77777777" w:rsidR="00105B10" w:rsidRPr="00BC1B37" w:rsidRDefault="00105B10" w:rsidP="00610961">
            <w:pPr>
              <w:jc w:val="center"/>
              <w:rPr>
                <w:rFonts w:ascii="Aptos" w:hAnsi="Aptos" w:cs="Times New Roman"/>
                <w:b/>
                <w:bCs/>
                <w:szCs w:val="24"/>
              </w:rPr>
            </w:pPr>
            <w:r w:rsidRPr="00BC1B37">
              <w:rPr>
                <w:rFonts w:ascii="Aptos" w:hAnsi="Aptos" w:cs="Times New Roman"/>
                <w:b/>
                <w:bCs/>
                <w:szCs w:val="24"/>
              </w:rPr>
              <w:t>1</w:t>
            </w:r>
          </w:p>
        </w:tc>
        <w:tc>
          <w:tcPr>
            <w:tcW w:w="1799" w:type="pct"/>
          </w:tcPr>
          <w:p w14:paraId="1C711DA5" w14:textId="77777777" w:rsidR="00105B10" w:rsidRPr="00BC1B37" w:rsidRDefault="00105B10" w:rsidP="00610961">
            <w:pPr>
              <w:jc w:val="center"/>
              <w:rPr>
                <w:rFonts w:ascii="Aptos" w:hAnsi="Aptos" w:cs="Times New Roman"/>
                <w:b/>
                <w:bCs/>
                <w:szCs w:val="24"/>
              </w:rPr>
            </w:pPr>
            <w:r w:rsidRPr="00BC1B37">
              <w:rPr>
                <w:rFonts w:ascii="Aptos" w:hAnsi="Aptos" w:cs="Times New Roman"/>
                <w:b/>
                <w:bCs/>
                <w:szCs w:val="24"/>
              </w:rPr>
              <w:t>2</w:t>
            </w:r>
          </w:p>
        </w:tc>
        <w:tc>
          <w:tcPr>
            <w:tcW w:w="1095" w:type="pct"/>
          </w:tcPr>
          <w:p w14:paraId="3A8B1331" w14:textId="77777777" w:rsidR="00105B10" w:rsidRPr="00BC1B37" w:rsidRDefault="00105B10" w:rsidP="00610961">
            <w:pPr>
              <w:jc w:val="center"/>
              <w:rPr>
                <w:rFonts w:ascii="Aptos" w:hAnsi="Aptos" w:cs="Times New Roman"/>
                <w:b/>
                <w:bCs/>
                <w:szCs w:val="24"/>
              </w:rPr>
            </w:pPr>
            <w:r w:rsidRPr="00BC1B37">
              <w:rPr>
                <w:rFonts w:ascii="Aptos" w:hAnsi="Aptos" w:cs="Times New Roman"/>
                <w:b/>
                <w:bCs/>
                <w:szCs w:val="24"/>
              </w:rPr>
              <w:t>3</w:t>
            </w:r>
          </w:p>
        </w:tc>
        <w:tc>
          <w:tcPr>
            <w:tcW w:w="1796" w:type="pct"/>
          </w:tcPr>
          <w:p w14:paraId="046C06E3" w14:textId="77777777" w:rsidR="00105B10" w:rsidRPr="00BC1B37" w:rsidRDefault="00105B10" w:rsidP="00610961">
            <w:pPr>
              <w:jc w:val="center"/>
              <w:rPr>
                <w:rFonts w:ascii="Aptos" w:hAnsi="Aptos" w:cs="Times New Roman"/>
                <w:b/>
                <w:bCs/>
                <w:szCs w:val="24"/>
              </w:rPr>
            </w:pPr>
            <w:r w:rsidRPr="00BC1B37">
              <w:rPr>
                <w:rFonts w:ascii="Aptos" w:hAnsi="Aptos" w:cs="Times New Roman"/>
                <w:b/>
                <w:bCs/>
                <w:szCs w:val="24"/>
              </w:rPr>
              <w:t>4</w:t>
            </w:r>
          </w:p>
        </w:tc>
      </w:tr>
      <w:tr w:rsidR="00105B10" w:rsidRPr="00BC1B37" w14:paraId="7964CBA7" w14:textId="77777777" w:rsidTr="00610961">
        <w:tc>
          <w:tcPr>
            <w:tcW w:w="310" w:type="pct"/>
          </w:tcPr>
          <w:p w14:paraId="1C10F18E" w14:textId="77777777" w:rsidR="00105B10" w:rsidRPr="00BC1B37" w:rsidRDefault="00105B10" w:rsidP="00610961">
            <w:pPr>
              <w:rPr>
                <w:rFonts w:ascii="Aptos" w:hAnsi="Aptos" w:cs="Times New Roman"/>
                <w:szCs w:val="24"/>
              </w:rPr>
            </w:pPr>
          </w:p>
        </w:tc>
        <w:tc>
          <w:tcPr>
            <w:tcW w:w="1799" w:type="pct"/>
          </w:tcPr>
          <w:p w14:paraId="510F96BF" w14:textId="77777777" w:rsidR="00105B10" w:rsidRPr="00BC1B37" w:rsidRDefault="00105B10" w:rsidP="00610961">
            <w:pPr>
              <w:rPr>
                <w:rFonts w:ascii="Aptos" w:hAnsi="Aptos" w:cs="Times New Roman"/>
                <w:szCs w:val="24"/>
              </w:rPr>
            </w:pPr>
          </w:p>
        </w:tc>
        <w:tc>
          <w:tcPr>
            <w:tcW w:w="1095" w:type="pct"/>
          </w:tcPr>
          <w:p w14:paraId="5E170623" w14:textId="77777777" w:rsidR="00105B10" w:rsidRPr="00BC1B37" w:rsidRDefault="00105B10" w:rsidP="00610961">
            <w:pPr>
              <w:rPr>
                <w:rFonts w:ascii="Aptos" w:hAnsi="Aptos" w:cs="Times New Roman"/>
                <w:szCs w:val="24"/>
              </w:rPr>
            </w:pPr>
          </w:p>
        </w:tc>
        <w:tc>
          <w:tcPr>
            <w:tcW w:w="1796" w:type="pct"/>
          </w:tcPr>
          <w:p w14:paraId="34534402" w14:textId="77777777" w:rsidR="00105B10" w:rsidRPr="00BC1B37" w:rsidRDefault="00105B10" w:rsidP="00610961">
            <w:pPr>
              <w:rPr>
                <w:rFonts w:ascii="Aptos" w:hAnsi="Aptos" w:cs="Times New Roman"/>
                <w:szCs w:val="24"/>
              </w:rPr>
            </w:pPr>
          </w:p>
        </w:tc>
      </w:tr>
      <w:tr w:rsidR="00105B10" w:rsidRPr="00BC1B37" w14:paraId="6B991710" w14:textId="77777777" w:rsidTr="00610961">
        <w:tc>
          <w:tcPr>
            <w:tcW w:w="310" w:type="pct"/>
          </w:tcPr>
          <w:p w14:paraId="2AE5B816" w14:textId="77777777" w:rsidR="00105B10" w:rsidRPr="00BC1B37" w:rsidRDefault="00105B10" w:rsidP="00610961">
            <w:pPr>
              <w:rPr>
                <w:rFonts w:ascii="Aptos" w:hAnsi="Aptos" w:cs="Times New Roman"/>
                <w:szCs w:val="24"/>
              </w:rPr>
            </w:pPr>
          </w:p>
        </w:tc>
        <w:tc>
          <w:tcPr>
            <w:tcW w:w="1799" w:type="pct"/>
          </w:tcPr>
          <w:p w14:paraId="49D3E58E" w14:textId="77777777" w:rsidR="00105B10" w:rsidRPr="00BC1B37" w:rsidRDefault="00105B10" w:rsidP="00610961">
            <w:pPr>
              <w:rPr>
                <w:rFonts w:ascii="Aptos" w:hAnsi="Aptos" w:cs="Times New Roman"/>
                <w:szCs w:val="24"/>
              </w:rPr>
            </w:pPr>
          </w:p>
        </w:tc>
        <w:tc>
          <w:tcPr>
            <w:tcW w:w="1095" w:type="pct"/>
          </w:tcPr>
          <w:p w14:paraId="611A4FF3" w14:textId="77777777" w:rsidR="00105B10" w:rsidRPr="00BC1B37" w:rsidRDefault="00105B10" w:rsidP="00610961">
            <w:pPr>
              <w:rPr>
                <w:rFonts w:ascii="Aptos" w:hAnsi="Aptos" w:cs="Times New Roman"/>
                <w:szCs w:val="24"/>
              </w:rPr>
            </w:pPr>
          </w:p>
        </w:tc>
        <w:tc>
          <w:tcPr>
            <w:tcW w:w="1796" w:type="pct"/>
          </w:tcPr>
          <w:p w14:paraId="497A1589" w14:textId="77777777" w:rsidR="00105B10" w:rsidRPr="00BC1B37" w:rsidRDefault="00105B10" w:rsidP="00610961">
            <w:pPr>
              <w:rPr>
                <w:rFonts w:ascii="Aptos" w:hAnsi="Aptos" w:cs="Times New Roman"/>
                <w:szCs w:val="24"/>
              </w:rPr>
            </w:pPr>
          </w:p>
        </w:tc>
      </w:tr>
    </w:tbl>
    <w:p w14:paraId="6B16A909" w14:textId="77777777" w:rsidR="00105B10" w:rsidRPr="00BC1B37" w:rsidRDefault="00105B10" w:rsidP="00105B10">
      <w:pPr>
        <w:rPr>
          <w:rFonts w:ascii="Aptos" w:hAnsi="Aptos" w:cs="Times New Roman"/>
          <w:szCs w:val="24"/>
        </w:rPr>
      </w:pPr>
    </w:p>
    <w:p w14:paraId="5F5FB195" w14:textId="77777777" w:rsidR="00105B10" w:rsidRPr="00BC1B37" w:rsidRDefault="00105B10" w:rsidP="00105B10">
      <w:pPr>
        <w:jc w:val="center"/>
        <w:rPr>
          <w:rFonts w:ascii="Aptos" w:hAnsi="Aptos" w:cs="Times New Roman"/>
          <w:b/>
          <w:bCs/>
          <w:szCs w:val="24"/>
        </w:rPr>
      </w:pPr>
      <w:r w:rsidRPr="00BC1B37">
        <w:rPr>
          <w:rFonts w:ascii="Aptos" w:hAnsi="Aptos" w:cs="Times New Roman"/>
          <w:b/>
          <w:bCs/>
          <w:szCs w:val="24"/>
        </w:rPr>
        <w:t>V SKYRIUS</w:t>
      </w:r>
    </w:p>
    <w:p w14:paraId="752C8FF2" w14:textId="77777777" w:rsidR="00105B10" w:rsidRPr="00BC1B37" w:rsidRDefault="00105B10" w:rsidP="00105B10">
      <w:pPr>
        <w:jc w:val="center"/>
        <w:rPr>
          <w:rFonts w:ascii="Aptos" w:hAnsi="Aptos" w:cs="Times New Roman"/>
          <w:b/>
          <w:bCs/>
          <w:szCs w:val="24"/>
        </w:rPr>
      </w:pPr>
      <w:r w:rsidRPr="00BC1B37">
        <w:rPr>
          <w:rFonts w:ascii="Aptos" w:hAnsi="Aptos" w:cs="Times New Roman"/>
          <w:b/>
          <w:bCs/>
          <w:szCs w:val="24"/>
        </w:rPr>
        <w:t>BAIGIAMOSIOS NUOSTATOS</w:t>
      </w:r>
    </w:p>
    <w:p w14:paraId="499B298E" w14:textId="77777777" w:rsidR="00105B10" w:rsidRPr="00BC1B37" w:rsidRDefault="00105B10" w:rsidP="00105B10">
      <w:pPr>
        <w:rPr>
          <w:rFonts w:ascii="Aptos" w:hAnsi="Aptos" w:cs="Times New Roman"/>
          <w:szCs w:val="24"/>
        </w:rPr>
      </w:pPr>
    </w:p>
    <w:p w14:paraId="60960320" w14:textId="77777777" w:rsidR="00105B10" w:rsidRPr="00BC1B37" w:rsidRDefault="00105B10" w:rsidP="00105B10">
      <w:pPr>
        <w:ind w:firstLine="709"/>
        <w:rPr>
          <w:rFonts w:ascii="Aptos" w:hAnsi="Aptos" w:cs="Times New Roman"/>
          <w:szCs w:val="24"/>
        </w:rPr>
      </w:pPr>
      <w:r w:rsidRPr="00BC1B37">
        <w:rPr>
          <w:rFonts w:ascii="Aptos" w:hAnsi="Aptos" w:cs="Times New Roman"/>
          <w:szCs w:val="24"/>
        </w:rPr>
        <w:t>Pasirašydamas šį pasiūlymą, tvirtintu, kad:</w:t>
      </w:r>
    </w:p>
    <w:p w14:paraId="7602DAF5" w14:textId="77777777" w:rsidR="00105B10" w:rsidRPr="00BC1B37" w:rsidRDefault="00105B10" w:rsidP="00105B10">
      <w:pPr>
        <w:ind w:firstLine="709"/>
        <w:rPr>
          <w:rFonts w:ascii="Aptos" w:hAnsi="Aptos" w:cs="Times New Roman"/>
          <w:szCs w:val="24"/>
        </w:rPr>
      </w:pPr>
      <w:r w:rsidRPr="00BC1B37">
        <w:rPr>
          <w:rFonts w:ascii="Aptos" w:hAnsi="Aptos" w:cs="Times New Roman"/>
          <w:szCs w:val="24"/>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696DE44" w14:textId="77777777" w:rsidR="00105B10" w:rsidRPr="00BC1B37" w:rsidRDefault="00105B10" w:rsidP="00105B10">
      <w:pPr>
        <w:ind w:firstLine="709"/>
        <w:rPr>
          <w:rFonts w:ascii="Aptos" w:hAnsi="Aptos" w:cs="Times New Roman"/>
          <w:szCs w:val="24"/>
        </w:rPr>
      </w:pPr>
      <w:r w:rsidRPr="00BC1B37">
        <w:rPr>
          <w:rFonts w:ascii="Aptos" w:hAnsi="Aptos" w:cs="Times New Roman"/>
          <w:szCs w:val="24"/>
        </w:rPr>
        <w:t>2. sutinku su pirkimo dokumentuose nustatytomis sąlygomis ir procedūromis,</w:t>
      </w:r>
    </w:p>
    <w:p w14:paraId="44D9BAE2" w14:textId="77777777" w:rsidR="00105B10" w:rsidRPr="00BC1B37" w:rsidRDefault="00105B10" w:rsidP="00105B10">
      <w:pPr>
        <w:ind w:firstLine="709"/>
        <w:rPr>
          <w:rFonts w:ascii="Aptos" w:hAnsi="Aptos" w:cs="Times New Roman"/>
          <w:szCs w:val="24"/>
        </w:rPr>
      </w:pPr>
      <w:r w:rsidRPr="00BC1B37">
        <w:rPr>
          <w:rFonts w:ascii="Aptos" w:hAnsi="Aptos" w:cs="Times New Roman"/>
          <w:szCs w:val="24"/>
        </w:rPr>
        <w:t>3. pasiūlymo dokumentuose pateikti duomenys ir informacija yra teisinga ir apima viską, ko reikia tinkamam sutarties įvykdymui;</w:t>
      </w:r>
    </w:p>
    <w:p w14:paraId="6FE34452" w14:textId="77777777" w:rsidR="00105B10" w:rsidRPr="00BC1B37" w:rsidRDefault="00105B10" w:rsidP="00105B10">
      <w:pPr>
        <w:ind w:firstLine="709"/>
        <w:rPr>
          <w:rFonts w:ascii="Aptos" w:hAnsi="Aptos" w:cs="Times New Roman"/>
          <w:szCs w:val="24"/>
        </w:rPr>
      </w:pPr>
      <w:r w:rsidRPr="00BC1B37">
        <w:rPr>
          <w:rFonts w:ascii="Aptos" w:hAnsi="Aptos" w:cs="Times New Roman"/>
          <w:szCs w:val="24"/>
        </w:rPr>
        <w:t>4. pasiūlymas galioja Specialiųjų pirkimo sąlygų 1 priede nurodytą terminą.</w:t>
      </w:r>
    </w:p>
    <w:p w14:paraId="7CC0DDEB" w14:textId="77777777" w:rsidR="00105B10" w:rsidRPr="00BC1B37" w:rsidRDefault="00105B10" w:rsidP="00105B10">
      <w:pPr>
        <w:rPr>
          <w:rFonts w:ascii="Aptos" w:hAnsi="Aptos" w:cs="Times New Roman"/>
          <w:szCs w:val="24"/>
        </w:rPr>
      </w:pPr>
    </w:p>
    <w:tbl>
      <w:tblPr>
        <w:tblStyle w:val="Lentelstinklelis"/>
        <w:tblW w:w="5000" w:type="pct"/>
        <w:tblLook w:val="04A0" w:firstRow="1" w:lastRow="0" w:firstColumn="1" w:lastColumn="0" w:noHBand="0" w:noVBand="1"/>
      </w:tblPr>
      <w:tblGrid>
        <w:gridCol w:w="2680"/>
        <w:gridCol w:w="933"/>
        <w:gridCol w:w="1805"/>
        <w:gridCol w:w="933"/>
        <w:gridCol w:w="2675"/>
      </w:tblGrid>
      <w:tr w:rsidR="00105B10" w:rsidRPr="00BC1B37" w14:paraId="0E560E39" w14:textId="77777777" w:rsidTr="00610961">
        <w:tc>
          <w:tcPr>
            <w:tcW w:w="1484" w:type="pct"/>
            <w:tcBorders>
              <w:bottom w:val="single" w:sz="4" w:space="0" w:color="auto"/>
            </w:tcBorders>
          </w:tcPr>
          <w:p w14:paraId="0E0E8260" w14:textId="77777777" w:rsidR="00105B10" w:rsidRPr="00BC1B37" w:rsidRDefault="00105B10" w:rsidP="00610961">
            <w:pPr>
              <w:rPr>
                <w:rFonts w:ascii="Aptos" w:hAnsi="Aptos" w:cs="Times New Roman"/>
                <w:szCs w:val="24"/>
              </w:rPr>
            </w:pPr>
          </w:p>
        </w:tc>
        <w:tc>
          <w:tcPr>
            <w:tcW w:w="517" w:type="pct"/>
          </w:tcPr>
          <w:p w14:paraId="5DAC560B" w14:textId="77777777" w:rsidR="00105B10" w:rsidRPr="00BC1B37" w:rsidRDefault="00105B10" w:rsidP="00610961">
            <w:pPr>
              <w:rPr>
                <w:rFonts w:ascii="Aptos" w:hAnsi="Aptos" w:cs="Times New Roman"/>
                <w:szCs w:val="24"/>
              </w:rPr>
            </w:pPr>
          </w:p>
        </w:tc>
        <w:tc>
          <w:tcPr>
            <w:tcW w:w="1000" w:type="pct"/>
            <w:tcBorders>
              <w:bottom w:val="single" w:sz="4" w:space="0" w:color="auto"/>
            </w:tcBorders>
          </w:tcPr>
          <w:p w14:paraId="376DD48A" w14:textId="77777777" w:rsidR="00105B10" w:rsidRPr="00BC1B37" w:rsidRDefault="00105B10" w:rsidP="00610961">
            <w:pPr>
              <w:rPr>
                <w:rFonts w:ascii="Aptos" w:hAnsi="Aptos" w:cs="Times New Roman"/>
                <w:szCs w:val="24"/>
              </w:rPr>
            </w:pPr>
          </w:p>
        </w:tc>
        <w:tc>
          <w:tcPr>
            <w:tcW w:w="517" w:type="pct"/>
          </w:tcPr>
          <w:p w14:paraId="0B7F853B" w14:textId="77777777" w:rsidR="00105B10" w:rsidRPr="00BC1B37" w:rsidRDefault="00105B10" w:rsidP="00610961">
            <w:pPr>
              <w:rPr>
                <w:rFonts w:ascii="Aptos" w:hAnsi="Aptos" w:cs="Times New Roman"/>
                <w:szCs w:val="24"/>
              </w:rPr>
            </w:pPr>
          </w:p>
        </w:tc>
        <w:tc>
          <w:tcPr>
            <w:tcW w:w="1482" w:type="pct"/>
            <w:tcBorders>
              <w:bottom w:val="single" w:sz="4" w:space="0" w:color="auto"/>
            </w:tcBorders>
          </w:tcPr>
          <w:p w14:paraId="3626ECC5" w14:textId="77777777" w:rsidR="00105B10" w:rsidRPr="00BC1B37" w:rsidRDefault="00105B10" w:rsidP="00610961">
            <w:pPr>
              <w:rPr>
                <w:rFonts w:ascii="Aptos" w:hAnsi="Aptos" w:cs="Times New Roman"/>
                <w:szCs w:val="24"/>
              </w:rPr>
            </w:pPr>
          </w:p>
        </w:tc>
      </w:tr>
      <w:tr w:rsidR="00105B10" w:rsidRPr="00BC1B37" w14:paraId="07441A39" w14:textId="77777777" w:rsidTr="00610961">
        <w:tc>
          <w:tcPr>
            <w:tcW w:w="1484" w:type="pct"/>
            <w:tcBorders>
              <w:top w:val="single" w:sz="4" w:space="0" w:color="auto"/>
            </w:tcBorders>
          </w:tcPr>
          <w:p w14:paraId="166C4D38" w14:textId="77777777" w:rsidR="00105B10" w:rsidRPr="00BC1B37" w:rsidRDefault="00105B10" w:rsidP="00610961">
            <w:pPr>
              <w:jc w:val="left"/>
              <w:rPr>
                <w:rFonts w:ascii="Aptos" w:hAnsi="Aptos" w:cs="Times New Roman"/>
                <w:szCs w:val="24"/>
              </w:rPr>
            </w:pPr>
            <w:r w:rsidRPr="00BC1B37">
              <w:rPr>
                <w:rFonts w:ascii="Aptos" w:hAnsi="Aptos" w:cs="Times New Roman"/>
                <w:szCs w:val="24"/>
              </w:rPr>
              <w:t>(tiekėjo arba jo įgalioto asmens pareigų pavadinimas)</w:t>
            </w:r>
          </w:p>
        </w:tc>
        <w:tc>
          <w:tcPr>
            <w:tcW w:w="517" w:type="pct"/>
          </w:tcPr>
          <w:p w14:paraId="53DB0CC6" w14:textId="77777777" w:rsidR="00105B10" w:rsidRPr="00BC1B37" w:rsidRDefault="00105B10" w:rsidP="00610961">
            <w:pPr>
              <w:rPr>
                <w:rFonts w:ascii="Aptos" w:hAnsi="Aptos" w:cs="Times New Roman"/>
                <w:szCs w:val="24"/>
              </w:rPr>
            </w:pPr>
          </w:p>
        </w:tc>
        <w:tc>
          <w:tcPr>
            <w:tcW w:w="1000" w:type="pct"/>
            <w:tcBorders>
              <w:top w:val="single" w:sz="4" w:space="0" w:color="auto"/>
            </w:tcBorders>
          </w:tcPr>
          <w:p w14:paraId="1585E0F3" w14:textId="77777777" w:rsidR="00105B10" w:rsidRPr="00BC1B37" w:rsidRDefault="00105B10" w:rsidP="00610961">
            <w:pPr>
              <w:rPr>
                <w:rFonts w:ascii="Aptos" w:hAnsi="Aptos" w:cs="Times New Roman"/>
                <w:szCs w:val="24"/>
              </w:rPr>
            </w:pPr>
            <w:r w:rsidRPr="00BC1B37">
              <w:rPr>
                <w:rFonts w:ascii="Aptos" w:hAnsi="Aptos" w:cs="Times New Roman"/>
                <w:szCs w:val="24"/>
              </w:rPr>
              <w:t>(parašas)</w:t>
            </w:r>
          </w:p>
        </w:tc>
        <w:tc>
          <w:tcPr>
            <w:tcW w:w="517" w:type="pct"/>
          </w:tcPr>
          <w:p w14:paraId="4C1375A9" w14:textId="77777777" w:rsidR="00105B10" w:rsidRPr="00BC1B37" w:rsidRDefault="00105B10" w:rsidP="00610961">
            <w:pPr>
              <w:rPr>
                <w:rFonts w:ascii="Aptos" w:hAnsi="Aptos" w:cs="Times New Roman"/>
                <w:szCs w:val="24"/>
              </w:rPr>
            </w:pPr>
          </w:p>
        </w:tc>
        <w:tc>
          <w:tcPr>
            <w:tcW w:w="1482" w:type="pct"/>
            <w:tcBorders>
              <w:top w:val="single" w:sz="4" w:space="0" w:color="auto"/>
            </w:tcBorders>
          </w:tcPr>
          <w:p w14:paraId="2195B4C1" w14:textId="77777777" w:rsidR="00105B10" w:rsidRPr="00BC1B37" w:rsidRDefault="00105B10" w:rsidP="00610961">
            <w:pPr>
              <w:rPr>
                <w:rFonts w:ascii="Aptos" w:hAnsi="Aptos" w:cs="Times New Roman"/>
                <w:szCs w:val="24"/>
              </w:rPr>
            </w:pPr>
            <w:r w:rsidRPr="00BC1B37">
              <w:rPr>
                <w:rFonts w:ascii="Aptos" w:hAnsi="Aptos" w:cs="Times New Roman"/>
                <w:szCs w:val="24"/>
              </w:rPr>
              <w:t>(vardas ir pavardė)</w:t>
            </w:r>
          </w:p>
        </w:tc>
      </w:tr>
    </w:tbl>
    <w:p w14:paraId="5AAEA278" w14:textId="77777777" w:rsidR="00105B10" w:rsidRPr="00BC1B37" w:rsidRDefault="00105B10" w:rsidP="00105B10">
      <w:pPr>
        <w:rPr>
          <w:rFonts w:ascii="Aptos" w:hAnsi="Aptos" w:cs="Times New Roman"/>
          <w:szCs w:val="24"/>
        </w:rPr>
      </w:pPr>
    </w:p>
    <w:p w14:paraId="20F28984" w14:textId="77777777" w:rsidR="00FA73C1" w:rsidRDefault="00FA73C1"/>
    <w:sectPr w:rsidR="00FA73C1" w:rsidSect="00105B1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5EF8E" w14:textId="77777777" w:rsidR="00C22070" w:rsidRDefault="00C22070" w:rsidP="00105B10">
      <w:r>
        <w:separator/>
      </w:r>
    </w:p>
  </w:endnote>
  <w:endnote w:type="continuationSeparator" w:id="0">
    <w:p w14:paraId="1F96571D" w14:textId="77777777" w:rsidR="00C22070" w:rsidRDefault="00C22070" w:rsidP="0010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6A5FF" w14:textId="77777777" w:rsidR="00C22070" w:rsidRDefault="00C22070" w:rsidP="00105B10">
      <w:r>
        <w:separator/>
      </w:r>
    </w:p>
  </w:footnote>
  <w:footnote w:type="continuationSeparator" w:id="0">
    <w:p w14:paraId="3C0270AC" w14:textId="77777777" w:rsidR="00C22070" w:rsidRDefault="00C22070" w:rsidP="00105B10">
      <w:r>
        <w:continuationSeparator/>
      </w:r>
    </w:p>
  </w:footnote>
  <w:footnote w:id="1">
    <w:p w14:paraId="069004D2" w14:textId="77777777" w:rsidR="00105B10" w:rsidRPr="000F17A9" w:rsidRDefault="00105B10" w:rsidP="00105B10">
      <w:pPr>
        <w:pStyle w:val="Puslapioinaostekstas"/>
        <w:rPr>
          <w:rFonts w:ascii="Aptos" w:hAnsi="Aptos" w:cstheme="minorHAnsi"/>
        </w:rPr>
      </w:pPr>
      <w:r w:rsidRPr="000F17A9">
        <w:rPr>
          <w:rStyle w:val="Puslapioinaosnuoroda"/>
          <w:rFonts w:ascii="Aptos" w:hAnsi="Aptos" w:cstheme="minorHAnsi"/>
        </w:rPr>
        <w:footnoteRef/>
      </w:r>
      <w:r w:rsidRPr="000F17A9">
        <w:rPr>
          <w:rFonts w:ascii="Aptos" w:hAnsi="Aptos" w:cstheme="minorHAnsi"/>
        </w:rPr>
        <w:t xml:space="preserve"> Principas </w:t>
      </w:r>
      <w:r w:rsidRPr="000F17A9">
        <w:rPr>
          <w:rFonts w:ascii="Aptos" w:hAnsi="Aptos" w:cstheme="minorHAnsi"/>
          <w:b/>
          <w:bCs/>
        </w:rPr>
        <w:t>„Mokėk kaip namie“ (RLAH)</w:t>
      </w:r>
      <w:r w:rsidRPr="000F17A9">
        <w:rPr>
          <w:rFonts w:ascii="Aptos" w:hAnsi="Aptos" w:cstheme="minorHAnsi"/>
        </w:rPr>
        <w:t> reiškia, kad keliaujant bet kurioje kitoje nei savoje ES ar EEE šalyje ir joje naudojantis mobiliuoju įrenginiu nereikia mokėti jokių papildomų tarptinklinio ryšio mokesčių (išskyrus reglamente nurodytais tarptautinio tarptinklinio ryšio paslaugų teikimo ES ir EEE šalyse  atvejais operatoriai gali taikyti papildomus mokesčius). RLAH principas taikomas skambučiams į mobiliuosius ir fiksuotojo ryšio telefonus, trumposioms (SMS) žinutėms ir duomenų perdavimo paslaugoms užsienyje. Šis principas taikomas net ir tada, kai atsiliepiama į tarptinklinio ryšio skambučius arba priimamos trumposios žinutes iš pašnekovo, kuris naudojasi kito paslaugų teikėjo paslaugomis. Už naudojimąsi šiomis paslaugomis keliaujant ES ir EEE šalyse mokama lygiai ta pati kaina, kokia būtų sumokėta už paslaugas savoje šalyje. Operatorius taiko mokesčius už naudojimąsi tarptinklinio ryšio paslaugomis pagal vartotojo šalies mobiliojo ryšio tarifų planą ar paslaugų paketą arba tarptinklinio ryšio paslaugas išskaičiuoja iš kiekio, skirto naudoti šalies viduje.</w:t>
      </w:r>
    </w:p>
  </w:footnote>
  <w:footnote w:id="2">
    <w:p w14:paraId="0B85931B" w14:textId="77777777" w:rsidR="00105B10" w:rsidRPr="000F17A9" w:rsidRDefault="00105B10" w:rsidP="00105B10">
      <w:pPr>
        <w:pStyle w:val="Puslapioinaostekstas"/>
        <w:rPr>
          <w:rFonts w:ascii="Aptos" w:hAnsi="Aptos" w:cstheme="minorHAnsi"/>
        </w:rPr>
      </w:pPr>
      <w:r w:rsidRPr="000F17A9">
        <w:rPr>
          <w:rStyle w:val="Puslapioinaosnuoroda"/>
          <w:rFonts w:ascii="Aptos" w:hAnsi="Aptos" w:cstheme="minorHAnsi"/>
        </w:rPr>
        <w:footnoteRef/>
      </w:r>
      <w:r w:rsidRPr="000F17A9">
        <w:rPr>
          <w:rFonts w:ascii="Aptos" w:hAnsi="Aptos" w:cstheme="minorHAnsi"/>
        </w:rPr>
        <w:t xml:space="preserve"> Lyginamasis koeficientas suprantamas kaip perkamo objekto sudėtinių dalių kiekio pasiskirstymas.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 w15:restartNumberingAfterBreak="0">
    <w:nsid w:val="1EB41340"/>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F5E2B2E"/>
    <w:multiLevelType w:val="hybridMultilevel"/>
    <w:tmpl w:val="6E563E1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812524915">
    <w:abstractNumId w:val="2"/>
  </w:num>
  <w:num w:numId="2" w16cid:durableId="492188225">
    <w:abstractNumId w:val="0"/>
  </w:num>
  <w:num w:numId="3" w16cid:durableId="2111201243">
    <w:abstractNumId w:val="3"/>
  </w:num>
  <w:num w:numId="4" w16cid:durableId="1103498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10"/>
    <w:rsid w:val="00051116"/>
    <w:rsid w:val="00105B10"/>
    <w:rsid w:val="00171181"/>
    <w:rsid w:val="001B19A3"/>
    <w:rsid w:val="00734BD0"/>
    <w:rsid w:val="00894205"/>
    <w:rsid w:val="00A05FFA"/>
    <w:rsid w:val="00A1645A"/>
    <w:rsid w:val="00C22070"/>
    <w:rsid w:val="00C36D43"/>
    <w:rsid w:val="00D00ECC"/>
    <w:rsid w:val="00D25C2F"/>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AC2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5B10"/>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105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05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05B1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05B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05B1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05B1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05B1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05B1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05B1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5B1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05B1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05B1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05B1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05B1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05B1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05B1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05B1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05B1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5B1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5B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5B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5B1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5B10"/>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05B10"/>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05B10"/>
    <w:pPr>
      <w:ind w:left="720"/>
      <w:contextualSpacing/>
    </w:pPr>
  </w:style>
  <w:style w:type="character" w:styleId="Rykuspabraukimas">
    <w:name w:val="Intense Emphasis"/>
    <w:basedOn w:val="Numatytasispastraiposriftas"/>
    <w:uiPriority w:val="21"/>
    <w:qFormat/>
    <w:rsid w:val="00105B10"/>
    <w:rPr>
      <w:i/>
      <w:iCs/>
      <w:color w:val="0F4761" w:themeColor="accent1" w:themeShade="BF"/>
    </w:rPr>
  </w:style>
  <w:style w:type="paragraph" w:styleId="Iskirtacitata">
    <w:name w:val="Intense Quote"/>
    <w:basedOn w:val="prastasis"/>
    <w:next w:val="prastasis"/>
    <w:link w:val="IskirtacitataDiagrama"/>
    <w:uiPriority w:val="30"/>
    <w:qFormat/>
    <w:rsid w:val="00105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05B10"/>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105B10"/>
    <w:rPr>
      <w:b/>
      <w:bCs/>
      <w:smallCaps/>
      <w:color w:val="0F4761" w:themeColor="accent1" w:themeShade="BF"/>
      <w:spacing w:val="5"/>
    </w:rPr>
  </w:style>
  <w:style w:type="paragraph" w:styleId="Antrat">
    <w:name w:val="caption"/>
    <w:basedOn w:val="prastasis"/>
    <w:next w:val="prastasis"/>
    <w:uiPriority w:val="35"/>
    <w:unhideWhenUsed/>
    <w:qFormat/>
    <w:rsid w:val="00105B10"/>
    <w:rPr>
      <w:b/>
      <w:iCs/>
      <w:szCs w:val="18"/>
    </w:rPr>
  </w:style>
  <w:style w:type="table" w:styleId="Lentelstinklelis">
    <w:name w:val="Table Grid"/>
    <w:basedOn w:val="prastojilentel"/>
    <w:uiPriority w:val="39"/>
    <w:rsid w:val="00105B10"/>
    <w:pPr>
      <w:spacing w:after="0" w:line="240" w:lineRule="auto"/>
    </w:pPr>
    <w:rPr>
      <w:kern w:val="0"/>
      <w:sz w:val="22"/>
      <w:szCs w:val="22"/>
      <w14:ligatures w14:val="none"/>
    </w:rPr>
    <w:tblPr/>
  </w:style>
  <w:style w:type="paragraph" w:styleId="Puslapioinaostekstas">
    <w:name w:val="footnote text"/>
    <w:aliases w:val=" Diagrama1,Diagrama1"/>
    <w:basedOn w:val="prastasis"/>
    <w:link w:val="PuslapioinaostekstasDiagrama"/>
    <w:uiPriority w:val="99"/>
    <w:unhideWhenUsed/>
    <w:rsid w:val="00105B10"/>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05B10"/>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105B1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105B10"/>
    <w:rPr>
      <w:rFonts w:ascii="Times New Roman" w:hAnsi="Times New Roman"/>
    </w:rPr>
  </w:style>
  <w:style w:type="paragraph" w:styleId="Antrats">
    <w:name w:val="header"/>
    <w:basedOn w:val="prastasis"/>
    <w:link w:val="AntratsDiagrama"/>
    <w:uiPriority w:val="99"/>
    <w:unhideWhenUsed/>
    <w:rsid w:val="001B19A3"/>
    <w:pPr>
      <w:tabs>
        <w:tab w:val="center" w:pos="4513"/>
        <w:tab w:val="right" w:pos="9026"/>
      </w:tabs>
    </w:pPr>
  </w:style>
  <w:style w:type="character" w:customStyle="1" w:styleId="AntratsDiagrama">
    <w:name w:val="Antraštės Diagrama"/>
    <w:basedOn w:val="Numatytasispastraiposriftas"/>
    <w:link w:val="Antrats"/>
    <w:uiPriority w:val="99"/>
    <w:rsid w:val="001B19A3"/>
    <w:rPr>
      <w:rFonts w:ascii="Times New Roman" w:hAnsi="Times New Roman"/>
      <w:kern w:val="0"/>
      <w:szCs w:val="22"/>
      <w14:ligatures w14:val="none"/>
    </w:rPr>
  </w:style>
  <w:style w:type="paragraph" w:styleId="Porat">
    <w:name w:val="footer"/>
    <w:basedOn w:val="prastasis"/>
    <w:link w:val="PoratDiagrama"/>
    <w:uiPriority w:val="99"/>
    <w:unhideWhenUsed/>
    <w:rsid w:val="001B19A3"/>
    <w:pPr>
      <w:tabs>
        <w:tab w:val="center" w:pos="4513"/>
        <w:tab w:val="right" w:pos="9026"/>
      </w:tabs>
    </w:pPr>
  </w:style>
  <w:style w:type="character" w:customStyle="1" w:styleId="PoratDiagrama">
    <w:name w:val="Poraštė Diagrama"/>
    <w:basedOn w:val="Numatytasispastraiposriftas"/>
    <w:link w:val="Porat"/>
    <w:uiPriority w:val="99"/>
    <w:rsid w:val="001B19A3"/>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dd6f576c7eb883e7125aea0b5b8d7f1d">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4e14e6fb54e14edd89db460873388f41"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2C437D7B-6B22-4F95-9E8D-0209163C1D26}"/>
</file>

<file path=customXml/itemProps2.xml><?xml version="1.0" encoding="utf-8"?>
<ds:datastoreItem xmlns:ds="http://schemas.openxmlformats.org/officeDocument/2006/customXml" ds:itemID="{C04AF6A4-0CD4-441F-8A55-0E1961BE292A}"/>
</file>

<file path=customXml/itemProps3.xml><?xml version="1.0" encoding="utf-8"?>
<ds:datastoreItem xmlns:ds="http://schemas.openxmlformats.org/officeDocument/2006/customXml" ds:itemID="{3800EFEB-2F93-4837-AC3F-61C576124E93}"/>
</file>

<file path=docProps/app.xml><?xml version="1.0" encoding="utf-8"?>
<Properties xmlns="http://schemas.openxmlformats.org/officeDocument/2006/extended-properties" xmlns:vt="http://schemas.openxmlformats.org/officeDocument/2006/docPropsVTypes">
  <Template>Normal</Template>
  <TotalTime>0</TotalTime>
  <Pages>5</Pages>
  <Words>4156</Words>
  <Characters>2369</Characters>
  <Application>Microsoft Office Word</Application>
  <DocSecurity>0</DocSecurity>
  <Lines>19</Lines>
  <Paragraphs>13</Paragraphs>
  <ScaleCrop>false</ScaleCrop>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2025-11-12T10:48:00Z</dcterms:created>
  <dcterms:modified xsi:type="dcterms:W3CDTF">2025-11-12T10:48:00Z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