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C7641" w14:textId="79249BCA" w:rsidR="00EF5357" w:rsidRPr="00C81FF3" w:rsidRDefault="00EF5357" w:rsidP="00C81FF3">
      <w:pPr>
        <w:spacing w:after="0" w:line="240" w:lineRule="auto"/>
        <w:jc w:val="right"/>
        <w:rPr>
          <w:rFonts w:ascii="Times New Roman" w:hAnsi="Times New Roman"/>
          <w:sz w:val="24"/>
          <w:szCs w:val="24"/>
        </w:rPr>
      </w:pPr>
      <w:bookmarkStart w:id="0" w:name="_Toc386210103"/>
      <w:bookmarkStart w:id="1" w:name="_Toc387664858"/>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5502C7">
        <w:rPr>
          <w:rFonts w:ascii="Times New Roman" w:hAnsi="Times New Roman"/>
          <w:sz w:val="24"/>
          <w:szCs w:val="24"/>
        </w:rPr>
        <w:t>S</w:t>
      </w:r>
      <w:r w:rsidR="00F67869">
        <w:rPr>
          <w:rFonts w:ascii="Times New Roman" w:hAnsi="Times New Roman"/>
          <w:sz w:val="24"/>
          <w:szCs w:val="24"/>
        </w:rPr>
        <w:t>kelbiamos apklausos</w:t>
      </w:r>
      <w:r w:rsidRPr="00C81FF3">
        <w:rPr>
          <w:rFonts w:ascii="Times New Roman" w:hAnsi="Times New Roman"/>
          <w:sz w:val="24"/>
          <w:szCs w:val="24"/>
        </w:rPr>
        <w:t xml:space="preserve"> sąlygų</w:t>
      </w:r>
    </w:p>
    <w:p w14:paraId="5411675D" w14:textId="3D2918AB" w:rsidR="00EF5357" w:rsidRPr="00C81FF3" w:rsidRDefault="003B4D8D" w:rsidP="00C81FF3">
      <w:pPr>
        <w:spacing w:after="0" w:line="240" w:lineRule="auto"/>
        <w:jc w:val="right"/>
        <w:rPr>
          <w:rFonts w:ascii="Times New Roman" w:hAnsi="Times New Roman"/>
          <w:sz w:val="24"/>
          <w:szCs w:val="24"/>
        </w:rPr>
      </w:pPr>
      <w:r>
        <w:rPr>
          <w:rFonts w:ascii="Times New Roman" w:hAnsi="Times New Roman"/>
          <w:sz w:val="24"/>
          <w:szCs w:val="24"/>
        </w:rPr>
        <w:t>7</w:t>
      </w:r>
      <w:r w:rsidR="00EF5357" w:rsidRPr="00C81FF3">
        <w:rPr>
          <w:rFonts w:ascii="Times New Roman" w:hAnsi="Times New Roman"/>
          <w:sz w:val="24"/>
          <w:szCs w:val="24"/>
        </w:rPr>
        <w:t xml:space="preserve"> priedas</w:t>
      </w:r>
    </w:p>
    <w:p w14:paraId="7887D634" w14:textId="77777777" w:rsidR="00614220" w:rsidRPr="007D5482" w:rsidRDefault="00614220" w:rsidP="00C9455A">
      <w:pPr>
        <w:autoSpaceDE w:val="0"/>
        <w:spacing w:after="0" w:line="240" w:lineRule="auto"/>
        <w:outlineLvl w:val="0"/>
        <w:rPr>
          <w:rFonts w:ascii="Times New Roman" w:hAnsi="Times New Roman"/>
          <w:b/>
          <w:bCs/>
          <w:sz w:val="24"/>
          <w:szCs w:val="24"/>
        </w:rPr>
      </w:pPr>
    </w:p>
    <w:p w14:paraId="33060392" w14:textId="77777777" w:rsidR="002A52E4" w:rsidRPr="002A52E4" w:rsidRDefault="002A52E4" w:rsidP="002A52E4">
      <w:pPr>
        <w:autoSpaceDE w:val="0"/>
        <w:spacing w:after="0" w:line="240" w:lineRule="auto"/>
        <w:jc w:val="center"/>
        <w:outlineLvl w:val="0"/>
        <w:rPr>
          <w:rFonts w:ascii="Times New Roman" w:hAnsi="Times New Roman"/>
          <w:b/>
          <w:sz w:val="24"/>
          <w:szCs w:val="24"/>
        </w:rPr>
      </w:pPr>
      <w:r w:rsidRPr="002A52E4">
        <w:rPr>
          <w:rFonts w:ascii="Times New Roman" w:hAnsi="Times New Roman"/>
          <w:b/>
          <w:sz w:val="24"/>
          <w:szCs w:val="24"/>
        </w:rPr>
        <w:t>ĮKRAUNAMOS BATERIJOS NEPERTRAUKIAMO MAITINIMO ŠALTINIUI</w:t>
      </w:r>
    </w:p>
    <w:p w14:paraId="7887D635" w14:textId="004004D5" w:rsidR="002E3668" w:rsidRPr="007D5482" w:rsidRDefault="002E3668" w:rsidP="0040548A">
      <w:pPr>
        <w:autoSpaceDE w:val="0"/>
        <w:spacing w:after="0" w:line="240" w:lineRule="auto"/>
        <w:jc w:val="center"/>
        <w:outlineLvl w:val="0"/>
        <w:rPr>
          <w:rFonts w:ascii="Times New Roman" w:hAnsi="Times New Roman"/>
          <w:b/>
          <w:bCs/>
          <w:sz w:val="24"/>
          <w:szCs w:val="24"/>
        </w:rPr>
      </w:pPr>
      <w:r w:rsidRPr="007D5482">
        <w:rPr>
          <w:rFonts w:ascii="Times New Roman" w:hAnsi="Times New Roman"/>
          <w:b/>
          <w:bCs/>
          <w:sz w:val="24"/>
          <w:szCs w:val="24"/>
        </w:rPr>
        <w:t>TECHNINĖ SPECIFIKACIJ</w:t>
      </w:r>
      <w:bookmarkEnd w:id="0"/>
      <w:bookmarkEnd w:id="1"/>
      <w:r w:rsidR="00614220" w:rsidRPr="007D5482">
        <w:rPr>
          <w:rFonts w:ascii="Times New Roman" w:hAnsi="Times New Roman"/>
          <w:b/>
          <w:bCs/>
          <w:sz w:val="24"/>
          <w:szCs w:val="24"/>
        </w:rPr>
        <w:t>A</w:t>
      </w:r>
      <w:r w:rsidR="0027620A" w:rsidRPr="007D5482">
        <w:rPr>
          <w:rFonts w:ascii="Times New Roman" w:hAnsi="Times New Roman"/>
          <w:b/>
          <w:bCs/>
          <w:sz w:val="24"/>
          <w:szCs w:val="24"/>
        </w:rPr>
        <w:t xml:space="preserve"> </w:t>
      </w:r>
    </w:p>
    <w:p w14:paraId="7887D63F" w14:textId="77777777" w:rsidR="009845BC" w:rsidRPr="007D5482" w:rsidRDefault="009845BC" w:rsidP="0040548A">
      <w:pPr>
        <w:spacing w:after="0" w:line="240" w:lineRule="auto"/>
        <w:jc w:val="both"/>
        <w:rPr>
          <w:rFonts w:ascii="Times New Roman" w:hAnsi="Times New Roman"/>
          <w:b/>
          <w:sz w:val="24"/>
          <w:szCs w:val="24"/>
        </w:rPr>
      </w:pPr>
    </w:p>
    <w:tbl>
      <w:tblPr>
        <w:tblpPr w:leftFromText="180" w:rightFromText="180" w:vertAnchor="text" w:horzAnchor="page" w:tblpX="829" w:tblpY="447"/>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185"/>
        <w:gridCol w:w="5103"/>
      </w:tblGrid>
      <w:tr w:rsidR="009037E1" w:rsidRPr="007D5482" w14:paraId="41D9847E" w14:textId="77777777" w:rsidTr="00C9455A">
        <w:trPr>
          <w:trHeight w:val="263"/>
        </w:trPr>
        <w:tc>
          <w:tcPr>
            <w:tcW w:w="846" w:type="dxa"/>
            <w:noWrap/>
          </w:tcPr>
          <w:p w14:paraId="6423A687" w14:textId="77777777" w:rsidR="009037E1" w:rsidRPr="007D5482" w:rsidRDefault="009037E1" w:rsidP="00CA4EDE">
            <w:pPr>
              <w:ind w:left="-59"/>
              <w:rPr>
                <w:rFonts w:ascii="Times New Roman" w:hAnsi="Times New Roman"/>
                <w:b/>
                <w:bCs/>
                <w:sz w:val="24"/>
                <w:szCs w:val="24"/>
              </w:rPr>
            </w:pPr>
          </w:p>
        </w:tc>
        <w:tc>
          <w:tcPr>
            <w:tcW w:w="9185" w:type="dxa"/>
          </w:tcPr>
          <w:p w14:paraId="46B86581" w14:textId="77777777" w:rsidR="009037E1" w:rsidRPr="007D5482" w:rsidRDefault="009037E1" w:rsidP="00CA4EDE">
            <w:pPr>
              <w:ind w:right="-108"/>
              <w:rPr>
                <w:rFonts w:ascii="Times New Roman" w:hAnsi="Times New Roman"/>
                <w:b/>
                <w:bCs/>
                <w:sz w:val="24"/>
                <w:szCs w:val="24"/>
              </w:rPr>
            </w:pPr>
            <w:r w:rsidRPr="007D5482">
              <w:rPr>
                <w:rFonts w:ascii="Times New Roman" w:hAnsi="Times New Roman"/>
                <w:b/>
                <w:bCs/>
                <w:sz w:val="24"/>
                <w:szCs w:val="24"/>
              </w:rPr>
              <w:t>Pirkimo dokumentuose nustatyti prekių techniniai rodikliai</w:t>
            </w:r>
          </w:p>
        </w:tc>
        <w:tc>
          <w:tcPr>
            <w:tcW w:w="5103" w:type="dxa"/>
          </w:tcPr>
          <w:p w14:paraId="2B1AE540" w14:textId="77777777" w:rsidR="009037E1" w:rsidRPr="007D5482" w:rsidRDefault="009037E1" w:rsidP="00CA4EDE">
            <w:pPr>
              <w:ind w:right="-108"/>
              <w:rPr>
                <w:rFonts w:ascii="Times New Roman" w:hAnsi="Times New Roman"/>
                <w:b/>
                <w:bCs/>
                <w:sz w:val="24"/>
                <w:szCs w:val="24"/>
              </w:rPr>
            </w:pPr>
            <w:r w:rsidRPr="007D5482">
              <w:rPr>
                <w:rFonts w:ascii="Times New Roman" w:hAnsi="Times New Roman"/>
                <w:b/>
                <w:bCs/>
                <w:sz w:val="24"/>
                <w:szCs w:val="24"/>
                <w:lang w:eastAsia="ar-SA"/>
              </w:rPr>
              <w:t xml:space="preserve">Tiekėjo siūlomų rodiklių reikšmė  </w:t>
            </w:r>
            <w:r w:rsidRPr="007D5482">
              <w:rPr>
                <w:rFonts w:ascii="Times New Roman" w:hAnsi="Times New Roman"/>
                <w:b/>
                <w:bCs/>
                <w:i/>
                <w:sz w:val="24"/>
                <w:szCs w:val="24"/>
                <w:lang w:eastAsia="ar-SA"/>
              </w:rPr>
              <w:t>(įrašyti)</w:t>
            </w:r>
          </w:p>
        </w:tc>
      </w:tr>
      <w:tr w:rsidR="009037E1" w:rsidRPr="007D5482" w14:paraId="2F6C95CC" w14:textId="77777777" w:rsidTr="00C9455A">
        <w:trPr>
          <w:trHeight w:val="263"/>
        </w:trPr>
        <w:tc>
          <w:tcPr>
            <w:tcW w:w="846" w:type="dxa"/>
            <w:noWrap/>
          </w:tcPr>
          <w:p w14:paraId="50BCB11C" w14:textId="77777777" w:rsidR="009037E1" w:rsidRPr="007D5482" w:rsidRDefault="009037E1" w:rsidP="00CA4EDE">
            <w:pPr>
              <w:ind w:left="-59"/>
              <w:rPr>
                <w:rFonts w:ascii="Times New Roman" w:hAnsi="Times New Roman"/>
                <w:b/>
                <w:bCs/>
                <w:sz w:val="24"/>
                <w:szCs w:val="24"/>
              </w:rPr>
            </w:pPr>
            <w:r w:rsidRPr="007D5482">
              <w:rPr>
                <w:rFonts w:ascii="Times New Roman" w:hAnsi="Times New Roman"/>
                <w:b/>
                <w:bCs/>
                <w:sz w:val="24"/>
                <w:szCs w:val="24"/>
              </w:rPr>
              <w:t>1.</w:t>
            </w:r>
          </w:p>
        </w:tc>
        <w:tc>
          <w:tcPr>
            <w:tcW w:w="9185" w:type="dxa"/>
          </w:tcPr>
          <w:p w14:paraId="71E3691E" w14:textId="4A9C371F" w:rsidR="009037E1" w:rsidRPr="007D5482" w:rsidRDefault="002A52E4" w:rsidP="00CA4EDE">
            <w:pPr>
              <w:ind w:right="-108"/>
              <w:rPr>
                <w:rFonts w:ascii="Times New Roman" w:hAnsi="Times New Roman"/>
                <w:b/>
                <w:bCs/>
                <w:sz w:val="24"/>
                <w:szCs w:val="24"/>
              </w:rPr>
            </w:pPr>
            <w:r w:rsidRPr="002A52E4">
              <w:rPr>
                <w:rFonts w:ascii="Times New Roman" w:hAnsi="Times New Roman"/>
                <w:b/>
                <w:bCs/>
                <w:sz w:val="24"/>
                <w:szCs w:val="24"/>
              </w:rPr>
              <w:t>Bendrieji reikalavimai:</w:t>
            </w:r>
          </w:p>
        </w:tc>
        <w:tc>
          <w:tcPr>
            <w:tcW w:w="5103" w:type="dxa"/>
          </w:tcPr>
          <w:p w14:paraId="3C449DF5" w14:textId="77777777" w:rsidR="009037E1" w:rsidRPr="007D5482" w:rsidRDefault="009037E1" w:rsidP="00CA4EDE">
            <w:pPr>
              <w:ind w:right="-108"/>
              <w:rPr>
                <w:rFonts w:ascii="Times New Roman" w:hAnsi="Times New Roman"/>
                <w:b/>
                <w:bCs/>
                <w:sz w:val="24"/>
                <w:szCs w:val="24"/>
              </w:rPr>
            </w:pPr>
          </w:p>
        </w:tc>
      </w:tr>
      <w:tr w:rsidR="009037E1" w:rsidRPr="007D5482" w14:paraId="32AC6676" w14:textId="77777777" w:rsidTr="00C9455A">
        <w:trPr>
          <w:trHeight w:val="324"/>
        </w:trPr>
        <w:tc>
          <w:tcPr>
            <w:tcW w:w="846" w:type="dxa"/>
            <w:noWrap/>
          </w:tcPr>
          <w:p w14:paraId="17682ECA" w14:textId="2A913E07" w:rsidR="009037E1" w:rsidRPr="007D5482" w:rsidRDefault="009037E1" w:rsidP="00535705">
            <w:pPr>
              <w:ind w:left="-59"/>
              <w:rPr>
                <w:rFonts w:ascii="Times New Roman" w:hAnsi="Times New Roman"/>
                <w:bCs/>
                <w:sz w:val="24"/>
                <w:szCs w:val="24"/>
              </w:rPr>
            </w:pPr>
            <w:r w:rsidRPr="007D5482">
              <w:rPr>
                <w:rFonts w:ascii="Times New Roman" w:hAnsi="Times New Roman"/>
                <w:bCs/>
                <w:sz w:val="24"/>
                <w:szCs w:val="24"/>
              </w:rPr>
              <w:t>1.</w:t>
            </w:r>
            <w:r w:rsidR="00535705">
              <w:rPr>
                <w:rFonts w:ascii="Times New Roman" w:hAnsi="Times New Roman"/>
                <w:bCs/>
                <w:sz w:val="24"/>
                <w:szCs w:val="24"/>
              </w:rPr>
              <w:t>1</w:t>
            </w:r>
            <w:r w:rsidRPr="007D5482">
              <w:rPr>
                <w:rFonts w:ascii="Times New Roman" w:hAnsi="Times New Roman"/>
                <w:bCs/>
                <w:sz w:val="24"/>
                <w:szCs w:val="24"/>
              </w:rPr>
              <w:t>.</w:t>
            </w:r>
          </w:p>
        </w:tc>
        <w:tc>
          <w:tcPr>
            <w:tcW w:w="9185" w:type="dxa"/>
          </w:tcPr>
          <w:p w14:paraId="12D7C018" w14:textId="46908D71" w:rsidR="009037E1" w:rsidRPr="00FD7690" w:rsidRDefault="002A52E4" w:rsidP="001E3334">
            <w:pPr>
              <w:spacing w:after="0" w:line="240" w:lineRule="auto"/>
              <w:jc w:val="both"/>
              <w:rPr>
                <w:rFonts w:ascii="Times New Roman" w:hAnsi="Times New Roman"/>
                <w:bCs/>
                <w:sz w:val="24"/>
                <w:szCs w:val="24"/>
              </w:rPr>
            </w:pPr>
            <w:r w:rsidRPr="002A52E4">
              <w:rPr>
                <w:rFonts w:ascii="Times New Roman" w:hAnsi="Times New Roman"/>
                <w:bCs/>
                <w:sz w:val="24"/>
                <w:szCs w:val="24"/>
              </w:rPr>
              <w:t xml:space="preserve">visa pateikiama techninė įranga privalo būti nauja (negali būti atnaujinta, restauruota (angl. </w:t>
            </w:r>
            <w:proofErr w:type="spellStart"/>
            <w:r w:rsidRPr="002A52E4">
              <w:rPr>
                <w:rFonts w:ascii="Times New Roman" w:hAnsi="Times New Roman"/>
                <w:bCs/>
                <w:i/>
                <w:sz w:val="24"/>
                <w:szCs w:val="24"/>
              </w:rPr>
              <w:t>refurbished</w:t>
            </w:r>
            <w:proofErr w:type="spellEnd"/>
            <w:r w:rsidRPr="002A52E4">
              <w:rPr>
                <w:rFonts w:ascii="Times New Roman" w:hAnsi="Times New Roman"/>
                <w:bCs/>
                <w:sz w:val="24"/>
                <w:szCs w:val="24"/>
              </w:rPr>
              <w:t>), nenaudota, pateikta nepažeistoje gamyklinėje pakuotėje;</w:t>
            </w:r>
          </w:p>
        </w:tc>
        <w:tc>
          <w:tcPr>
            <w:tcW w:w="5103" w:type="dxa"/>
          </w:tcPr>
          <w:p w14:paraId="79F121D8" w14:textId="77777777" w:rsidR="009037E1" w:rsidRPr="007D5482" w:rsidRDefault="009037E1" w:rsidP="00CA4EDE">
            <w:pPr>
              <w:jc w:val="both"/>
              <w:rPr>
                <w:rFonts w:ascii="Times New Roman" w:hAnsi="Times New Roman"/>
                <w:sz w:val="24"/>
                <w:szCs w:val="24"/>
              </w:rPr>
            </w:pPr>
          </w:p>
        </w:tc>
      </w:tr>
      <w:tr w:rsidR="001E3334" w:rsidRPr="007D5482" w14:paraId="5F59711C" w14:textId="77777777" w:rsidTr="00C9455A">
        <w:trPr>
          <w:trHeight w:val="324"/>
        </w:trPr>
        <w:tc>
          <w:tcPr>
            <w:tcW w:w="846" w:type="dxa"/>
            <w:noWrap/>
          </w:tcPr>
          <w:p w14:paraId="027226E0" w14:textId="4E096C54" w:rsidR="001E3334" w:rsidRPr="007D5482" w:rsidRDefault="001E3334" w:rsidP="00535705">
            <w:pPr>
              <w:ind w:left="-59"/>
              <w:rPr>
                <w:rFonts w:ascii="Times New Roman" w:hAnsi="Times New Roman"/>
                <w:bCs/>
                <w:sz w:val="24"/>
                <w:szCs w:val="24"/>
              </w:rPr>
            </w:pPr>
            <w:r>
              <w:rPr>
                <w:rFonts w:ascii="Times New Roman" w:hAnsi="Times New Roman"/>
                <w:bCs/>
                <w:sz w:val="24"/>
                <w:szCs w:val="24"/>
              </w:rPr>
              <w:t>1.2.</w:t>
            </w:r>
          </w:p>
        </w:tc>
        <w:tc>
          <w:tcPr>
            <w:tcW w:w="9185" w:type="dxa"/>
          </w:tcPr>
          <w:p w14:paraId="704A0942" w14:textId="6AFEDE2D" w:rsidR="001E3334" w:rsidRPr="001E3334" w:rsidRDefault="002A52E4" w:rsidP="001E3334">
            <w:pPr>
              <w:spacing w:after="0" w:line="240" w:lineRule="auto"/>
              <w:jc w:val="both"/>
              <w:rPr>
                <w:rFonts w:ascii="Times New Roman" w:hAnsi="Times New Roman"/>
                <w:bCs/>
                <w:sz w:val="24"/>
                <w:szCs w:val="24"/>
              </w:rPr>
            </w:pPr>
            <w:r w:rsidRPr="002A52E4">
              <w:rPr>
                <w:rFonts w:ascii="Times New Roman" w:hAnsi="Times New Roman"/>
                <w:bCs/>
                <w:sz w:val="24"/>
                <w:szCs w:val="24"/>
              </w:rPr>
              <w:t xml:space="preserve">tiekėjas turi užtikrinti, kad gamintojas nėra paskelbęs žinios apie siūlomos įrangos gamybos arba tobulinimo nutraukimą (pvz., angl. </w:t>
            </w:r>
            <w:proofErr w:type="spellStart"/>
            <w:r w:rsidRPr="002A52E4">
              <w:rPr>
                <w:rFonts w:ascii="Times New Roman" w:hAnsi="Times New Roman"/>
                <w:bCs/>
                <w:sz w:val="24"/>
                <w:szCs w:val="24"/>
              </w:rPr>
              <w:t>end</w:t>
            </w:r>
            <w:proofErr w:type="spellEnd"/>
            <w:r w:rsidRPr="002A52E4">
              <w:rPr>
                <w:rFonts w:ascii="Times New Roman" w:hAnsi="Times New Roman"/>
                <w:bCs/>
                <w:sz w:val="24"/>
                <w:szCs w:val="24"/>
              </w:rPr>
              <w:t xml:space="preserve"> </w:t>
            </w:r>
            <w:proofErr w:type="spellStart"/>
            <w:r w:rsidRPr="002A52E4">
              <w:rPr>
                <w:rFonts w:ascii="Times New Roman" w:hAnsi="Times New Roman"/>
                <w:bCs/>
                <w:sz w:val="24"/>
                <w:szCs w:val="24"/>
              </w:rPr>
              <w:t>o</w:t>
            </w:r>
            <w:r>
              <w:rPr>
                <w:rFonts w:ascii="Times New Roman" w:hAnsi="Times New Roman"/>
                <w:bCs/>
                <w:sz w:val="24"/>
                <w:szCs w:val="24"/>
              </w:rPr>
              <w:t>f</w:t>
            </w:r>
            <w:proofErr w:type="spellEnd"/>
            <w:r>
              <w:rPr>
                <w:rFonts w:ascii="Times New Roman" w:hAnsi="Times New Roman"/>
                <w:bCs/>
                <w:sz w:val="24"/>
                <w:szCs w:val="24"/>
              </w:rPr>
              <w:t xml:space="preserve"> </w:t>
            </w:r>
            <w:proofErr w:type="spellStart"/>
            <w:r>
              <w:rPr>
                <w:rFonts w:ascii="Times New Roman" w:hAnsi="Times New Roman"/>
                <w:bCs/>
                <w:sz w:val="24"/>
                <w:szCs w:val="24"/>
              </w:rPr>
              <w:t>life</w:t>
            </w:r>
            <w:proofErr w:type="spellEnd"/>
            <w:r>
              <w:rPr>
                <w:rFonts w:ascii="Times New Roman" w:hAnsi="Times New Roman"/>
                <w:bCs/>
                <w:sz w:val="24"/>
                <w:szCs w:val="24"/>
              </w:rPr>
              <w:t xml:space="preserve"> </w:t>
            </w:r>
            <w:proofErr w:type="spellStart"/>
            <w:r>
              <w:rPr>
                <w:rFonts w:ascii="Times New Roman" w:hAnsi="Times New Roman"/>
                <w:bCs/>
                <w:sz w:val="24"/>
                <w:szCs w:val="24"/>
              </w:rPr>
              <w:t>time</w:t>
            </w:r>
            <w:proofErr w:type="spellEnd"/>
            <w:r>
              <w:rPr>
                <w:rFonts w:ascii="Times New Roman" w:hAnsi="Times New Roman"/>
                <w:bCs/>
                <w:sz w:val="24"/>
                <w:szCs w:val="24"/>
              </w:rPr>
              <w:t xml:space="preserve"> ar </w:t>
            </w:r>
            <w:proofErr w:type="spellStart"/>
            <w:r>
              <w:rPr>
                <w:rFonts w:ascii="Times New Roman" w:hAnsi="Times New Roman"/>
                <w:bCs/>
                <w:sz w:val="24"/>
                <w:szCs w:val="24"/>
              </w:rPr>
              <w:t>Discontinued</w:t>
            </w:r>
            <w:proofErr w:type="spellEnd"/>
            <w:r>
              <w:rPr>
                <w:rFonts w:ascii="Times New Roman" w:hAnsi="Times New Roman"/>
                <w:bCs/>
                <w:sz w:val="24"/>
                <w:szCs w:val="24"/>
              </w:rPr>
              <w:t>);</w:t>
            </w:r>
          </w:p>
        </w:tc>
        <w:tc>
          <w:tcPr>
            <w:tcW w:w="5103" w:type="dxa"/>
          </w:tcPr>
          <w:p w14:paraId="6352176C" w14:textId="77777777" w:rsidR="001E3334" w:rsidRPr="007D5482" w:rsidRDefault="001E3334" w:rsidP="00CA4EDE">
            <w:pPr>
              <w:jc w:val="both"/>
              <w:rPr>
                <w:rFonts w:ascii="Times New Roman" w:hAnsi="Times New Roman"/>
                <w:sz w:val="24"/>
                <w:szCs w:val="24"/>
              </w:rPr>
            </w:pPr>
          </w:p>
        </w:tc>
      </w:tr>
      <w:tr w:rsidR="001E3334" w:rsidRPr="007D5482" w14:paraId="163D2AF6" w14:textId="77777777" w:rsidTr="00C9455A">
        <w:trPr>
          <w:trHeight w:val="324"/>
        </w:trPr>
        <w:tc>
          <w:tcPr>
            <w:tcW w:w="846" w:type="dxa"/>
            <w:noWrap/>
          </w:tcPr>
          <w:p w14:paraId="62784E32" w14:textId="5A8DBEDC" w:rsidR="001E3334" w:rsidRPr="007D5482" w:rsidRDefault="001E3334" w:rsidP="00535705">
            <w:pPr>
              <w:ind w:left="-59"/>
              <w:rPr>
                <w:rFonts w:ascii="Times New Roman" w:hAnsi="Times New Roman"/>
                <w:bCs/>
                <w:sz w:val="24"/>
                <w:szCs w:val="24"/>
              </w:rPr>
            </w:pPr>
            <w:r>
              <w:rPr>
                <w:rFonts w:ascii="Times New Roman" w:hAnsi="Times New Roman"/>
                <w:bCs/>
                <w:sz w:val="24"/>
                <w:szCs w:val="24"/>
              </w:rPr>
              <w:t>1.3.</w:t>
            </w:r>
          </w:p>
        </w:tc>
        <w:tc>
          <w:tcPr>
            <w:tcW w:w="9185" w:type="dxa"/>
          </w:tcPr>
          <w:p w14:paraId="3C5CB605" w14:textId="0F6F7032" w:rsidR="001E3334" w:rsidRPr="001E3334" w:rsidRDefault="002A52E4" w:rsidP="001E3334">
            <w:pPr>
              <w:spacing w:after="0" w:line="240" w:lineRule="auto"/>
              <w:jc w:val="both"/>
              <w:rPr>
                <w:rFonts w:ascii="Times New Roman" w:hAnsi="Times New Roman"/>
                <w:bCs/>
                <w:sz w:val="24"/>
                <w:szCs w:val="24"/>
              </w:rPr>
            </w:pPr>
            <w:r w:rsidRPr="002A52E4">
              <w:rPr>
                <w:rFonts w:ascii="Times New Roman" w:hAnsi="Times New Roman"/>
                <w:bCs/>
                <w:sz w:val="24"/>
                <w:szCs w:val="24"/>
              </w:rPr>
              <w:t>tiekėjas turi pateikti nuorodą į gamintojo puslapį, kuriame yra tiksli pasiūlymą atitinkančios techninės ar programinės įrangos techninė specifikacija;</w:t>
            </w:r>
          </w:p>
        </w:tc>
        <w:tc>
          <w:tcPr>
            <w:tcW w:w="5103" w:type="dxa"/>
          </w:tcPr>
          <w:p w14:paraId="4BBFC032" w14:textId="77777777" w:rsidR="001E3334" w:rsidRPr="007D5482" w:rsidRDefault="001E3334" w:rsidP="00CA4EDE">
            <w:pPr>
              <w:jc w:val="both"/>
              <w:rPr>
                <w:rFonts w:ascii="Times New Roman" w:hAnsi="Times New Roman"/>
                <w:sz w:val="24"/>
                <w:szCs w:val="24"/>
              </w:rPr>
            </w:pPr>
          </w:p>
        </w:tc>
      </w:tr>
      <w:tr w:rsidR="001E3334" w:rsidRPr="007D5482" w14:paraId="21800C07" w14:textId="77777777" w:rsidTr="00C9455A">
        <w:trPr>
          <w:trHeight w:val="324"/>
        </w:trPr>
        <w:tc>
          <w:tcPr>
            <w:tcW w:w="846" w:type="dxa"/>
            <w:noWrap/>
          </w:tcPr>
          <w:p w14:paraId="704B6063" w14:textId="76EC3BD1" w:rsidR="001E3334" w:rsidRPr="007D5482" w:rsidRDefault="001E3334" w:rsidP="00535705">
            <w:pPr>
              <w:ind w:left="-59"/>
              <w:rPr>
                <w:rFonts w:ascii="Times New Roman" w:hAnsi="Times New Roman"/>
                <w:bCs/>
                <w:sz w:val="24"/>
                <w:szCs w:val="24"/>
              </w:rPr>
            </w:pPr>
            <w:r>
              <w:rPr>
                <w:rFonts w:ascii="Times New Roman" w:hAnsi="Times New Roman"/>
                <w:bCs/>
                <w:sz w:val="24"/>
                <w:szCs w:val="24"/>
              </w:rPr>
              <w:t>1.4.</w:t>
            </w:r>
          </w:p>
        </w:tc>
        <w:tc>
          <w:tcPr>
            <w:tcW w:w="9185" w:type="dxa"/>
          </w:tcPr>
          <w:p w14:paraId="16BD9D25" w14:textId="0A90B20E" w:rsidR="001E3334" w:rsidRPr="001E3334" w:rsidRDefault="002A52E4" w:rsidP="001E3334">
            <w:pPr>
              <w:spacing w:after="0" w:line="240" w:lineRule="auto"/>
              <w:jc w:val="both"/>
              <w:rPr>
                <w:rFonts w:ascii="Times New Roman" w:hAnsi="Times New Roman"/>
                <w:bCs/>
                <w:sz w:val="24"/>
                <w:szCs w:val="24"/>
              </w:rPr>
            </w:pPr>
            <w:r w:rsidRPr="002A52E4">
              <w:rPr>
                <w:rFonts w:ascii="Times New Roman" w:hAnsi="Times New Roman"/>
                <w:bCs/>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tc>
        <w:tc>
          <w:tcPr>
            <w:tcW w:w="5103" w:type="dxa"/>
          </w:tcPr>
          <w:p w14:paraId="03424C91" w14:textId="77777777" w:rsidR="001E3334" w:rsidRPr="007D5482" w:rsidRDefault="001E3334" w:rsidP="00CA4EDE">
            <w:pPr>
              <w:jc w:val="both"/>
              <w:rPr>
                <w:rFonts w:ascii="Times New Roman" w:hAnsi="Times New Roman"/>
                <w:sz w:val="24"/>
                <w:szCs w:val="24"/>
              </w:rPr>
            </w:pPr>
          </w:p>
        </w:tc>
      </w:tr>
      <w:tr w:rsidR="001E3334" w:rsidRPr="007D5482" w14:paraId="3A2AECC0" w14:textId="77777777" w:rsidTr="00C9455A">
        <w:trPr>
          <w:trHeight w:val="324"/>
        </w:trPr>
        <w:tc>
          <w:tcPr>
            <w:tcW w:w="846" w:type="dxa"/>
            <w:noWrap/>
          </w:tcPr>
          <w:p w14:paraId="4E53E613" w14:textId="28AE0B32" w:rsidR="001E3334" w:rsidRPr="007D5482" w:rsidRDefault="001E3334" w:rsidP="00535705">
            <w:pPr>
              <w:ind w:left="-59"/>
              <w:rPr>
                <w:rFonts w:ascii="Times New Roman" w:hAnsi="Times New Roman"/>
                <w:bCs/>
                <w:sz w:val="24"/>
                <w:szCs w:val="24"/>
              </w:rPr>
            </w:pPr>
            <w:r>
              <w:rPr>
                <w:rFonts w:ascii="Times New Roman" w:hAnsi="Times New Roman"/>
                <w:bCs/>
                <w:sz w:val="24"/>
                <w:szCs w:val="24"/>
              </w:rPr>
              <w:t>1.5.</w:t>
            </w:r>
          </w:p>
        </w:tc>
        <w:tc>
          <w:tcPr>
            <w:tcW w:w="9185" w:type="dxa"/>
          </w:tcPr>
          <w:p w14:paraId="03AE33EF" w14:textId="21272D96" w:rsidR="001E3334" w:rsidRPr="001E3334" w:rsidRDefault="002A52E4" w:rsidP="001E3334">
            <w:pPr>
              <w:spacing w:after="0" w:line="240" w:lineRule="auto"/>
              <w:jc w:val="both"/>
              <w:rPr>
                <w:rFonts w:ascii="Times New Roman" w:hAnsi="Times New Roman"/>
                <w:bCs/>
                <w:sz w:val="24"/>
                <w:szCs w:val="24"/>
              </w:rPr>
            </w:pPr>
            <w:r w:rsidRPr="002A52E4">
              <w:rPr>
                <w:rFonts w:ascii="Times New Roman" w:hAnsi="Times New Roman"/>
                <w:bCs/>
                <w:sz w:val="24"/>
                <w:szCs w:val="24"/>
              </w:rPr>
              <w:t>Pirkimo objektas turi atitikti Lietuvos Respublikos viešųjų pirkimų įstatyme numatytus reikalavimus dėl galimų grėsmių nacionaliniam saugumui;</w:t>
            </w:r>
          </w:p>
        </w:tc>
        <w:tc>
          <w:tcPr>
            <w:tcW w:w="5103" w:type="dxa"/>
          </w:tcPr>
          <w:p w14:paraId="4D0B00CF" w14:textId="77777777" w:rsidR="001E3334" w:rsidRPr="007D5482" w:rsidRDefault="001E3334" w:rsidP="00CA4EDE">
            <w:pPr>
              <w:jc w:val="both"/>
              <w:rPr>
                <w:rFonts w:ascii="Times New Roman" w:hAnsi="Times New Roman"/>
                <w:sz w:val="24"/>
                <w:szCs w:val="24"/>
              </w:rPr>
            </w:pPr>
          </w:p>
        </w:tc>
      </w:tr>
      <w:tr w:rsidR="001E3334" w:rsidRPr="007D5482" w14:paraId="0295CBCF" w14:textId="77777777" w:rsidTr="00C9455A">
        <w:trPr>
          <w:trHeight w:val="324"/>
        </w:trPr>
        <w:tc>
          <w:tcPr>
            <w:tcW w:w="846" w:type="dxa"/>
            <w:noWrap/>
          </w:tcPr>
          <w:p w14:paraId="131DC0C4" w14:textId="542C585F" w:rsidR="001E3334" w:rsidRPr="007D5482" w:rsidRDefault="00CB7781" w:rsidP="00535705">
            <w:pPr>
              <w:ind w:left="-59"/>
              <w:rPr>
                <w:rFonts w:ascii="Times New Roman" w:hAnsi="Times New Roman"/>
                <w:bCs/>
                <w:sz w:val="24"/>
                <w:szCs w:val="24"/>
              </w:rPr>
            </w:pPr>
            <w:r w:rsidRPr="00CB7781">
              <w:rPr>
                <w:rFonts w:ascii="Times New Roman" w:hAnsi="Times New Roman"/>
                <w:b/>
                <w:bCs/>
                <w:sz w:val="24"/>
                <w:szCs w:val="24"/>
              </w:rPr>
              <w:t>2.</w:t>
            </w:r>
          </w:p>
        </w:tc>
        <w:tc>
          <w:tcPr>
            <w:tcW w:w="9185" w:type="dxa"/>
          </w:tcPr>
          <w:p w14:paraId="7778D7FF" w14:textId="0468D466" w:rsidR="001E3334" w:rsidRPr="001E3334" w:rsidRDefault="00CB7781" w:rsidP="001E3334">
            <w:pPr>
              <w:spacing w:after="0" w:line="240" w:lineRule="auto"/>
              <w:jc w:val="both"/>
              <w:rPr>
                <w:rFonts w:ascii="Times New Roman" w:hAnsi="Times New Roman"/>
                <w:bCs/>
                <w:sz w:val="24"/>
                <w:szCs w:val="24"/>
              </w:rPr>
            </w:pPr>
            <w:r w:rsidRPr="00CB7781">
              <w:rPr>
                <w:rFonts w:ascii="Times New Roman" w:hAnsi="Times New Roman"/>
                <w:b/>
                <w:bCs/>
                <w:sz w:val="24"/>
                <w:szCs w:val="24"/>
              </w:rPr>
              <w:t>Įkraunama baterija nepertraukiamo maitinimo šaltiniui</w:t>
            </w:r>
          </w:p>
        </w:tc>
        <w:tc>
          <w:tcPr>
            <w:tcW w:w="5103" w:type="dxa"/>
          </w:tcPr>
          <w:p w14:paraId="720345B3" w14:textId="77777777" w:rsidR="001E3334" w:rsidRPr="007D5482" w:rsidRDefault="001E3334" w:rsidP="00CA4EDE">
            <w:pPr>
              <w:jc w:val="both"/>
              <w:rPr>
                <w:rFonts w:ascii="Times New Roman" w:hAnsi="Times New Roman"/>
                <w:sz w:val="24"/>
                <w:szCs w:val="24"/>
              </w:rPr>
            </w:pPr>
          </w:p>
        </w:tc>
      </w:tr>
      <w:tr w:rsidR="001E3334" w:rsidRPr="007D5482" w14:paraId="09DA28BF" w14:textId="77777777" w:rsidTr="00C9455A">
        <w:trPr>
          <w:trHeight w:val="324"/>
        </w:trPr>
        <w:tc>
          <w:tcPr>
            <w:tcW w:w="846" w:type="dxa"/>
            <w:noWrap/>
          </w:tcPr>
          <w:p w14:paraId="58E86FF1" w14:textId="1CA218C6" w:rsidR="001E3334" w:rsidRDefault="00CB7781" w:rsidP="00CB7781">
            <w:pPr>
              <w:ind w:left="-59"/>
              <w:rPr>
                <w:rFonts w:ascii="Times New Roman" w:hAnsi="Times New Roman"/>
                <w:bCs/>
                <w:sz w:val="24"/>
                <w:szCs w:val="24"/>
              </w:rPr>
            </w:pPr>
            <w:r>
              <w:rPr>
                <w:rFonts w:ascii="Times New Roman" w:hAnsi="Times New Roman"/>
                <w:bCs/>
                <w:sz w:val="24"/>
                <w:szCs w:val="24"/>
              </w:rPr>
              <w:t>2</w:t>
            </w:r>
            <w:r w:rsidR="001E3334">
              <w:rPr>
                <w:rFonts w:ascii="Times New Roman" w:hAnsi="Times New Roman"/>
                <w:bCs/>
                <w:sz w:val="24"/>
                <w:szCs w:val="24"/>
              </w:rPr>
              <w:t>.</w:t>
            </w:r>
            <w:r>
              <w:rPr>
                <w:rFonts w:ascii="Times New Roman" w:hAnsi="Times New Roman"/>
                <w:bCs/>
                <w:sz w:val="24"/>
                <w:szCs w:val="24"/>
              </w:rPr>
              <w:t>1</w:t>
            </w:r>
            <w:r w:rsidR="001E3334">
              <w:rPr>
                <w:rFonts w:ascii="Times New Roman" w:hAnsi="Times New Roman"/>
                <w:bCs/>
                <w:sz w:val="24"/>
                <w:szCs w:val="24"/>
              </w:rPr>
              <w:t>.</w:t>
            </w:r>
          </w:p>
        </w:tc>
        <w:tc>
          <w:tcPr>
            <w:tcW w:w="9185" w:type="dxa"/>
          </w:tcPr>
          <w:p w14:paraId="681B5E05" w14:textId="5E02B21A" w:rsidR="001E3334" w:rsidRPr="001E3334" w:rsidRDefault="00CB7781" w:rsidP="001E3334">
            <w:pPr>
              <w:spacing w:after="0" w:line="240" w:lineRule="auto"/>
              <w:jc w:val="both"/>
              <w:rPr>
                <w:rFonts w:ascii="Times New Roman" w:hAnsi="Times New Roman"/>
                <w:bCs/>
                <w:sz w:val="24"/>
                <w:szCs w:val="24"/>
              </w:rPr>
            </w:pPr>
            <w:r w:rsidRPr="00CB7781">
              <w:rPr>
                <w:rFonts w:ascii="Times New Roman" w:hAnsi="Times New Roman"/>
                <w:bCs/>
                <w:sz w:val="24"/>
                <w:szCs w:val="24"/>
              </w:rPr>
              <w:t>Tipas:</w:t>
            </w:r>
            <w:r w:rsidRPr="00CB7781">
              <w:rPr>
                <w:rFonts w:ascii="Times New Roman" w:hAnsi="Times New Roman"/>
                <w:bCs/>
                <w:sz w:val="24"/>
                <w:szCs w:val="24"/>
              </w:rPr>
              <w:tab/>
              <w:t>VRLA AGM 12V</w:t>
            </w:r>
          </w:p>
        </w:tc>
        <w:tc>
          <w:tcPr>
            <w:tcW w:w="5103" w:type="dxa"/>
          </w:tcPr>
          <w:p w14:paraId="7CF2CE1D" w14:textId="77777777" w:rsidR="001E3334" w:rsidRPr="007D5482" w:rsidRDefault="001E3334" w:rsidP="00CA4EDE">
            <w:pPr>
              <w:jc w:val="both"/>
              <w:rPr>
                <w:rFonts w:ascii="Times New Roman" w:hAnsi="Times New Roman"/>
                <w:sz w:val="24"/>
                <w:szCs w:val="24"/>
              </w:rPr>
            </w:pPr>
          </w:p>
        </w:tc>
      </w:tr>
      <w:tr w:rsidR="001E3334" w:rsidRPr="007D5482" w14:paraId="48FB6040" w14:textId="77777777" w:rsidTr="00C9455A">
        <w:trPr>
          <w:trHeight w:val="324"/>
        </w:trPr>
        <w:tc>
          <w:tcPr>
            <w:tcW w:w="846" w:type="dxa"/>
            <w:noWrap/>
          </w:tcPr>
          <w:p w14:paraId="6DC8F542" w14:textId="53CE347C" w:rsidR="001E3334" w:rsidRDefault="00CB7781" w:rsidP="00535705">
            <w:pPr>
              <w:ind w:left="-59"/>
              <w:rPr>
                <w:rFonts w:ascii="Times New Roman" w:hAnsi="Times New Roman"/>
                <w:bCs/>
                <w:sz w:val="24"/>
                <w:szCs w:val="24"/>
              </w:rPr>
            </w:pPr>
            <w:r>
              <w:rPr>
                <w:rFonts w:ascii="Times New Roman" w:hAnsi="Times New Roman"/>
                <w:bCs/>
                <w:sz w:val="24"/>
                <w:szCs w:val="24"/>
              </w:rPr>
              <w:t>2.2</w:t>
            </w:r>
            <w:r w:rsidR="001E3334">
              <w:rPr>
                <w:rFonts w:ascii="Times New Roman" w:hAnsi="Times New Roman"/>
                <w:bCs/>
                <w:sz w:val="24"/>
                <w:szCs w:val="24"/>
              </w:rPr>
              <w:t>.</w:t>
            </w:r>
          </w:p>
        </w:tc>
        <w:tc>
          <w:tcPr>
            <w:tcW w:w="9185" w:type="dxa"/>
          </w:tcPr>
          <w:p w14:paraId="5175D8AA" w14:textId="77786BDD" w:rsidR="001E3334" w:rsidRPr="001E3334" w:rsidRDefault="00CB7781" w:rsidP="001E3334">
            <w:pPr>
              <w:spacing w:after="0" w:line="240" w:lineRule="auto"/>
              <w:jc w:val="both"/>
              <w:rPr>
                <w:rFonts w:ascii="Times New Roman" w:hAnsi="Times New Roman"/>
                <w:bCs/>
                <w:sz w:val="24"/>
                <w:szCs w:val="24"/>
              </w:rPr>
            </w:pPr>
            <w:r w:rsidRPr="00CB7781">
              <w:rPr>
                <w:rFonts w:ascii="Times New Roman" w:hAnsi="Times New Roman"/>
                <w:bCs/>
                <w:sz w:val="24"/>
                <w:szCs w:val="24"/>
              </w:rPr>
              <w:t>Suderinamumas:</w:t>
            </w:r>
            <w:r w:rsidRPr="00CB7781">
              <w:rPr>
                <w:rFonts w:ascii="Times New Roman" w:hAnsi="Times New Roman"/>
                <w:bCs/>
                <w:sz w:val="24"/>
                <w:szCs w:val="24"/>
              </w:rPr>
              <w:tab/>
              <w:t>baterijos tinkamos nepertraukiamo maitinimo šaltiniams „</w:t>
            </w:r>
            <w:proofErr w:type="spellStart"/>
            <w:r w:rsidRPr="00CB7781">
              <w:rPr>
                <w:rFonts w:ascii="Times New Roman" w:hAnsi="Times New Roman"/>
                <w:bCs/>
                <w:sz w:val="24"/>
                <w:szCs w:val="24"/>
              </w:rPr>
              <w:t>Centiel</w:t>
            </w:r>
            <w:proofErr w:type="spellEnd"/>
            <w:r w:rsidRPr="00CB7781">
              <w:rPr>
                <w:rFonts w:ascii="Times New Roman" w:hAnsi="Times New Roman"/>
                <w:bCs/>
                <w:sz w:val="24"/>
                <w:szCs w:val="24"/>
              </w:rPr>
              <w:t xml:space="preserve"> </w:t>
            </w:r>
            <w:proofErr w:type="spellStart"/>
            <w:r w:rsidRPr="00CB7781">
              <w:rPr>
                <w:rFonts w:ascii="Times New Roman" w:hAnsi="Times New Roman"/>
                <w:bCs/>
                <w:sz w:val="24"/>
                <w:szCs w:val="24"/>
              </w:rPr>
              <w:t>Cumuluspower</w:t>
            </w:r>
            <w:proofErr w:type="spellEnd"/>
            <w:r w:rsidRPr="00CB7781">
              <w:rPr>
                <w:rFonts w:ascii="Times New Roman" w:hAnsi="Times New Roman"/>
                <w:bCs/>
                <w:sz w:val="24"/>
                <w:szCs w:val="24"/>
              </w:rPr>
              <w:t xml:space="preserve"> CP050“ (2 vnt.) ir jo papildomiems baterijų blokams ir turi būti montuojamos nekeičiant originalių jungčių, jungimo kabelių, tvirtinimo elementų ar kitų turimo nepertraukiamo maitinimo šaltinio detalių;</w:t>
            </w:r>
          </w:p>
        </w:tc>
        <w:tc>
          <w:tcPr>
            <w:tcW w:w="5103" w:type="dxa"/>
          </w:tcPr>
          <w:p w14:paraId="3105DCFB" w14:textId="77777777" w:rsidR="001E3334" w:rsidRPr="007D5482" w:rsidRDefault="001E3334" w:rsidP="00CA4EDE">
            <w:pPr>
              <w:jc w:val="both"/>
              <w:rPr>
                <w:rFonts w:ascii="Times New Roman" w:hAnsi="Times New Roman"/>
                <w:sz w:val="24"/>
                <w:szCs w:val="24"/>
              </w:rPr>
            </w:pPr>
          </w:p>
        </w:tc>
      </w:tr>
      <w:tr w:rsidR="001E3334" w:rsidRPr="007D5482" w14:paraId="7D515AF4" w14:textId="77777777" w:rsidTr="00C9455A">
        <w:trPr>
          <w:trHeight w:val="324"/>
        </w:trPr>
        <w:tc>
          <w:tcPr>
            <w:tcW w:w="846" w:type="dxa"/>
            <w:noWrap/>
          </w:tcPr>
          <w:p w14:paraId="6C516BA2" w14:textId="7CFAC1F3" w:rsidR="001E3334" w:rsidRPr="007D5482" w:rsidRDefault="00CB7781" w:rsidP="00CB7781">
            <w:pPr>
              <w:ind w:left="-59"/>
              <w:rPr>
                <w:rFonts w:ascii="Times New Roman" w:hAnsi="Times New Roman"/>
                <w:bCs/>
                <w:sz w:val="24"/>
                <w:szCs w:val="24"/>
              </w:rPr>
            </w:pPr>
            <w:r>
              <w:rPr>
                <w:rFonts w:ascii="Times New Roman" w:hAnsi="Times New Roman"/>
                <w:bCs/>
                <w:sz w:val="24"/>
                <w:szCs w:val="24"/>
              </w:rPr>
              <w:t>2.3.</w:t>
            </w:r>
          </w:p>
        </w:tc>
        <w:tc>
          <w:tcPr>
            <w:tcW w:w="9185" w:type="dxa"/>
          </w:tcPr>
          <w:p w14:paraId="0A9B0F34" w14:textId="777819C6" w:rsidR="001E3334" w:rsidRPr="001E3334" w:rsidRDefault="00CB7781" w:rsidP="001E3334">
            <w:pPr>
              <w:spacing w:after="0" w:line="240" w:lineRule="auto"/>
              <w:jc w:val="both"/>
              <w:rPr>
                <w:rFonts w:ascii="Times New Roman" w:hAnsi="Times New Roman"/>
                <w:bCs/>
                <w:sz w:val="24"/>
                <w:szCs w:val="24"/>
              </w:rPr>
            </w:pPr>
            <w:r w:rsidRPr="00CB7781">
              <w:rPr>
                <w:rFonts w:ascii="Times New Roman" w:hAnsi="Times New Roman"/>
                <w:bCs/>
                <w:sz w:val="24"/>
                <w:szCs w:val="24"/>
              </w:rPr>
              <w:t>Nominali įtampa:</w:t>
            </w:r>
            <w:r w:rsidRPr="00CB7781">
              <w:rPr>
                <w:rFonts w:ascii="Times New Roman" w:hAnsi="Times New Roman"/>
                <w:bCs/>
                <w:sz w:val="24"/>
                <w:szCs w:val="24"/>
              </w:rPr>
              <w:tab/>
              <w:t>12 V;</w:t>
            </w:r>
          </w:p>
        </w:tc>
        <w:tc>
          <w:tcPr>
            <w:tcW w:w="5103" w:type="dxa"/>
          </w:tcPr>
          <w:p w14:paraId="79A30059" w14:textId="77777777" w:rsidR="001E3334" w:rsidRPr="007D5482" w:rsidRDefault="001E3334" w:rsidP="00CA4EDE">
            <w:pPr>
              <w:jc w:val="both"/>
              <w:rPr>
                <w:rFonts w:ascii="Times New Roman" w:hAnsi="Times New Roman"/>
                <w:sz w:val="24"/>
                <w:szCs w:val="24"/>
              </w:rPr>
            </w:pPr>
          </w:p>
        </w:tc>
      </w:tr>
      <w:tr w:rsidR="001E3334" w:rsidRPr="007D5482" w14:paraId="50BE74B9" w14:textId="77777777" w:rsidTr="00C9455A">
        <w:trPr>
          <w:trHeight w:val="324"/>
        </w:trPr>
        <w:tc>
          <w:tcPr>
            <w:tcW w:w="846" w:type="dxa"/>
            <w:noWrap/>
          </w:tcPr>
          <w:p w14:paraId="2DA82836" w14:textId="133B7F47" w:rsidR="001E3334" w:rsidRDefault="00CB7781" w:rsidP="00535705">
            <w:pPr>
              <w:ind w:left="-59"/>
              <w:rPr>
                <w:rFonts w:ascii="Times New Roman" w:hAnsi="Times New Roman"/>
                <w:bCs/>
                <w:sz w:val="24"/>
                <w:szCs w:val="24"/>
              </w:rPr>
            </w:pPr>
            <w:r>
              <w:rPr>
                <w:rFonts w:ascii="Times New Roman" w:hAnsi="Times New Roman"/>
                <w:bCs/>
                <w:sz w:val="24"/>
                <w:szCs w:val="24"/>
              </w:rPr>
              <w:t>2.4</w:t>
            </w:r>
            <w:r w:rsidR="001E3334">
              <w:rPr>
                <w:rFonts w:ascii="Times New Roman" w:hAnsi="Times New Roman"/>
                <w:bCs/>
                <w:sz w:val="24"/>
                <w:szCs w:val="24"/>
              </w:rPr>
              <w:t>.</w:t>
            </w:r>
          </w:p>
        </w:tc>
        <w:tc>
          <w:tcPr>
            <w:tcW w:w="9185" w:type="dxa"/>
          </w:tcPr>
          <w:p w14:paraId="271B5CB0" w14:textId="0C30974B" w:rsidR="001E3334" w:rsidRPr="001E3334" w:rsidRDefault="00CB7781" w:rsidP="001E3334">
            <w:pPr>
              <w:spacing w:after="0" w:line="240" w:lineRule="auto"/>
              <w:jc w:val="both"/>
              <w:rPr>
                <w:rFonts w:ascii="Times New Roman" w:hAnsi="Times New Roman"/>
                <w:bCs/>
                <w:sz w:val="24"/>
                <w:szCs w:val="24"/>
              </w:rPr>
            </w:pPr>
            <w:r w:rsidRPr="00CB7781">
              <w:rPr>
                <w:rFonts w:ascii="Times New Roman" w:hAnsi="Times New Roman"/>
                <w:bCs/>
                <w:sz w:val="24"/>
                <w:szCs w:val="24"/>
              </w:rPr>
              <w:t>Savaiminė iškrova:</w:t>
            </w:r>
            <w:r w:rsidRPr="00CB7781">
              <w:rPr>
                <w:rFonts w:ascii="Times New Roman" w:hAnsi="Times New Roman"/>
                <w:bCs/>
                <w:sz w:val="24"/>
                <w:szCs w:val="24"/>
              </w:rPr>
              <w:tab/>
              <w:t>ne didesnė kaip 10% per 90 dienų;</w:t>
            </w:r>
          </w:p>
        </w:tc>
        <w:tc>
          <w:tcPr>
            <w:tcW w:w="5103" w:type="dxa"/>
          </w:tcPr>
          <w:p w14:paraId="5FBF80D6" w14:textId="77777777" w:rsidR="001E3334" w:rsidRPr="007D5482" w:rsidRDefault="001E3334" w:rsidP="00CA4EDE">
            <w:pPr>
              <w:jc w:val="both"/>
              <w:rPr>
                <w:rFonts w:ascii="Times New Roman" w:hAnsi="Times New Roman"/>
                <w:sz w:val="24"/>
                <w:szCs w:val="24"/>
              </w:rPr>
            </w:pPr>
          </w:p>
        </w:tc>
      </w:tr>
      <w:tr w:rsidR="001E3334" w:rsidRPr="007D5482" w14:paraId="4C834B04" w14:textId="77777777" w:rsidTr="00C9455A">
        <w:trPr>
          <w:trHeight w:val="324"/>
        </w:trPr>
        <w:tc>
          <w:tcPr>
            <w:tcW w:w="846" w:type="dxa"/>
            <w:noWrap/>
          </w:tcPr>
          <w:p w14:paraId="22D993CF" w14:textId="7B07D789" w:rsidR="001E3334" w:rsidRDefault="00CB7781" w:rsidP="00CB7781">
            <w:pPr>
              <w:ind w:left="-59"/>
              <w:rPr>
                <w:rFonts w:ascii="Times New Roman" w:hAnsi="Times New Roman"/>
                <w:bCs/>
                <w:sz w:val="24"/>
                <w:szCs w:val="24"/>
              </w:rPr>
            </w:pPr>
            <w:r>
              <w:rPr>
                <w:rFonts w:ascii="Times New Roman" w:hAnsi="Times New Roman"/>
                <w:bCs/>
                <w:sz w:val="24"/>
                <w:szCs w:val="24"/>
              </w:rPr>
              <w:t>2.5.</w:t>
            </w:r>
          </w:p>
        </w:tc>
        <w:tc>
          <w:tcPr>
            <w:tcW w:w="9185" w:type="dxa"/>
          </w:tcPr>
          <w:p w14:paraId="10083AE1" w14:textId="2BA58628" w:rsidR="001E3334" w:rsidRPr="001E3334" w:rsidRDefault="00CB7781" w:rsidP="001E3334">
            <w:pPr>
              <w:spacing w:after="0" w:line="240" w:lineRule="auto"/>
              <w:jc w:val="both"/>
              <w:rPr>
                <w:rFonts w:ascii="Times New Roman" w:hAnsi="Times New Roman"/>
                <w:bCs/>
                <w:sz w:val="24"/>
                <w:szCs w:val="24"/>
              </w:rPr>
            </w:pPr>
            <w:r w:rsidRPr="00CB7781">
              <w:rPr>
                <w:rFonts w:ascii="Times New Roman" w:hAnsi="Times New Roman"/>
                <w:bCs/>
                <w:sz w:val="24"/>
                <w:szCs w:val="24"/>
              </w:rPr>
              <w:t>Nominali talpa:</w:t>
            </w:r>
            <w:r w:rsidRPr="00CB7781">
              <w:rPr>
                <w:rFonts w:ascii="Times New Roman" w:hAnsi="Times New Roman"/>
                <w:bCs/>
                <w:sz w:val="24"/>
                <w:szCs w:val="24"/>
              </w:rPr>
              <w:tab/>
              <w:t>ne mažiau kaip 8.8 Ah;</w:t>
            </w:r>
          </w:p>
        </w:tc>
        <w:tc>
          <w:tcPr>
            <w:tcW w:w="5103" w:type="dxa"/>
          </w:tcPr>
          <w:p w14:paraId="26C77293" w14:textId="77777777" w:rsidR="001E3334" w:rsidRPr="007D5482" w:rsidRDefault="001E3334" w:rsidP="00CA4EDE">
            <w:pPr>
              <w:jc w:val="both"/>
              <w:rPr>
                <w:rFonts w:ascii="Times New Roman" w:hAnsi="Times New Roman"/>
                <w:sz w:val="24"/>
                <w:szCs w:val="24"/>
              </w:rPr>
            </w:pPr>
          </w:p>
        </w:tc>
      </w:tr>
      <w:tr w:rsidR="001E3334" w:rsidRPr="007D5482" w14:paraId="55D8312F" w14:textId="77777777" w:rsidTr="00C9455A">
        <w:trPr>
          <w:trHeight w:val="324"/>
        </w:trPr>
        <w:tc>
          <w:tcPr>
            <w:tcW w:w="846" w:type="dxa"/>
            <w:noWrap/>
          </w:tcPr>
          <w:p w14:paraId="6D4EF4A7" w14:textId="067AE9DD" w:rsidR="001E3334" w:rsidRDefault="00CB7781" w:rsidP="00CB7781">
            <w:pPr>
              <w:ind w:left="-59"/>
              <w:rPr>
                <w:rFonts w:ascii="Times New Roman" w:hAnsi="Times New Roman"/>
                <w:bCs/>
                <w:sz w:val="24"/>
                <w:szCs w:val="24"/>
              </w:rPr>
            </w:pPr>
            <w:r>
              <w:rPr>
                <w:rFonts w:ascii="Times New Roman" w:hAnsi="Times New Roman"/>
                <w:bCs/>
                <w:sz w:val="24"/>
                <w:szCs w:val="24"/>
              </w:rPr>
              <w:lastRenderedPageBreak/>
              <w:t>2.6.</w:t>
            </w:r>
          </w:p>
        </w:tc>
        <w:tc>
          <w:tcPr>
            <w:tcW w:w="9185" w:type="dxa"/>
          </w:tcPr>
          <w:p w14:paraId="090C9E36" w14:textId="527ADA85" w:rsidR="001E3334" w:rsidRPr="001E3334" w:rsidRDefault="00CB7781" w:rsidP="001E3334">
            <w:pPr>
              <w:spacing w:after="0" w:line="240" w:lineRule="auto"/>
              <w:jc w:val="both"/>
              <w:rPr>
                <w:rFonts w:ascii="Times New Roman" w:hAnsi="Times New Roman"/>
                <w:bCs/>
                <w:sz w:val="24"/>
                <w:szCs w:val="24"/>
              </w:rPr>
            </w:pPr>
            <w:r w:rsidRPr="00CB7781">
              <w:rPr>
                <w:rFonts w:ascii="Times New Roman" w:hAnsi="Times New Roman"/>
                <w:bCs/>
                <w:sz w:val="24"/>
                <w:szCs w:val="24"/>
              </w:rPr>
              <w:t>Vidinė varža:</w:t>
            </w:r>
            <w:r w:rsidRPr="00CB7781">
              <w:rPr>
                <w:rFonts w:ascii="Times New Roman" w:hAnsi="Times New Roman"/>
                <w:bCs/>
                <w:sz w:val="24"/>
                <w:szCs w:val="24"/>
              </w:rPr>
              <w:tab/>
              <w:t>ne daugiau kaip 18 m</w:t>
            </w:r>
            <w:r w:rsidRPr="00CB7781">
              <w:rPr>
                <w:rFonts w:ascii="Times New Roman" w:hAnsi="Times New Roman"/>
                <w:bCs/>
                <w:sz w:val="24"/>
                <w:szCs w:val="24"/>
              </w:rPr>
              <w:t>;</w:t>
            </w:r>
          </w:p>
        </w:tc>
        <w:tc>
          <w:tcPr>
            <w:tcW w:w="5103" w:type="dxa"/>
          </w:tcPr>
          <w:p w14:paraId="441E34B1" w14:textId="77777777" w:rsidR="001E3334" w:rsidRPr="007D5482" w:rsidRDefault="001E3334" w:rsidP="00CA4EDE">
            <w:pPr>
              <w:jc w:val="both"/>
              <w:rPr>
                <w:rFonts w:ascii="Times New Roman" w:hAnsi="Times New Roman"/>
                <w:sz w:val="24"/>
                <w:szCs w:val="24"/>
              </w:rPr>
            </w:pPr>
          </w:p>
        </w:tc>
      </w:tr>
      <w:tr w:rsidR="001E3334" w:rsidRPr="007D5482" w14:paraId="3AD2C0D9" w14:textId="77777777" w:rsidTr="00C9455A">
        <w:trPr>
          <w:trHeight w:val="324"/>
        </w:trPr>
        <w:tc>
          <w:tcPr>
            <w:tcW w:w="846" w:type="dxa"/>
            <w:noWrap/>
          </w:tcPr>
          <w:p w14:paraId="667743F3" w14:textId="724F9489" w:rsidR="001E3334" w:rsidRDefault="00CB7781" w:rsidP="00535705">
            <w:pPr>
              <w:ind w:left="-59"/>
              <w:rPr>
                <w:rFonts w:ascii="Times New Roman" w:hAnsi="Times New Roman"/>
                <w:bCs/>
                <w:sz w:val="24"/>
                <w:szCs w:val="24"/>
              </w:rPr>
            </w:pPr>
            <w:r>
              <w:rPr>
                <w:rFonts w:ascii="Times New Roman" w:hAnsi="Times New Roman"/>
                <w:bCs/>
                <w:sz w:val="24"/>
                <w:szCs w:val="24"/>
              </w:rPr>
              <w:t>2.7</w:t>
            </w:r>
            <w:r w:rsidR="001E3334">
              <w:rPr>
                <w:rFonts w:ascii="Times New Roman" w:hAnsi="Times New Roman"/>
                <w:bCs/>
                <w:sz w:val="24"/>
                <w:szCs w:val="24"/>
              </w:rPr>
              <w:t>.</w:t>
            </w:r>
          </w:p>
        </w:tc>
        <w:tc>
          <w:tcPr>
            <w:tcW w:w="9185" w:type="dxa"/>
          </w:tcPr>
          <w:p w14:paraId="0876B173" w14:textId="28E7BAED" w:rsidR="001E3334" w:rsidRPr="001E3334" w:rsidRDefault="00CB7781" w:rsidP="001E3334">
            <w:pPr>
              <w:spacing w:after="0" w:line="240" w:lineRule="auto"/>
              <w:jc w:val="both"/>
              <w:rPr>
                <w:rFonts w:ascii="Times New Roman" w:hAnsi="Times New Roman"/>
                <w:bCs/>
                <w:sz w:val="24"/>
                <w:szCs w:val="24"/>
              </w:rPr>
            </w:pPr>
            <w:r w:rsidRPr="00CB7781">
              <w:rPr>
                <w:rFonts w:ascii="Times New Roman" w:hAnsi="Times New Roman"/>
                <w:bCs/>
                <w:sz w:val="24"/>
                <w:szCs w:val="24"/>
              </w:rPr>
              <w:t>Maksimali iškrovimo srovė:</w:t>
            </w:r>
            <w:r w:rsidRPr="00CB7781">
              <w:rPr>
                <w:rFonts w:ascii="Times New Roman" w:hAnsi="Times New Roman"/>
                <w:bCs/>
                <w:sz w:val="24"/>
                <w:szCs w:val="24"/>
              </w:rPr>
              <w:tab/>
              <w:t>ne mažesnė kaip 130 A;</w:t>
            </w:r>
          </w:p>
        </w:tc>
        <w:tc>
          <w:tcPr>
            <w:tcW w:w="5103" w:type="dxa"/>
          </w:tcPr>
          <w:p w14:paraId="4C823908" w14:textId="77777777" w:rsidR="001E3334" w:rsidRPr="007D5482" w:rsidRDefault="001E3334" w:rsidP="00CA4EDE">
            <w:pPr>
              <w:jc w:val="both"/>
              <w:rPr>
                <w:rFonts w:ascii="Times New Roman" w:hAnsi="Times New Roman"/>
                <w:sz w:val="24"/>
                <w:szCs w:val="24"/>
              </w:rPr>
            </w:pPr>
          </w:p>
        </w:tc>
      </w:tr>
      <w:tr w:rsidR="00D46A2B" w:rsidRPr="007D5482" w14:paraId="6E6F4140" w14:textId="77777777" w:rsidTr="00C9455A">
        <w:trPr>
          <w:trHeight w:val="324"/>
        </w:trPr>
        <w:tc>
          <w:tcPr>
            <w:tcW w:w="846" w:type="dxa"/>
            <w:noWrap/>
          </w:tcPr>
          <w:p w14:paraId="0153361E" w14:textId="5A13D9A5" w:rsidR="00D46A2B" w:rsidRDefault="00D46A2B" w:rsidP="00CB7781">
            <w:pPr>
              <w:ind w:left="-59"/>
              <w:rPr>
                <w:rFonts w:ascii="Times New Roman" w:hAnsi="Times New Roman"/>
                <w:bCs/>
                <w:sz w:val="24"/>
                <w:szCs w:val="24"/>
              </w:rPr>
            </w:pPr>
            <w:r>
              <w:rPr>
                <w:rFonts w:ascii="Times New Roman" w:hAnsi="Times New Roman"/>
                <w:bCs/>
                <w:sz w:val="24"/>
                <w:szCs w:val="24"/>
              </w:rPr>
              <w:t>2.</w:t>
            </w:r>
            <w:r w:rsidR="00CB7781">
              <w:rPr>
                <w:rFonts w:ascii="Times New Roman" w:hAnsi="Times New Roman"/>
                <w:bCs/>
                <w:sz w:val="24"/>
                <w:szCs w:val="24"/>
              </w:rPr>
              <w:t>8</w:t>
            </w:r>
            <w:r w:rsidR="00B449C1">
              <w:rPr>
                <w:rFonts w:ascii="Times New Roman" w:hAnsi="Times New Roman"/>
                <w:bCs/>
                <w:sz w:val="24"/>
                <w:szCs w:val="24"/>
              </w:rPr>
              <w:t>.</w:t>
            </w:r>
          </w:p>
        </w:tc>
        <w:tc>
          <w:tcPr>
            <w:tcW w:w="9185" w:type="dxa"/>
          </w:tcPr>
          <w:p w14:paraId="4B107BBE" w14:textId="77777777" w:rsidR="00CB7781" w:rsidRPr="00CB7781" w:rsidRDefault="00CB7781" w:rsidP="00CB7781">
            <w:pPr>
              <w:spacing w:after="0" w:line="240" w:lineRule="auto"/>
              <w:jc w:val="both"/>
              <w:rPr>
                <w:rFonts w:ascii="Times New Roman" w:eastAsia="Calibri" w:hAnsi="Times New Roman"/>
                <w:sz w:val="24"/>
                <w:szCs w:val="24"/>
              </w:rPr>
            </w:pPr>
            <w:r w:rsidRPr="00CB7781">
              <w:rPr>
                <w:rFonts w:ascii="Times New Roman" w:eastAsia="Calibri" w:hAnsi="Times New Roman"/>
                <w:sz w:val="24"/>
                <w:szCs w:val="24"/>
              </w:rPr>
              <w:t>Žaliojo pirkimo reikalavimai:</w:t>
            </w:r>
            <w:r w:rsidRPr="00CB7781">
              <w:rPr>
                <w:rFonts w:ascii="Times New Roman" w:eastAsia="Calibri" w:hAnsi="Times New Roman"/>
                <w:sz w:val="24"/>
                <w:szCs w:val="24"/>
              </w:rPr>
              <w:tab/>
              <w:t>projektinis baterijų tarnavimo laikas ne trumpesnis kaip 10 metų; baterijos turi atitikti IEC 61056-1/2:2012, arba EUROBAT, arba IEC/EN 60896-21/22 arba lygiaverčio standarto reikalavimus;</w:t>
            </w:r>
          </w:p>
          <w:p w14:paraId="704FCE0C" w14:textId="526801DD" w:rsidR="00D46A2B" w:rsidRPr="005B11D5" w:rsidRDefault="00CB7781" w:rsidP="00CB7781">
            <w:pPr>
              <w:spacing w:after="0" w:line="240" w:lineRule="auto"/>
              <w:jc w:val="both"/>
              <w:rPr>
                <w:rFonts w:ascii="Times New Roman" w:eastAsia="Calibri" w:hAnsi="Times New Roman"/>
                <w:sz w:val="24"/>
                <w:szCs w:val="24"/>
              </w:rPr>
            </w:pPr>
            <w:r w:rsidRPr="00CB7781">
              <w:rPr>
                <w:rFonts w:ascii="Times New Roman" w:eastAsia="Calibri" w:hAnsi="Times New Roman"/>
                <w:sz w:val="24"/>
                <w:szCs w:val="24"/>
              </w:rPr>
              <w:t>tiekėjas turi pateikti atitiktį reikalavimams įrodančius dokumentus: gamintojo atitikties deklaracijos kopiją ar nuorodą į gamintojo puslapį.</w:t>
            </w:r>
          </w:p>
        </w:tc>
        <w:tc>
          <w:tcPr>
            <w:tcW w:w="5103" w:type="dxa"/>
          </w:tcPr>
          <w:p w14:paraId="40A0A88F" w14:textId="77777777" w:rsidR="00D46A2B" w:rsidRPr="007D5482" w:rsidRDefault="00D46A2B" w:rsidP="00D46A2B">
            <w:pPr>
              <w:jc w:val="both"/>
              <w:rPr>
                <w:rFonts w:ascii="Times New Roman" w:hAnsi="Times New Roman"/>
                <w:iCs/>
                <w:sz w:val="24"/>
                <w:szCs w:val="24"/>
              </w:rPr>
            </w:pPr>
          </w:p>
        </w:tc>
      </w:tr>
      <w:tr w:rsidR="00D46A2B" w:rsidRPr="007D5482" w14:paraId="786A6CEF" w14:textId="77777777" w:rsidTr="00C9455A">
        <w:trPr>
          <w:trHeight w:val="324"/>
        </w:trPr>
        <w:tc>
          <w:tcPr>
            <w:tcW w:w="846" w:type="dxa"/>
            <w:noWrap/>
          </w:tcPr>
          <w:p w14:paraId="31F82C06" w14:textId="07C12C66" w:rsidR="00D46A2B" w:rsidRDefault="00FD7690" w:rsidP="00CB7781">
            <w:pPr>
              <w:ind w:left="-59"/>
              <w:rPr>
                <w:rFonts w:ascii="Times New Roman" w:hAnsi="Times New Roman"/>
                <w:bCs/>
                <w:sz w:val="24"/>
                <w:szCs w:val="24"/>
              </w:rPr>
            </w:pPr>
            <w:r>
              <w:rPr>
                <w:rFonts w:ascii="Times New Roman" w:hAnsi="Times New Roman"/>
                <w:bCs/>
                <w:sz w:val="24"/>
                <w:szCs w:val="24"/>
              </w:rPr>
              <w:t>2.</w:t>
            </w:r>
            <w:r w:rsidR="00CB7781">
              <w:rPr>
                <w:rFonts w:ascii="Times New Roman" w:hAnsi="Times New Roman"/>
                <w:bCs/>
                <w:sz w:val="24"/>
                <w:szCs w:val="24"/>
              </w:rPr>
              <w:t>9</w:t>
            </w:r>
            <w:r w:rsidR="00B449C1">
              <w:rPr>
                <w:rFonts w:ascii="Times New Roman" w:hAnsi="Times New Roman"/>
                <w:bCs/>
                <w:sz w:val="24"/>
                <w:szCs w:val="24"/>
              </w:rPr>
              <w:t>.</w:t>
            </w:r>
          </w:p>
        </w:tc>
        <w:tc>
          <w:tcPr>
            <w:tcW w:w="9185" w:type="dxa"/>
          </w:tcPr>
          <w:p w14:paraId="18BDB880" w14:textId="4C9304EF" w:rsidR="00D46A2B" w:rsidRPr="005B11D5" w:rsidRDefault="00CB7781" w:rsidP="0097139B">
            <w:pPr>
              <w:spacing w:after="0" w:line="240" w:lineRule="auto"/>
              <w:jc w:val="both"/>
              <w:rPr>
                <w:rFonts w:ascii="Times New Roman" w:eastAsia="Calibri" w:hAnsi="Times New Roman"/>
                <w:sz w:val="24"/>
                <w:szCs w:val="24"/>
              </w:rPr>
            </w:pPr>
            <w:r w:rsidRPr="00CB7781">
              <w:rPr>
                <w:rFonts w:ascii="Times New Roman" w:eastAsia="Calibri" w:hAnsi="Times New Roman"/>
                <w:sz w:val="24"/>
                <w:szCs w:val="24"/>
              </w:rPr>
              <w:t xml:space="preserve">Garantijos trukmė: </w:t>
            </w:r>
            <w:r w:rsidRPr="00CB7781">
              <w:rPr>
                <w:rFonts w:ascii="Times New Roman" w:eastAsia="Calibri" w:hAnsi="Times New Roman"/>
                <w:sz w:val="24"/>
                <w:szCs w:val="24"/>
              </w:rPr>
              <w:tab/>
              <w:t>ne mažiau 24 mėn.;</w:t>
            </w:r>
          </w:p>
        </w:tc>
        <w:tc>
          <w:tcPr>
            <w:tcW w:w="5103" w:type="dxa"/>
          </w:tcPr>
          <w:p w14:paraId="415BC391" w14:textId="77777777" w:rsidR="00D46A2B" w:rsidRPr="007D5482" w:rsidRDefault="00D46A2B" w:rsidP="00D46A2B">
            <w:pPr>
              <w:jc w:val="both"/>
              <w:rPr>
                <w:rFonts w:ascii="Times New Roman" w:hAnsi="Times New Roman"/>
                <w:iCs/>
                <w:sz w:val="24"/>
                <w:szCs w:val="24"/>
              </w:rPr>
            </w:pPr>
          </w:p>
        </w:tc>
      </w:tr>
      <w:tr w:rsidR="0097139B" w:rsidRPr="007D5482" w14:paraId="472A51BD" w14:textId="77777777" w:rsidTr="00C9455A">
        <w:trPr>
          <w:trHeight w:val="324"/>
        </w:trPr>
        <w:tc>
          <w:tcPr>
            <w:tcW w:w="846" w:type="dxa"/>
            <w:noWrap/>
          </w:tcPr>
          <w:p w14:paraId="0B56FB6B" w14:textId="22209EFF" w:rsidR="0097139B" w:rsidRDefault="0097139B" w:rsidP="00CB7781">
            <w:pPr>
              <w:ind w:left="-59"/>
              <w:rPr>
                <w:rFonts w:ascii="Times New Roman" w:hAnsi="Times New Roman"/>
                <w:bCs/>
                <w:sz w:val="24"/>
                <w:szCs w:val="24"/>
              </w:rPr>
            </w:pPr>
            <w:r>
              <w:rPr>
                <w:rFonts w:ascii="Times New Roman" w:hAnsi="Times New Roman"/>
                <w:bCs/>
                <w:sz w:val="24"/>
                <w:szCs w:val="24"/>
              </w:rPr>
              <w:t>2.</w:t>
            </w:r>
            <w:r w:rsidR="00CB7781">
              <w:rPr>
                <w:rFonts w:ascii="Times New Roman" w:hAnsi="Times New Roman"/>
                <w:bCs/>
                <w:sz w:val="24"/>
                <w:szCs w:val="24"/>
              </w:rPr>
              <w:t>10</w:t>
            </w:r>
            <w:r>
              <w:rPr>
                <w:rFonts w:ascii="Times New Roman" w:hAnsi="Times New Roman"/>
                <w:bCs/>
                <w:sz w:val="24"/>
                <w:szCs w:val="24"/>
              </w:rPr>
              <w:t>.</w:t>
            </w:r>
          </w:p>
        </w:tc>
        <w:tc>
          <w:tcPr>
            <w:tcW w:w="9185" w:type="dxa"/>
          </w:tcPr>
          <w:p w14:paraId="22F7EAAD" w14:textId="067D9005" w:rsidR="0097139B" w:rsidRPr="005B11D5" w:rsidRDefault="00CB7781" w:rsidP="00D46A2B">
            <w:pPr>
              <w:spacing w:after="0" w:line="240" w:lineRule="auto"/>
              <w:jc w:val="both"/>
              <w:rPr>
                <w:rFonts w:ascii="Times New Roman" w:eastAsia="Calibri" w:hAnsi="Times New Roman"/>
                <w:sz w:val="24"/>
                <w:szCs w:val="24"/>
              </w:rPr>
            </w:pPr>
            <w:r w:rsidRPr="00CB7781">
              <w:rPr>
                <w:rFonts w:ascii="Times New Roman" w:eastAsia="Calibri" w:hAnsi="Times New Roman"/>
                <w:sz w:val="24"/>
                <w:szCs w:val="24"/>
              </w:rPr>
              <w:t>Darbo temperatūra (įkrovimas ir iškrovimas):</w:t>
            </w:r>
            <w:r w:rsidRPr="00CB7781">
              <w:rPr>
                <w:rFonts w:ascii="Times New Roman" w:eastAsia="Calibri" w:hAnsi="Times New Roman"/>
                <w:sz w:val="24"/>
                <w:szCs w:val="24"/>
              </w:rPr>
              <w:tab/>
              <w:t xml:space="preserve">ne mažesniame intervale kaip nuo -15 </w:t>
            </w:r>
            <w:r w:rsidRPr="00CB7781">
              <w:rPr>
                <w:rFonts w:ascii="Times New Roman" w:eastAsia="Calibri" w:hAnsi="Times New Roman"/>
                <w:sz w:val="24"/>
                <w:szCs w:val="24"/>
              </w:rPr>
              <w:t xml:space="preserve">C iki +50 </w:t>
            </w:r>
            <w:r w:rsidRPr="00CB7781">
              <w:rPr>
                <w:rFonts w:ascii="Times New Roman" w:eastAsia="Calibri" w:hAnsi="Times New Roman"/>
                <w:sz w:val="24"/>
                <w:szCs w:val="24"/>
              </w:rPr>
              <w:t>C;</w:t>
            </w:r>
          </w:p>
        </w:tc>
        <w:tc>
          <w:tcPr>
            <w:tcW w:w="5103" w:type="dxa"/>
          </w:tcPr>
          <w:p w14:paraId="1BF2A82C" w14:textId="77777777" w:rsidR="0097139B" w:rsidRPr="007D5482" w:rsidRDefault="0097139B" w:rsidP="00D46A2B">
            <w:pPr>
              <w:jc w:val="both"/>
              <w:rPr>
                <w:rFonts w:ascii="Times New Roman" w:hAnsi="Times New Roman"/>
                <w:iCs/>
                <w:sz w:val="24"/>
                <w:szCs w:val="24"/>
              </w:rPr>
            </w:pPr>
          </w:p>
        </w:tc>
      </w:tr>
      <w:tr w:rsidR="0097139B" w:rsidRPr="007D5482" w14:paraId="22C1E6DB" w14:textId="77777777" w:rsidTr="00C9455A">
        <w:trPr>
          <w:trHeight w:val="324"/>
        </w:trPr>
        <w:tc>
          <w:tcPr>
            <w:tcW w:w="846" w:type="dxa"/>
            <w:noWrap/>
          </w:tcPr>
          <w:p w14:paraId="62C3928C" w14:textId="705C09AB" w:rsidR="0097139B" w:rsidRDefault="00CB7781" w:rsidP="00B449C1">
            <w:pPr>
              <w:ind w:left="-59"/>
              <w:rPr>
                <w:rFonts w:ascii="Times New Roman" w:hAnsi="Times New Roman"/>
                <w:bCs/>
                <w:sz w:val="24"/>
                <w:szCs w:val="24"/>
              </w:rPr>
            </w:pPr>
            <w:r>
              <w:rPr>
                <w:rFonts w:ascii="Times New Roman" w:hAnsi="Times New Roman"/>
                <w:bCs/>
                <w:sz w:val="24"/>
                <w:szCs w:val="24"/>
              </w:rPr>
              <w:t>2.11</w:t>
            </w:r>
            <w:r w:rsidR="0097139B">
              <w:rPr>
                <w:rFonts w:ascii="Times New Roman" w:hAnsi="Times New Roman"/>
                <w:bCs/>
                <w:sz w:val="24"/>
                <w:szCs w:val="24"/>
              </w:rPr>
              <w:t>.</w:t>
            </w:r>
          </w:p>
        </w:tc>
        <w:tc>
          <w:tcPr>
            <w:tcW w:w="9185" w:type="dxa"/>
          </w:tcPr>
          <w:p w14:paraId="03D9DE67" w14:textId="20F82BF2" w:rsidR="0097139B" w:rsidRPr="005B11D5" w:rsidRDefault="00CB7781" w:rsidP="00D46A2B">
            <w:pPr>
              <w:spacing w:after="0" w:line="240" w:lineRule="auto"/>
              <w:jc w:val="both"/>
              <w:rPr>
                <w:rFonts w:ascii="Times New Roman" w:eastAsia="Calibri" w:hAnsi="Times New Roman"/>
                <w:sz w:val="24"/>
                <w:szCs w:val="24"/>
              </w:rPr>
            </w:pPr>
            <w:r w:rsidRPr="00CB7781">
              <w:rPr>
                <w:rFonts w:ascii="Times New Roman" w:eastAsia="Calibri" w:hAnsi="Times New Roman"/>
                <w:sz w:val="24"/>
                <w:szCs w:val="24"/>
              </w:rPr>
              <w:t>Sandėliavimo temperatūra:</w:t>
            </w:r>
            <w:r w:rsidRPr="00CB7781">
              <w:rPr>
                <w:rFonts w:ascii="Times New Roman" w:eastAsia="Calibri" w:hAnsi="Times New Roman"/>
                <w:sz w:val="24"/>
                <w:szCs w:val="24"/>
              </w:rPr>
              <w:tab/>
              <w:t xml:space="preserve">ne mažesniame intervale kaip nuo -15 </w:t>
            </w:r>
            <w:r w:rsidRPr="00CB7781">
              <w:rPr>
                <w:rFonts w:ascii="Times New Roman" w:eastAsia="Calibri" w:hAnsi="Times New Roman"/>
                <w:sz w:val="24"/>
                <w:szCs w:val="24"/>
              </w:rPr>
              <w:t xml:space="preserve">C iki +40 </w:t>
            </w:r>
            <w:r w:rsidRPr="00CB7781">
              <w:rPr>
                <w:rFonts w:ascii="Times New Roman" w:eastAsia="Calibri" w:hAnsi="Times New Roman"/>
                <w:sz w:val="24"/>
                <w:szCs w:val="24"/>
              </w:rPr>
              <w:t>C;</w:t>
            </w:r>
          </w:p>
        </w:tc>
        <w:tc>
          <w:tcPr>
            <w:tcW w:w="5103" w:type="dxa"/>
          </w:tcPr>
          <w:p w14:paraId="5835CB37" w14:textId="77777777" w:rsidR="0097139B" w:rsidRPr="007D5482" w:rsidRDefault="0097139B" w:rsidP="00D46A2B">
            <w:pPr>
              <w:jc w:val="both"/>
              <w:rPr>
                <w:rFonts w:ascii="Times New Roman" w:hAnsi="Times New Roman"/>
                <w:iCs/>
                <w:sz w:val="24"/>
                <w:szCs w:val="24"/>
              </w:rPr>
            </w:pPr>
          </w:p>
        </w:tc>
      </w:tr>
      <w:tr w:rsidR="0097139B" w:rsidRPr="007D5482" w14:paraId="41F73A29" w14:textId="77777777" w:rsidTr="00C9455A">
        <w:trPr>
          <w:trHeight w:val="324"/>
        </w:trPr>
        <w:tc>
          <w:tcPr>
            <w:tcW w:w="846" w:type="dxa"/>
            <w:noWrap/>
          </w:tcPr>
          <w:p w14:paraId="630D0002" w14:textId="1619EF48" w:rsidR="0097139B" w:rsidRDefault="0097139B" w:rsidP="00CB7781">
            <w:pPr>
              <w:ind w:left="-59"/>
              <w:rPr>
                <w:rFonts w:ascii="Times New Roman" w:hAnsi="Times New Roman"/>
                <w:bCs/>
                <w:sz w:val="24"/>
                <w:szCs w:val="24"/>
              </w:rPr>
            </w:pPr>
            <w:r>
              <w:rPr>
                <w:rFonts w:ascii="Times New Roman" w:hAnsi="Times New Roman"/>
                <w:bCs/>
                <w:sz w:val="24"/>
                <w:szCs w:val="24"/>
              </w:rPr>
              <w:t>2.</w:t>
            </w:r>
            <w:r w:rsidR="00CB7781">
              <w:rPr>
                <w:rFonts w:ascii="Times New Roman" w:hAnsi="Times New Roman"/>
                <w:bCs/>
                <w:sz w:val="24"/>
                <w:szCs w:val="24"/>
              </w:rPr>
              <w:t>12</w:t>
            </w:r>
            <w:r>
              <w:rPr>
                <w:rFonts w:ascii="Times New Roman" w:hAnsi="Times New Roman"/>
                <w:bCs/>
                <w:sz w:val="24"/>
                <w:szCs w:val="24"/>
              </w:rPr>
              <w:t>.</w:t>
            </w:r>
          </w:p>
        </w:tc>
        <w:tc>
          <w:tcPr>
            <w:tcW w:w="9185" w:type="dxa"/>
          </w:tcPr>
          <w:p w14:paraId="04C62645" w14:textId="502BD063" w:rsidR="0097139B" w:rsidRPr="005B11D5" w:rsidRDefault="00CB7781" w:rsidP="00D46A2B">
            <w:pPr>
              <w:spacing w:after="0" w:line="240" w:lineRule="auto"/>
              <w:jc w:val="both"/>
              <w:rPr>
                <w:rFonts w:ascii="Times New Roman" w:eastAsia="Calibri" w:hAnsi="Times New Roman"/>
                <w:sz w:val="24"/>
                <w:szCs w:val="24"/>
              </w:rPr>
            </w:pPr>
            <w:r w:rsidRPr="00CB7781">
              <w:rPr>
                <w:rFonts w:ascii="Times New Roman" w:eastAsia="Calibri" w:hAnsi="Times New Roman"/>
                <w:sz w:val="24"/>
                <w:szCs w:val="24"/>
              </w:rPr>
              <w:t>Matmenys:</w:t>
            </w:r>
            <w:r w:rsidRPr="00CB7781">
              <w:rPr>
                <w:rFonts w:ascii="Times New Roman" w:eastAsia="Calibri" w:hAnsi="Times New Roman"/>
                <w:sz w:val="24"/>
                <w:szCs w:val="24"/>
              </w:rPr>
              <w:tab/>
              <w:t>ilgis: 151 ± 1 mm, plotis: 65 ± 1 mm, aukštis: 94 ± 1 mm (be jungčių);</w:t>
            </w:r>
          </w:p>
        </w:tc>
        <w:tc>
          <w:tcPr>
            <w:tcW w:w="5103" w:type="dxa"/>
          </w:tcPr>
          <w:p w14:paraId="40B6DADD" w14:textId="77777777" w:rsidR="0097139B" w:rsidRPr="007D5482" w:rsidRDefault="0097139B" w:rsidP="00D46A2B">
            <w:pPr>
              <w:jc w:val="both"/>
              <w:rPr>
                <w:rFonts w:ascii="Times New Roman" w:hAnsi="Times New Roman"/>
                <w:iCs/>
                <w:sz w:val="24"/>
                <w:szCs w:val="24"/>
              </w:rPr>
            </w:pPr>
          </w:p>
        </w:tc>
      </w:tr>
      <w:tr w:rsidR="0097139B" w:rsidRPr="007D5482" w14:paraId="4F3C9B52" w14:textId="77777777" w:rsidTr="00C9455A">
        <w:trPr>
          <w:trHeight w:val="324"/>
        </w:trPr>
        <w:tc>
          <w:tcPr>
            <w:tcW w:w="846" w:type="dxa"/>
            <w:noWrap/>
          </w:tcPr>
          <w:p w14:paraId="763ECF98" w14:textId="0A8F5A7F" w:rsidR="0097139B" w:rsidRDefault="0097139B" w:rsidP="00CB7781">
            <w:pPr>
              <w:ind w:left="-59"/>
              <w:rPr>
                <w:rFonts w:ascii="Times New Roman" w:hAnsi="Times New Roman"/>
                <w:bCs/>
                <w:sz w:val="24"/>
                <w:szCs w:val="24"/>
              </w:rPr>
            </w:pPr>
            <w:r>
              <w:rPr>
                <w:rFonts w:ascii="Times New Roman" w:hAnsi="Times New Roman"/>
                <w:bCs/>
                <w:sz w:val="24"/>
                <w:szCs w:val="24"/>
              </w:rPr>
              <w:t>2.</w:t>
            </w:r>
            <w:r w:rsidR="00CB7781">
              <w:rPr>
                <w:rFonts w:ascii="Times New Roman" w:hAnsi="Times New Roman"/>
                <w:bCs/>
                <w:sz w:val="24"/>
                <w:szCs w:val="24"/>
              </w:rPr>
              <w:t>13</w:t>
            </w:r>
            <w:r>
              <w:rPr>
                <w:rFonts w:ascii="Times New Roman" w:hAnsi="Times New Roman"/>
                <w:bCs/>
                <w:sz w:val="24"/>
                <w:szCs w:val="24"/>
              </w:rPr>
              <w:t>.</w:t>
            </w:r>
          </w:p>
        </w:tc>
        <w:tc>
          <w:tcPr>
            <w:tcW w:w="9185" w:type="dxa"/>
          </w:tcPr>
          <w:p w14:paraId="62AEFA92" w14:textId="559BC692" w:rsidR="0097139B" w:rsidRPr="005B11D5" w:rsidRDefault="00CB7781" w:rsidP="00D46A2B">
            <w:pPr>
              <w:spacing w:after="0" w:line="240" w:lineRule="auto"/>
              <w:jc w:val="both"/>
              <w:rPr>
                <w:rFonts w:ascii="Times New Roman" w:eastAsia="Calibri" w:hAnsi="Times New Roman"/>
                <w:sz w:val="24"/>
                <w:szCs w:val="24"/>
              </w:rPr>
            </w:pPr>
            <w:r w:rsidRPr="00CB7781">
              <w:rPr>
                <w:rFonts w:ascii="Times New Roman" w:eastAsia="Calibri" w:hAnsi="Times New Roman"/>
                <w:sz w:val="24"/>
                <w:szCs w:val="24"/>
              </w:rPr>
              <w:t>Jungčių tipas:</w:t>
            </w:r>
            <w:r w:rsidRPr="00CB7781">
              <w:rPr>
                <w:rFonts w:ascii="Times New Roman" w:eastAsia="Calibri" w:hAnsi="Times New Roman"/>
                <w:sz w:val="24"/>
                <w:szCs w:val="24"/>
              </w:rPr>
              <w:tab/>
              <w:t xml:space="preserve">F2 </w:t>
            </w:r>
            <w:proofErr w:type="spellStart"/>
            <w:r w:rsidRPr="00CB7781">
              <w:rPr>
                <w:rFonts w:ascii="Times New Roman" w:eastAsia="Calibri" w:hAnsi="Times New Roman"/>
                <w:sz w:val="24"/>
                <w:szCs w:val="24"/>
              </w:rPr>
              <w:t>Faston</w:t>
            </w:r>
            <w:proofErr w:type="spellEnd"/>
            <w:r w:rsidRPr="00CB7781">
              <w:rPr>
                <w:rFonts w:ascii="Times New Roman" w:eastAsia="Calibri" w:hAnsi="Times New Roman"/>
                <w:sz w:val="24"/>
                <w:szCs w:val="24"/>
              </w:rPr>
              <w:t xml:space="preserve"> </w:t>
            </w:r>
            <w:proofErr w:type="spellStart"/>
            <w:r w:rsidRPr="00CB7781">
              <w:rPr>
                <w:rFonts w:ascii="Times New Roman" w:eastAsia="Calibri" w:hAnsi="Times New Roman"/>
                <w:sz w:val="24"/>
                <w:szCs w:val="24"/>
              </w:rPr>
              <w:t>Tab</w:t>
            </w:r>
            <w:proofErr w:type="spellEnd"/>
            <w:r w:rsidRPr="00CB7781">
              <w:rPr>
                <w:rFonts w:ascii="Times New Roman" w:eastAsia="Calibri" w:hAnsi="Times New Roman"/>
                <w:sz w:val="24"/>
                <w:szCs w:val="24"/>
              </w:rPr>
              <w:t xml:space="preserve"> 250;</w:t>
            </w:r>
          </w:p>
        </w:tc>
        <w:tc>
          <w:tcPr>
            <w:tcW w:w="5103" w:type="dxa"/>
          </w:tcPr>
          <w:p w14:paraId="6DCF92B8" w14:textId="77777777" w:rsidR="0097139B" w:rsidRPr="007D5482" w:rsidRDefault="0097139B" w:rsidP="00D46A2B">
            <w:pPr>
              <w:jc w:val="both"/>
              <w:rPr>
                <w:rFonts w:ascii="Times New Roman" w:hAnsi="Times New Roman"/>
                <w:iCs/>
                <w:sz w:val="24"/>
                <w:szCs w:val="24"/>
              </w:rPr>
            </w:pPr>
          </w:p>
        </w:tc>
      </w:tr>
      <w:tr w:rsidR="0097139B" w:rsidRPr="007D5482" w14:paraId="4F3C282D" w14:textId="77777777" w:rsidTr="00C9455A">
        <w:trPr>
          <w:trHeight w:val="324"/>
        </w:trPr>
        <w:tc>
          <w:tcPr>
            <w:tcW w:w="846" w:type="dxa"/>
            <w:noWrap/>
          </w:tcPr>
          <w:p w14:paraId="7BB7371B" w14:textId="14CA0489" w:rsidR="0097139B" w:rsidRDefault="0097139B" w:rsidP="00CB7781">
            <w:pPr>
              <w:ind w:left="-59"/>
              <w:rPr>
                <w:rFonts w:ascii="Times New Roman" w:hAnsi="Times New Roman"/>
                <w:bCs/>
                <w:sz w:val="24"/>
                <w:szCs w:val="24"/>
              </w:rPr>
            </w:pPr>
            <w:r>
              <w:rPr>
                <w:rFonts w:ascii="Times New Roman" w:hAnsi="Times New Roman"/>
                <w:bCs/>
                <w:sz w:val="24"/>
                <w:szCs w:val="24"/>
              </w:rPr>
              <w:t>2.</w:t>
            </w:r>
            <w:r w:rsidR="00CB7781">
              <w:rPr>
                <w:rFonts w:ascii="Times New Roman" w:hAnsi="Times New Roman"/>
                <w:bCs/>
                <w:sz w:val="24"/>
                <w:szCs w:val="24"/>
              </w:rPr>
              <w:t>14</w:t>
            </w:r>
            <w:r>
              <w:rPr>
                <w:rFonts w:ascii="Times New Roman" w:hAnsi="Times New Roman"/>
                <w:bCs/>
                <w:sz w:val="24"/>
                <w:szCs w:val="24"/>
              </w:rPr>
              <w:t>.</w:t>
            </w:r>
          </w:p>
        </w:tc>
        <w:tc>
          <w:tcPr>
            <w:tcW w:w="9185" w:type="dxa"/>
          </w:tcPr>
          <w:p w14:paraId="3EC9FB66" w14:textId="58355494" w:rsidR="0097139B" w:rsidRPr="005B11D5" w:rsidRDefault="00CB7781" w:rsidP="00D46A2B">
            <w:pPr>
              <w:spacing w:after="0" w:line="240" w:lineRule="auto"/>
              <w:jc w:val="both"/>
              <w:rPr>
                <w:rFonts w:ascii="Times New Roman" w:eastAsia="Calibri" w:hAnsi="Times New Roman"/>
                <w:sz w:val="24"/>
                <w:szCs w:val="24"/>
              </w:rPr>
            </w:pPr>
            <w:r w:rsidRPr="00CB7781">
              <w:rPr>
                <w:rFonts w:ascii="Times New Roman" w:eastAsia="Calibri" w:hAnsi="Times New Roman"/>
                <w:sz w:val="24"/>
                <w:szCs w:val="24"/>
              </w:rPr>
              <w:t>Pristatymo ir išvežimo paslaugos:</w:t>
            </w:r>
            <w:r w:rsidRPr="00CB7781">
              <w:rPr>
                <w:rFonts w:ascii="Times New Roman" w:eastAsia="Calibri" w:hAnsi="Times New Roman"/>
                <w:sz w:val="24"/>
                <w:szCs w:val="24"/>
              </w:rPr>
              <w:tab/>
              <w:t>naujos baterijos turi būti pristatytos iki nepertraukiamų maitinimo šaltinių buvimo vietos – Šilo 5a., Vilnius; išmontuotos senos baterijos turi būti išvežtos;</w:t>
            </w:r>
          </w:p>
        </w:tc>
        <w:tc>
          <w:tcPr>
            <w:tcW w:w="5103" w:type="dxa"/>
          </w:tcPr>
          <w:p w14:paraId="65BE43CE" w14:textId="77777777" w:rsidR="0097139B" w:rsidRPr="007D5482" w:rsidRDefault="0097139B" w:rsidP="00D46A2B">
            <w:pPr>
              <w:jc w:val="both"/>
              <w:rPr>
                <w:rFonts w:ascii="Times New Roman" w:hAnsi="Times New Roman"/>
                <w:iCs/>
                <w:sz w:val="24"/>
                <w:szCs w:val="24"/>
              </w:rPr>
            </w:pPr>
          </w:p>
        </w:tc>
      </w:tr>
      <w:tr w:rsidR="0097139B" w:rsidRPr="007D5482" w14:paraId="527DF019" w14:textId="77777777" w:rsidTr="00C9455A">
        <w:trPr>
          <w:trHeight w:val="324"/>
        </w:trPr>
        <w:tc>
          <w:tcPr>
            <w:tcW w:w="846" w:type="dxa"/>
            <w:noWrap/>
          </w:tcPr>
          <w:p w14:paraId="55600B26" w14:textId="6C01CE7D" w:rsidR="0097139B" w:rsidRDefault="0097139B" w:rsidP="00B449C1">
            <w:pPr>
              <w:ind w:left="-59"/>
              <w:rPr>
                <w:rFonts w:ascii="Times New Roman" w:hAnsi="Times New Roman"/>
                <w:bCs/>
                <w:sz w:val="24"/>
                <w:szCs w:val="24"/>
              </w:rPr>
            </w:pPr>
            <w:r>
              <w:rPr>
                <w:rFonts w:ascii="Times New Roman" w:hAnsi="Times New Roman"/>
                <w:bCs/>
                <w:sz w:val="24"/>
                <w:szCs w:val="24"/>
              </w:rPr>
              <w:t>2.</w:t>
            </w:r>
            <w:r w:rsidR="00CB7781">
              <w:rPr>
                <w:rFonts w:ascii="Times New Roman" w:hAnsi="Times New Roman"/>
                <w:bCs/>
                <w:sz w:val="24"/>
                <w:szCs w:val="24"/>
              </w:rPr>
              <w:t>15.</w:t>
            </w:r>
          </w:p>
        </w:tc>
        <w:tc>
          <w:tcPr>
            <w:tcW w:w="9185" w:type="dxa"/>
          </w:tcPr>
          <w:p w14:paraId="60988FAA" w14:textId="551C8803" w:rsidR="0097139B" w:rsidRPr="005B11D5" w:rsidRDefault="00C632F9" w:rsidP="0097139B">
            <w:pPr>
              <w:spacing w:after="0" w:line="240" w:lineRule="auto"/>
              <w:jc w:val="both"/>
              <w:rPr>
                <w:rFonts w:ascii="Times New Roman" w:eastAsia="Calibri" w:hAnsi="Times New Roman"/>
                <w:sz w:val="24"/>
                <w:szCs w:val="24"/>
              </w:rPr>
            </w:pPr>
            <w:r w:rsidRPr="00C632F9">
              <w:rPr>
                <w:rFonts w:ascii="Times New Roman" w:eastAsia="Calibri" w:hAnsi="Times New Roman"/>
                <w:sz w:val="24"/>
                <w:szCs w:val="24"/>
              </w:rPr>
              <w:t>Baterijų keitimo paslaugos:</w:t>
            </w:r>
            <w:r w:rsidRPr="00C632F9">
              <w:rPr>
                <w:rFonts w:ascii="Times New Roman" w:eastAsia="Calibri" w:hAnsi="Times New Roman"/>
                <w:sz w:val="24"/>
                <w:szCs w:val="24"/>
              </w:rPr>
              <w:tab/>
              <w:t>senos baterijos turi būti išmontuotos ir naujos sumontuotos į esamus nepertraukiamo maitinimo šaltinius;</w:t>
            </w:r>
          </w:p>
        </w:tc>
        <w:tc>
          <w:tcPr>
            <w:tcW w:w="5103" w:type="dxa"/>
          </w:tcPr>
          <w:p w14:paraId="57CC44F3" w14:textId="77777777" w:rsidR="0097139B" w:rsidRPr="007D5482" w:rsidRDefault="0097139B" w:rsidP="00D46A2B">
            <w:pPr>
              <w:jc w:val="both"/>
              <w:rPr>
                <w:rFonts w:ascii="Times New Roman" w:hAnsi="Times New Roman"/>
                <w:iCs/>
                <w:sz w:val="24"/>
                <w:szCs w:val="24"/>
              </w:rPr>
            </w:pPr>
          </w:p>
        </w:tc>
      </w:tr>
      <w:tr w:rsidR="0097139B" w:rsidRPr="007D5482" w14:paraId="58DBD534" w14:textId="77777777" w:rsidTr="00C9455A">
        <w:trPr>
          <w:trHeight w:val="324"/>
        </w:trPr>
        <w:tc>
          <w:tcPr>
            <w:tcW w:w="846" w:type="dxa"/>
            <w:noWrap/>
          </w:tcPr>
          <w:p w14:paraId="204E4FFF" w14:textId="7B593A8B" w:rsidR="0097139B" w:rsidRDefault="00CB7781" w:rsidP="00B449C1">
            <w:pPr>
              <w:ind w:left="-59"/>
              <w:rPr>
                <w:rFonts w:ascii="Times New Roman" w:hAnsi="Times New Roman"/>
                <w:bCs/>
                <w:sz w:val="24"/>
                <w:szCs w:val="24"/>
              </w:rPr>
            </w:pPr>
            <w:r>
              <w:rPr>
                <w:rFonts w:ascii="Times New Roman" w:hAnsi="Times New Roman"/>
                <w:bCs/>
                <w:sz w:val="24"/>
                <w:szCs w:val="24"/>
              </w:rPr>
              <w:t>2.16.</w:t>
            </w:r>
          </w:p>
        </w:tc>
        <w:tc>
          <w:tcPr>
            <w:tcW w:w="9185" w:type="dxa"/>
          </w:tcPr>
          <w:p w14:paraId="775F9ED5" w14:textId="752BE544" w:rsidR="0097139B" w:rsidRPr="005B11D5" w:rsidRDefault="00C632F9" w:rsidP="00D46A2B">
            <w:pPr>
              <w:spacing w:after="0" w:line="240" w:lineRule="auto"/>
              <w:jc w:val="both"/>
              <w:rPr>
                <w:rFonts w:ascii="Times New Roman" w:eastAsia="Calibri" w:hAnsi="Times New Roman"/>
                <w:sz w:val="24"/>
                <w:szCs w:val="24"/>
              </w:rPr>
            </w:pPr>
            <w:r w:rsidRPr="00C632F9">
              <w:rPr>
                <w:rFonts w:ascii="Times New Roman" w:eastAsia="Calibri" w:hAnsi="Times New Roman"/>
                <w:sz w:val="24"/>
                <w:szCs w:val="24"/>
              </w:rPr>
              <w:t>Baterijų kiekis:</w:t>
            </w:r>
            <w:r w:rsidRPr="00C632F9">
              <w:rPr>
                <w:rFonts w:ascii="Times New Roman" w:eastAsia="Calibri" w:hAnsi="Times New Roman"/>
                <w:sz w:val="24"/>
                <w:szCs w:val="24"/>
              </w:rPr>
              <w:tab/>
              <w:t>480 vnt. (240 vnt. 1 (vienam) nepertraukiamo maitinimo šaltiniui).</w:t>
            </w:r>
          </w:p>
        </w:tc>
        <w:tc>
          <w:tcPr>
            <w:tcW w:w="5103" w:type="dxa"/>
          </w:tcPr>
          <w:p w14:paraId="2A5D503C" w14:textId="77777777" w:rsidR="0097139B" w:rsidRPr="007D5482" w:rsidRDefault="0097139B" w:rsidP="00D46A2B">
            <w:pPr>
              <w:jc w:val="both"/>
              <w:rPr>
                <w:rFonts w:ascii="Times New Roman" w:hAnsi="Times New Roman"/>
                <w:iCs/>
                <w:sz w:val="24"/>
                <w:szCs w:val="24"/>
              </w:rPr>
            </w:pPr>
          </w:p>
        </w:tc>
      </w:tr>
    </w:tbl>
    <w:p w14:paraId="769D5559" w14:textId="6DB4AD48" w:rsidR="00F94E01" w:rsidRPr="00F974D2" w:rsidRDefault="005502C7" w:rsidP="00F974D2">
      <w:pPr>
        <w:spacing w:after="160" w:line="259" w:lineRule="auto"/>
        <w:jc w:val="both"/>
        <w:rPr>
          <w:rFonts w:ascii="Times New Roman" w:eastAsia="Times New Roman" w:hAnsi="Times New Roman"/>
          <w:bCs/>
          <w:color w:val="000000"/>
          <w:sz w:val="24"/>
          <w:szCs w:val="24"/>
          <w:lang w:eastAsia="lt-LT"/>
        </w:rPr>
      </w:pPr>
      <w:r w:rsidRPr="00354455">
        <w:rPr>
          <w:rFonts w:ascii="Times New Roman" w:eastAsia="Times New Roman" w:hAnsi="Times New Roman"/>
          <w:bCs/>
          <w:color w:val="000000"/>
          <w:sz w:val="24"/>
          <w:szCs w:val="24"/>
          <w:lang w:eastAsia="lt-LT"/>
        </w:rPr>
        <w:t>* Reikalinga įrašyti tikslų, nedviprasmišką, detalų siūlomos prekės aprašymą dėl kiekvieno techninės specifikacijos punkto. Tiesiog  įrašius „atitinka“, „taip“ ar kitą formuluotę, kuri suteiktų tiekėjui galimybę tiekti nevienodos ar netinkamos komplektacijos prekes, pasiūlymas bus atmestas kaip neatitinkantis pirkimo dokumentų reikalavimų.</w:t>
      </w:r>
    </w:p>
    <w:tbl>
      <w:tblPr>
        <w:tblW w:w="15120" w:type="dxa"/>
        <w:tblInd w:w="250" w:type="dxa"/>
        <w:tblLayout w:type="fixed"/>
        <w:tblLook w:val="0000" w:firstRow="0" w:lastRow="0" w:firstColumn="0" w:lastColumn="0" w:noHBand="0" w:noVBand="0"/>
      </w:tblPr>
      <w:tblGrid>
        <w:gridCol w:w="4111"/>
        <w:gridCol w:w="604"/>
        <w:gridCol w:w="2656"/>
        <w:gridCol w:w="701"/>
        <w:gridCol w:w="6812"/>
        <w:gridCol w:w="236"/>
      </w:tblGrid>
      <w:tr w:rsidR="00F94E01" w:rsidRPr="009E70E8" w14:paraId="61A37520" w14:textId="77777777" w:rsidTr="00EA6AF0">
        <w:trPr>
          <w:trHeight w:val="285"/>
        </w:trPr>
        <w:tc>
          <w:tcPr>
            <w:tcW w:w="4111" w:type="dxa"/>
            <w:tcBorders>
              <w:bottom w:val="single" w:sz="4" w:space="0" w:color="000000"/>
            </w:tcBorders>
            <w:shd w:val="clear" w:color="auto" w:fill="auto"/>
          </w:tcPr>
          <w:p w14:paraId="0CE03956" w14:textId="77777777" w:rsidR="00F94E01" w:rsidRPr="009E70E8" w:rsidRDefault="00F94E01" w:rsidP="00EA6AF0">
            <w:pPr>
              <w:snapToGrid w:val="0"/>
              <w:spacing w:after="100" w:afterAutospacing="1" w:line="240" w:lineRule="auto"/>
              <w:ind w:right="-1"/>
              <w:rPr>
                <w:szCs w:val="20"/>
              </w:rPr>
            </w:pPr>
          </w:p>
        </w:tc>
        <w:tc>
          <w:tcPr>
            <w:tcW w:w="604" w:type="dxa"/>
            <w:shd w:val="clear" w:color="auto" w:fill="auto"/>
          </w:tcPr>
          <w:p w14:paraId="1104516A" w14:textId="77777777" w:rsidR="00F94E01" w:rsidRPr="009E70E8" w:rsidRDefault="00F94E01" w:rsidP="00EA6AF0">
            <w:pPr>
              <w:snapToGrid w:val="0"/>
              <w:spacing w:after="100" w:afterAutospacing="1" w:line="240" w:lineRule="auto"/>
              <w:ind w:right="-1"/>
              <w:jc w:val="center"/>
            </w:pPr>
          </w:p>
        </w:tc>
        <w:tc>
          <w:tcPr>
            <w:tcW w:w="2656" w:type="dxa"/>
            <w:tcBorders>
              <w:bottom w:val="single" w:sz="4" w:space="0" w:color="000000"/>
            </w:tcBorders>
            <w:shd w:val="clear" w:color="auto" w:fill="auto"/>
          </w:tcPr>
          <w:p w14:paraId="6DB419AF" w14:textId="77777777" w:rsidR="00F94E01" w:rsidRPr="009E70E8" w:rsidRDefault="00F94E01" w:rsidP="00EA6AF0">
            <w:pPr>
              <w:snapToGrid w:val="0"/>
              <w:spacing w:after="100" w:afterAutospacing="1" w:line="240" w:lineRule="auto"/>
              <w:ind w:right="-1"/>
              <w:jc w:val="center"/>
            </w:pPr>
          </w:p>
        </w:tc>
        <w:tc>
          <w:tcPr>
            <w:tcW w:w="701" w:type="dxa"/>
            <w:shd w:val="clear" w:color="auto" w:fill="auto"/>
          </w:tcPr>
          <w:p w14:paraId="314A4809" w14:textId="77777777" w:rsidR="00F94E01" w:rsidRPr="009E70E8" w:rsidRDefault="00F94E01" w:rsidP="00EA6AF0">
            <w:pPr>
              <w:snapToGrid w:val="0"/>
              <w:spacing w:after="100" w:afterAutospacing="1" w:line="240" w:lineRule="auto"/>
              <w:ind w:right="-1"/>
              <w:jc w:val="center"/>
            </w:pPr>
          </w:p>
        </w:tc>
        <w:tc>
          <w:tcPr>
            <w:tcW w:w="6812" w:type="dxa"/>
            <w:tcBorders>
              <w:bottom w:val="single" w:sz="4" w:space="0" w:color="000000"/>
            </w:tcBorders>
            <w:shd w:val="clear" w:color="auto" w:fill="auto"/>
          </w:tcPr>
          <w:p w14:paraId="09BA45AF" w14:textId="77777777" w:rsidR="00F94E01" w:rsidRPr="009E70E8" w:rsidRDefault="00F94E01" w:rsidP="00EA6AF0">
            <w:pPr>
              <w:snapToGrid w:val="0"/>
              <w:spacing w:after="100" w:afterAutospacing="1" w:line="240" w:lineRule="auto"/>
              <w:ind w:right="-1"/>
              <w:jc w:val="right"/>
            </w:pPr>
          </w:p>
        </w:tc>
        <w:tc>
          <w:tcPr>
            <w:tcW w:w="236" w:type="dxa"/>
            <w:shd w:val="clear" w:color="auto" w:fill="auto"/>
          </w:tcPr>
          <w:p w14:paraId="4A0FF7D5" w14:textId="77777777" w:rsidR="00F94E01" w:rsidRPr="009E70E8" w:rsidRDefault="00F94E01" w:rsidP="00EA6AF0">
            <w:pPr>
              <w:snapToGrid w:val="0"/>
              <w:spacing w:after="100" w:afterAutospacing="1" w:line="240" w:lineRule="auto"/>
              <w:ind w:right="-1"/>
              <w:jc w:val="right"/>
            </w:pPr>
          </w:p>
        </w:tc>
      </w:tr>
      <w:tr w:rsidR="00F94E01" w:rsidRPr="009E70E8" w14:paraId="7FDB0160" w14:textId="77777777" w:rsidTr="00EA6AF0">
        <w:trPr>
          <w:trHeight w:val="186"/>
        </w:trPr>
        <w:tc>
          <w:tcPr>
            <w:tcW w:w="4111" w:type="dxa"/>
            <w:tcBorders>
              <w:top w:val="single" w:sz="4" w:space="0" w:color="000000"/>
            </w:tcBorders>
            <w:shd w:val="clear" w:color="auto" w:fill="auto"/>
          </w:tcPr>
          <w:p w14:paraId="56D14928" w14:textId="77777777" w:rsidR="00F94E01" w:rsidRPr="009E70E8" w:rsidRDefault="00F94E01" w:rsidP="00EA6AF0">
            <w:pPr>
              <w:pStyle w:val="BodyText1"/>
              <w:spacing w:after="100" w:afterAutospacing="1"/>
              <w:ind w:firstLine="0"/>
              <w:jc w:val="left"/>
              <w:rPr>
                <w:rFonts w:ascii="Times New Roman" w:hAnsi="Times New Roman"/>
                <w:position w:val="6"/>
                <w:sz w:val="24"/>
                <w:szCs w:val="24"/>
                <w:lang w:val="lt-LT"/>
              </w:rPr>
            </w:pPr>
            <w:r w:rsidRPr="009E70E8">
              <w:rPr>
                <w:rFonts w:ascii="Times New Roman" w:hAnsi="Times New Roman"/>
                <w:position w:val="6"/>
                <w:sz w:val="24"/>
                <w:szCs w:val="24"/>
                <w:lang w:val="lt-LT"/>
              </w:rPr>
              <w:t>(Tiekėjo arba jo įgalioto asmens pareigų pavadinimas*)</w:t>
            </w:r>
          </w:p>
        </w:tc>
        <w:tc>
          <w:tcPr>
            <w:tcW w:w="604" w:type="dxa"/>
            <w:shd w:val="clear" w:color="auto" w:fill="auto"/>
          </w:tcPr>
          <w:p w14:paraId="35F05906" w14:textId="77777777" w:rsidR="00F94E01" w:rsidRPr="009E70E8" w:rsidRDefault="00F94E01" w:rsidP="00EA6AF0">
            <w:pPr>
              <w:snapToGrid w:val="0"/>
              <w:spacing w:after="100" w:afterAutospacing="1" w:line="240" w:lineRule="auto"/>
              <w:ind w:right="-1"/>
              <w:jc w:val="center"/>
              <w:rPr>
                <w:szCs w:val="24"/>
              </w:rPr>
            </w:pPr>
          </w:p>
        </w:tc>
        <w:tc>
          <w:tcPr>
            <w:tcW w:w="2656" w:type="dxa"/>
            <w:tcBorders>
              <w:top w:val="single" w:sz="4" w:space="0" w:color="000000"/>
            </w:tcBorders>
            <w:shd w:val="clear" w:color="auto" w:fill="auto"/>
          </w:tcPr>
          <w:p w14:paraId="60941EAF" w14:textId="77777777" w:rsidR="00F94E01" w:rsidRPr="00F94E01" w:rsidRDefault="00F94E01" w:rsidP="00EA6AF0">
            <w:pPr>
              <w:snapToGrid w:val="0"/>
              <w:spacing w:after="100" w:afterAutospacing="1" w:line="240" w:lineRule="auto"/>
              <w:ind w:right="-1"/>
              <w:jc w:val="center"/>
              <w:rPr>
                <w:rFonts w:ascii="Times New Roman" w:hAnsi="Times New Roman"/>
                <w:i/>
                <w:szCs w:val="24"/>
              </w:rPr>
            </w:pPr>
            <w:r w:rsidRPr="00F94E01">
              <w:rPr>
                <w:rFonts w:ascii="Times New Roman" w:hAnsi="Times New Roman"/>
                <w:position w:val="6"/>
                <w:szCs w:val="24"/>
              </w:rPr>
              <w:t>(Parašas*)</w:t>
            </w:r>
            <w:r w:rsidRPr="00F94E01">
              <w:rPr>
                <w:rFonts w:ascii="Times New Roman" w:hAnsi="Times New Roman"/>
                <w:i/>
                <w:szCs w:val="24"/>
              </w:rPr>
              <w:t xml:space="preserve"> </w:t>
            </w:r>
          </w:p>
        </w:tc>
        <w:tc>
          <w:tcPr>
            <w:tcW w:w="701" w:type="dxa"/>
            <w:shd w:val="clear" w:color="auto" w:fill="auto"/>
          </w:tcPr>
          <w:p w14:paraId="2D6A01CF" w14:textId="77777777" w:rsidR="00F94E01" w:rsidRPr="00F94E01" w:rsidRDefault="00F94E01" w:rsidP="00EA6AF0">
            <w:pPr>
              <w:snapToGrid w:val="0"/>
              <w:spacing w:after="100" w:afterAutospacing="1" w:line="240" w:lineRule="auto"/>
              <w:ind w:right="-1"/>
              <w:jc w:val="center"/>
              <w:rPr>
                <w:rFonts w:ascii="Times New Roman" w:hAnsi="Times New Roman"/>
                <w:szCs w:val="24"/>
              </w:rPr>
            </w:pPr>
          </w:p>
        </w:tc>
        <w:tc>
          <w:tcPr>
            <w:tcW w:w="6812" w:type="dxa"/>
            <w:tcBorders>
              <w:top w:val="single" w:sz="4" w:space="0" w:color="000000"/>
            </w:tcBorders>
            <w:shd w:val="clear" w:color="auto" w:fill="auto"/>
          </w:tcPr>
          <w:p w14:paraId="56D41AB2" w14:textId="77777777" w:rsidR="00F94E01" w:rsidRPr="00F94E01" w:rsidRDefault="00F94E01" w:rsidP="00EA6AF0">
            <w:pPr>
              <w:snapToGrid w:val="0"/>
              <w:spacing w:after="100" w:afterAutospacing="1" w:line="240" w:lineRule="auto"/>
              <w:ind w:right="-1"/>
              <w:jc w:val="center"/>
              <w:rPr>
                <w:rFonts w:ascii="Times New Roman" w:hAnsi="Times New Roman"/>
                <w:i/>
                <w:szCs w:val="24"/>
              </w:rPr>
            </w:pPr>
            <w:r w:rsidRPr="00F94E01">
              <w:rPr>
                <w:rFonts w:ascii="Times New Roman" w:hAnsi="Times New Roman"/>
                <w:position w:val="6"/>
                <w:szCs w:val="24"/>
              </w:rPr>
              <w:t>(Vardas ir pavardė*)</w:t>
            </w:r>
          </w:p>
        </w:tc>
        <w:tc>
          <w:tcPr>
            <w:tcW w:w="236" w:type="dxa"/>
            <w:shd w:val="clear" w:color="auto" w:fill="auto"/>
          </w:tcPr>
          <w:p w14:paraId="2210F6DB" w14:textId="77777777" w:rsidR="00F94E01" w:rsidRPr="009E70E8" w:rsidRDefault="00F94E01" w:rsidP="00EA6AF0">
            <w:pPr>
              <w:snapToGrid w:val="0"/>
              <w:spacing w:after="100" w:afterAutospacing="1" w:line="240" w:lineRule="auto"/>
              <w:ind w:right="-1"/>
              <w:jc w:val="center"/>
            </w:pPr>
          </w:p>
        </w:tc>
      </w:tr>
    </w:tbl>
    <w:p w14:paraId="7887D837" w14:textId="15FE86E1" w:rsidR="00960231" w:rsidRPr="00F974D2" w:rsidRDefault="00960231" w:rsidP="00850D61">
      <w:pPr>
        <w:spacing w:after="0" w:line="240" w:lineRule="auto"/>
        <w:jc w:val="both"/>
        <w:rPr>
          <w:rFonts w:ascii="Times New Roman" w:hAnsi="Times New Roman"/>
          <w:b/>
          <w:sz w:val="24"/>
          <w:szCs w:val="24"/>
        </w:rPr>
      </w:pPr>
      <w:bookmarkStart w:id="2" w:name="_GoBack"/>
      <w:bookmarkEnd w:id="2"/>
    </w:p>
    <w:sectPr w:rsidR="00960231" w:rsidRPr="00F974D2" w:rsidSect="001E0C0B">
      <w:pgSz w:w="16838" w:h="11906" w:orient="landscape"/>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6F9C4" w14:textId="77777777" w:rsidR="00627A7A" w:rsidRDefault="00627A7A" w:rsidP="00A6403F">
      <w:pPr>
        <w:spacing w:after="0" w:line="240" w:lineRule="auto"/>
      </w:pPr>
      <w:r>
        <w:separator/>
      </w:r>
    </w:p>
  </w:endnote>
  <w:endnote w:type="continuationSeparator" w:id="0">
    <w:p w14:paraId="49BD1011" w14:textId="77777777" w:rsidR="00627A7A" w:rsidRDefault="00627A7A" w:rsidP="00A64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D18E8" w14:textId="77777777" w:rsidR="00627A7A" w:rsidRDefault="00627A7A" w:rsidP="00A6403F">
      <w:pPr>
        <w:spacing w:after="0" w:line="240" w:lineRule="auto"/>
      </w:pPr>
      <w:r>
        <w:separator/>
      </w:r>
    </w:p>
  </w:footnote>
  <w:footnote w:type="continuationSeparator" w:id="0">
    <w:p w14:paraId="2DC55180" w14:textId="77777777" w:rsidR="00627A7A" w:rsidRDefault="00627A7A" w:rsidP="00A640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882"/>
    <w:multiLevelType w:val="hybridMultilevel"/>
    <w:tmpl w:val="A90490CE"/>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3186B62"/>
    <w:multiLevelType w:val="hybridMultilevel"/>
    <w:tmpl w:val="25408530"/>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04223E82"/>
    <w:multiLevelType w:val="hybridMultilevel"/>
    <w:tmpl w:val="7DA6EE68"/>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DC32772"/>
    <w:multiLevelType w:val="hybridMultilevel"/>
    <w:tmpl w:val="E0022938"/>
    <w:lvl w:ilvl="0" w:tplc="0427000F">
      <w:start w:val="1"/>
      <w:numFmt w:val="decimal"/>
      <w:lvlText w:val="%1."/>
      <w:lvlJc w:val="left"/>
      <w:pPr>
        <w:ind w:left="1656" w:hanging="360"/>
      </w:p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1C355998"/>
    <w:multiLevelType w:val="hybridMultilevel"/>
    <w:tmpl w:val="E84091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209412E6"/>
    <w:multiLevelType w:val="hybridMultilevel"/>
    <w:tmpl w:val="21065FC6"/>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22815479"/>
    <w:multiLevelType w:val="hybridMultilevel"/>
    <w:tmpl w:val="8E4C9BF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23EA10AC"/>
    <w:multiLevelType w:val="hybridMultilevel"/>
    <w:tmpl w:val="D362EA94"/>
    <w:lvl w:ilvl="0" w:tplc="0427000F">
      <w:start w:val="1"/>
      <w:numFmt w:val="decimal"/>
      <w:lvlText w:val="%1."/>
      <w:lvlJc w:val="left"/>
      <w:pPr>
        <w:tabs>
          <w:tab w:val="num" w:pos="1429"/>
        </w:tabs>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276A3E11"/>
    <w:multiLevelType w:val="hybridMultilevel"/>
    <w:tmpl w:val="577CCA66"/>
    <w:lvl w:ilvl="0" w:tplc="0427000F">
      <w:start w:val="1"/>
      <w:numFmt w:val="decimal"/>
      <w:lvlText w:val="%1."/>
      <w:lvlJc w:val="left"/>
      <w:pPr>
        <w:tabs>
          <w:tab w:val="num" w:pos="1429"/>
        </w:tabs>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296F4544"/>
    <w:multiLevelType w:val="hybridMultilevel"/>
    <w:tmpl w:val="84121F16"/>
    <w:lvl w:ilvl="0" w:tplc="0427000F">
      <w:start w:val="1"/>
      <w:numFmt w:val="decimal"/>
      <w:lvlText w:val="%1."/>
      <w:lvlJc w:val="left"/>
      <w:pPr>
        <w:tabs>
          <w:tab w:val="num" w:pos="720"/>
        </w:tabs>
        <w:ind w:left="720" w:hanging="360"/>
      </w:pPr>
      <w:rPr>
        <w:rFonts w:ascii="Times New Roman" w:hAnsi="Times New Roman" w:cs="Times New Roman"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ACE5FC1"/>
    <w:multiLevelType w:val="hybridMultilevel"/>
    <w:tmpl w:val="8BD85A60"/>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33CD7DA9"/>
    <w:multiLevelType w:val="multilevel"/>
    <w:tmpl w:val="1694B48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B94830"/>
    <w:multiLevelType w:val="hybridMultilevel"/>
    <w:tmpl w:val="E08CFFD0"/>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39F52E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3C2F78"/>
    <w:multiLevelType w:val="multilevel"/>
    <w:tmpl w:val="AD0A06DA"/>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0861CE9"/>
    <w:multiLevelType w:val="hybridMultilevel"/>
    <w:tmpl w:val="84E275C8"/>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44DD14E8"/>
    <w:multiLevelType w:val="hybridMultilevel"/>
    <w:tmpl w:val="272E81B0"/>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54BD1305"/>
    <w:multiLevelType w:val="hybridMultilevel"/>
    <w:tmpl w:val="D6C2748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552253F0"/>
    <w:multiLevelType w:val="hybridMultilevel"/>
    <w:tmpl w:val="8BD85A60"/>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5EBD3B6D"/>
    <w:multiLevelType w:val="hybridMultilevel"/>
    <w:tmpl w:val="1B9CA6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5B80C47"/>
    <w:multiLevelType w:val="hybridMultilevel"/>
    <w:tmpl w:val="75444C86"/>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69E70046"/>
    <w:multiLevelType w:val="hybridMultilevel"/>
    <w:tmpl w:val="DB92F6C2"/>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73654257"/>
    <w:multiLevelType w:val="multilevel"/>
    <w:tmpl w:val="BB1E0D0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830677"/>
    <w:multiLevelType w:val="hybridMultilevel"/>
    <w:tmpl w:val="CEFAFE08"/>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74FC3EFE"/>
    <w:multiLevelType w:val="hybridMultilevel"/>
    <w:tmpl w:val="70340150"/>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5" w15:restartNumberingAfterBreak="0">
    <w:nsid w:val="7744399E"/>
    <w:multiLevelType w:val="hybridMultilevel"/>
    <w:tmpl w:val="BEDC7EEE"/>
    <w:lvl w:ilvl="0" w:tplc="CCE0489A">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AB64D1"/>
    <w:multiLevelType w:val="hybridMultilevel"/>
    <w:tmpl w:val="87182516"/>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7" w15:restartNumberingAfterBreak="0">
    <w:nsid w:val="7D544CA2"/>
    <w:multiLevelType w:val="hybridMultilevel"/>
    <w:tmpl w:val="E250CC62"/>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8" w15:restartNumberingAfterBreak="0">
    <w:nsid w:val="7DB02292"/>
    <w:multiLevelType w:val="hybridMultilevel"/>
    <w:tmpl w:val="C848F61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7"/>
  </w:num>
  <w:num w:numId="2">
    <w:abstractNumId w:val="21"/>
  </w:num>
  <w:num w:numId="3">
    <w:abstractNumId w:val="28"/>
  </w:num>
  <w:num w:numId="4">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9"/>
  </w:num>
  <w:num w:numId="8">
    <w:abstractNumId w:val="7"/>
  </w:num>
  <w:num w:numId="9">
    <w:abstractNumId w:val="8"/>
  </w:num>
  <w:num w:numId="10">
    <w:abstractNumId w:val="12"/>
  </w:num>
  <w:num w:numId="11">
    <w:abstractNumId w:val="10"/>
  </w:num>
  <w:num w:numId="12">
    <w:abstractNumId w:val="18"/>
  </w:num>
  <w:num w:numId="13">
    <w:abstractNumId w:val="23"/>
  </w:num>
  <w:num w:numId="14">
    <w:abstractNumId w:val="5"/>
  </w:num>
  <w:num w:numId="15">
    <w:abstractNumId w:val="1"/>
  </w:num>
  <w:num w:numId="16">
    <w:abstractNumId w:val="0"/>
  </w:num>
  <w:num w:numId="17">
    <w:abstractNumId w:val="20"/>
  </w:num>
  <w:num w:numId="18">
    <w:abstractNumId w:val="2"/>
  </w:num>
  <w:num w:numId="19">
    <w:abstractNumId w:val="27"/>
  </w:num>
  <w:num w:numId="20">
    <w:abstractNumId w:val="15"/>
  </w:num>
  <w:num w:numId="21">
    <w:abstractNumId w:val="16"/>
  </w:num>
  <w:num w:numId="22">
    <w:abstractNumId w:val="24"/>
  </w:num>
  <w:num w:numId="23">
    <w:abstractNumId w:val="3"/>
  </w:num>
  <w:num w:numId="24">
    <w:abstractNumId w:val="19"/>
  </w:num>
  <w:num w:numId="25">
    <w:abstractNumId w:val="26"/>
  </w:num>
  <w:num w:numId="26">
    <w:abstractNumId w:val="11"/>
  </w:num>
  <w:num w:numId="27">
    <w:abstractNumId w:val="14"/>
  </w:num>
  <w:num w:numId="28">
    <w:abstractNumId w:val="1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proofState w:spelling="clean" w:grammar="clean"/>
  <w:defaultTabStop w:val="1296"/>
  <w:hyphenationZone w:val="396"/>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592"/>
    <w:rsid w:val="000149B9"/>
    <w:rsid w:val="00017300"/>
    <w:rsid w:val="00023FF3"/>
    <w:rsid w:val="00026990"/>
    <w:rsid w:val="00030758"/>
    <w:rsid w:val="000313C1"/>
    <w:rsid w:val="0003161B"/>
    <w:rsid w:val="0003226B"/>
    <w:rsid w:val="00035303"/>
    <w:rsid w:val="00037258"/>
    <w:rsid w:val="000408FB"/>
    <w:rsid w:val="00046062"/>
    <w:rsid w:val="00046AAC"/>
    <w:rsid w:val="00046D1E"/>
    <w:rsid w:val="00050E09"/>
    <w:rsid w:val="00062CEA"/>
    <w:rsid w:val="00063096"/>
    <w:rsid w:val="00074092"/>
    <w:rsid w:val="00077802"/>
    <w:rsid w:val="0008027D"/>
    <w:rsid w:val="000868B4"/>
    <w:rsid w:val="00086E9F"/>
    <w:rsid w:val="00087C77"/>
    <w:rsid w:val="00094674"/>
    <w:rsid w:val="000A08CC"/>
    <w:rsid w:val="000A244F"/>
    <w:rsid w:val="000A6B3A"/>
    <w:rsid w:val="000B0370"/>
    <w:rsid w:val="000B0876"/>
    <w:rsid w:val="000B4506"/>
    <w:rsid w:val="000C07B1"/>
    <w:rsid w:val="000D002C"/>
    <w:rsid w:val="000E1CEA"/>
    <w:rsid w:val="000E6DFB"/>
    <w:rsid w:val="000E75D5"/>
    <w:rsid w:val="000F03C2"/>
    <w:rsid w:val="000F1BEA"/>
    <w:rsid w:val="000F2C8E"/>
    <w:rsid w:val="00100D6C"/>
    <w:rsid w:val="00103044"/>
    <w:rsid w:val="00104A3A"/>
    <w:rsid w:val="0011142D"/>
    <w:rsid w:val="001146B7"/>
    <w:rsid w:val="00123AEB"/>
    <w:rsid w:val="00125E34"/>
    <w:rsid w:val="00133719"/>
    <w:rsid w:val="00146CE5"/>
    <w:rsid w:val="001559F8"/>
    <w:rsid w:val="00157990"/>
    <w:rsid w:val="00166210"/>
    <w:rsid w:val="00170259"/>
    <w:rsid w:val="001709F3"/>
    <w:rsid w:val="00170D46"/>
    <w:rsid w:val="00170F64"/>
    <w:rsid w:val="00172A92"/>
    <w:rsid w:val="0018431C"/>
    <w:rsid w:val="0018587B"/>
    <w:rsid w:val="00190CF3"/>
    <w:rsid w:val="00196F12"/>
    <w:rsid w:val="001A2B02"/>
    <w:rsid w:val="001A4F20"/>
    <w:rsid w:val="001B1CAB"/>
    <w:rsid w:val="001B3276"/>
    <w:rsid w:val="001B54E9"/>
    <w:rsid w:val="001C4E55"/>
    <w:rsid w:val="001D0818"/>
    <w:rsid w:val="001D71B3"/>
    <w:rsid w:val="001E0C0B"/>
    <w:rsid w:val="001E0CC3"/>
    <w:rsid w:val="001E3334"/>
    <w:rsid w:val="001E411E"/>
    <w:rsid w:val="00225FD5"/>
    <w:rsid w:val="002307C1"/>
    <w:rsid w:val="002308CF"/>
    <w:rsid w:val="0023200B"/>
    <w:rsid w:val="002417BE"/>
    <w:rsid w:val="0025201D"/>
    <w:rsid w:val="00254477"/>
    <w:rsid w:val="00254507"/>
    <w:rsid w:val="0025770D"/>
    <w:rsid w:val="0025785C"/>
    <w:rsid w:val="002665B2"/>
    <w:rsid w:val="00274C5E"/>
    <w:rsid w:val="00275C1C"/>
    <w:rsid w:val="0027620A"/>
    <w:rsid w:val="00283D21"/>
    <w:rsid w:val="00286046"/>
    <w:rsid w:val="002934E7"/>
    <w:rsid w:val="0029651F"/>
    <w:rsid w:val="002A3D56"/>
    <w:rsid w:val="002A5217"/>
    <w:rsid w:val="002A52E4"/>
    <w:rsid w:val="002B3944"/>
    <w:rsid w:val="002B4201"/>
    <w:rsid w:val="002B6D8D"/>
    <w:rsid w:val="002C17DC"/>
    <w:rsid w:val="002C4592"/>
    <w:rsid w:val="002C4AEB"/>
    <w:rsid w:val="002D0A7F"/>
    <w:rsid w:val="002E3668"/>
    <w:rsid w:val="002E4EA0"/>
    <w:rsid w:val="002E61ED"/>
    <w:rsid w:val="002E71FC"/>
    <w:rsid w:val="002F52D0"/>
    <w:rsid w:val="002F5DAE"/>
    <w:rsid w:val="003005A1"/>
    <w:rsid w:val="0030784E"/>
    <w:rsid w:val="00307970"/>
    <w:rsid w:val="0031670C"/>
    <w:rsid w:val="003203E3"/>
    <w:rsid w:val="0035049E"/>
    <w:rsid w:val="00360346"/>
    <w:rsid w:val="00361D66"/>
    <w:rsid w:val="00366FA1"/>
    <w:rsid w:val="00370D75"/>
    <w:rsid w:val="00373F97"/>
    <w:rsid w:val="0038173C"/>
    <w:rsid w:val="00382245"/>
    <w:rsid w:val="00391C5A"/>
    <w:rsid w:val="003A06C1"/>
    <w:rsid w:val="003A3C03"/>
    <w:rsid w:val="003A7548"/>
    <w:rsid w:val="003B2423"/>
    <w:rsid w:val="003B4D8D"/>
    <w:rsid w:val="003B4DBB"/>
    <w:rsid w:val="003B4F82"/>
    <w:rsid w:val="003B5FA5"/>
    <w:rsid w:val="003B6DE3"/>
    <w:rsid w:val="003C3565"/>
    <w:rsid w:val="003C3650"/>
    <w:rsid w:val="003C3E60"/>
    <w:rsid w:val="003D264D"/>
    <w:rsid w:val="003D5639"/>
    <w:rsid w:val="003D6140"/>
    <w:rsid w:val="003E0918"/>
    <w:rsid w:val="003E6BA6"/>
    <w:rsid w:val="003F265B"/>
    <w:rsid w:val="003F4EB3"/>
    <w:rsid w:val="003F52B4"/>
    <w:rsid w:val="00402B15"/>
    <w:rsid w:val="00403CD1"/>
    <w:rsid w:val="0040548A"/>
    <w:rsid w:val="00414CC2"/>
    <w:rsid w:val="0041517D"/>
    <w:rsid w:val="0042457D"/>
    <w:rsid w:val="004325C9"/>
    <w:rsid w:val="0043551C"/>
    <w:rsid w:val="00436D14"/>
    <w:rsid w:val="00440300"/>
    <w:rsid w:val="00444953"/>
    <w:rsid w:val="004475B4"/>
    <w:rsid w:val="0045275D"/>
    <w:rsid w:val="00452B06"/>
    <w:rsid w:val="00457E0F"/>
    <w:rsid w:val="0047484E"/>
    <w:rsid w:val="00474940"/>
    <w:rsid w:val="0047499F"/>
    <w:rsid w:val="00475EF3"/>
    <w:rsid w:val="0047673F"/>
    <w:rsid w:val="0048193B"/>
    <w:rsid w:val="004835FA"/>
    <w:rsid w:val="004846F0"/>
    <w:rsid w:val="00486852"/>
    <w:rsid w:val="00493FCC"/>
    <w:rsid w:val="0049433C"/>
    <w:rsid w:val="00495E92"/>
    <w:rsid w:val="004A1B28"/>
    <w:rsid w:val="004D326C"/>
    <w:rsid w:val="004D64A0"/>
    <w:rsid w:val="004E29F0"/>
    <w:rsid w:val="004E6A16"/>
    <w:rsid w:val="004F1EC9"/>
    <w:rsid w:val="004F241A"/>
    <w:rsid w:val="004F2CAB"/>
    <w:rsid w:val="00500958"/>
    <w:rsid w:val="00500A2B"/>
    <w:rsid w:val="005015A3"/>
    <w:rsid w:val="00511238"/>
    <w:rsid w:val="0051163F"/>
    <w:rsid w:val="0051177B"/>
    <w:rsid w:val="0052050A"/>
    <w:rsid w:val="00520A8E"/>
    <w:rsid w:val="00522DCC"/>
    <w:rsid w:val="005240F6"/>
    <w:rsid w:val="00524AC3"/>
    <w:rsid w:val="005268FB"/>
    <w:rsid w:val="005352A1"/>
    <w:rsid w:val="00535705"/>
    <w:rsid w:val="0054060A"/>
    <w:rsid w:val="005502C7"/>
    <w:rsid w:val="00552D9C"/>
    <w:rsid w:val="00552FAD"/>
    <w:rsid w:val="0055449A"/>
    <w:rsid w:val="00560BDB"/>
    <w:rsid w:val="00562032"/>
    <w:rsid w:val="00563DB9"/>
    <w:rsid w:val="005643F3"/>
    <w:rsid w:val="00574603"/>
    <w:rsid w:val="005936DC"/>
    <w:rsid w:val="00597459"/>
    <w:rsid w:val="005A03E3"/>
    <w:rsid w:val="005A4D33"/>
    <w:rsid w:val="005B11D5"/>
    <w:rsid w:val="005B3AF7"/>
    <w:rsid w:val="005C2EE3"/>
    <w:rsid w:val="005C478C"/>
    <w:rsid w:val="005C5383"/>
    <w:rsid w:val="005C73DB"/>
    <w:rsid w:val="005D6A20"/>
    <w:rsid w:val="005D7DCA"/>
    <w:rsid w:val="005E02FE"/>
    <w:rsid w:val="005E576E"/>
    <w:rsid w:val="005F0C62"/>
    <w:rsid w:val="005F0D5A"/>
    <w:rsid w:val="005F2652"/>
    <w:rsid w:val="005F3F00"/>
    <w:rsid w:val="005F5DF2"/>
    <w:rsid w:val="005F5FC1"/>
    <w:rsid w:val="005F6B23"/>
    <w:rsid w:val="00604295"/>
    <w:rsid w:val="00610203"/>
    <w:rsid w:val="00613B6C"/>
    <w:rsid w:val="00614220"/>
    <w:rsid w:val="00615C6A"/>
    <w:rsid w:val="00624369"/>
    <w:rsid w:val="00624478"/>
    <w:rsid w:val="00625DCE"/>
    <w:rsid w:val="00627A7A"/>
    <w:rsid w:val="0063373E"/>
    <w:rsid w:val="00634390"/>
    <w:rsid w:val="006417E2"/>
    <w:rsid w:val="00642ABE"/>
    <w:rsid w:val="006434E0"/>
    <w:rsid w:val="006444A4"/>
    <w:rsid w:val="0064536D"/>
    <w:rsid w:val="006459E1"/>
    <w:rsid w:val="00646680"/>
    <w:rsid w:val="00650334"/>
    <w:rsid w:val="00657529"/>
    <w:rsid w:val="00660130"/>
    <w:rsid w:val="00661937"/>
    <w:rsid w:val="006636D3"/>
    <w:rsid w:val="00664A7F"/>
    <w:rsid w:val="00664ABB"/>
    <w:rsid w:val="00665BFE"/>
    <w:rsid w:val="00672B0B"/>
    <w:rsid w:val="00674E7F"/>
    <w:rsid w:val="00676F70"/>
    <w:rsid w:val="00681E86"/>
    <w:rsid w:val="0068540C"/>
    <w:rsid w:val="00685F0B"/>
    <w:rsid w:val="006863AE"/>
    <w:rsid w:val="00686613"/>
    <w:rsid w:val="00686725"/>
    <w:rsid w:val="00691407"/>
    <w:rsid w:val="0069462A"/>
    <w:rsid w:val="006957D7"/>
    <w:rsid w:val="006972C9"/>
    <w:rsid w:val="0069730B"/>
    <w:rsid w:val="006A7C3B"/>
    <w:rsid w:val="006B66C0"/>
    <w:rsid w:val="006C3F98"/>
    <w:rsid w:val="006C69D8"/>
    <w:rsid w:val="006D018C"/>
    <w:rsid w:val="006D0EA3"/>
    <w:rsid w:val="006D24E9"/>
    <w:rsid w:val="006D4AE3"/>
    <w:rsid w:val="006D6A06"/>
    <w:rsid w:val="006D7823"/>
    <w:rsid w:val="006E32B9"/>
    <w:rsid w:val="006F13AA"/>
    <w:rsid w:val="006F3E33"/>
    <w:rsid w:val="006F46BD"/>
    <w:rsid w:val="006F6775"/>
    <w:rsid w:val="00700ECC"/>
    <w:rsid w:val="00704DA0"/>
    <w:rsid w:val="00705A53"/>
    <w:rsid w:val="007102C3"/>
    <w:rsid w:val="00710E4F"/>
    <w:rsid w:val="007117DB"/>
    <w:rsid w:val="00724951"/>
    <w:rsid w:val="00727660"/>
    <w:rsid w:val="0073668E"/>
    <w:rsid w:val="007375E9"/>
    <w:rsid w:val="00743BD7"/>
    <w:rsid w:val="007476F8"/>
    <w:rsid w:val="00750E06"/>
    <w:rsid w:val="00750E3F"/>
    <w:rsid w:val="00752E2E"/>
    <w:rsid w:val="007558DD"/>
    <w:rsid w:val="00756AB1"/>
    <w:rsid w:val="00760E4A"/>
    <w:rsid w:val="00761B7F"/>
    <w:rsid w:val="00767ABB"/>
    <w:rsid w:val="00772AA0"/>
    <w:rsid w:val="0078443F"/>
    <w:rsid w:val="00785053"/>
    <w:rsid w:val="00792802"/>
    <w:rsid w:val="0079754D"/>
    <w:rsid w:val="007A3B7C"/>
    <w:rsid w:val="007A3F55"/>
    <w:rsid w:val="007A459B"/>
    <w:rsid w:val="007B47F6"/>
    <w:rsid w:val="007B6FCC"/>
    <w:rsid w:val="007C0898"/>
    <w:rsid w:val="007C0CCD"/>
    <w:rsid w:val="007C39F6"/>
    <w:rsid w:val="007C46E4"/>
    <w:rsid w:val="007C5ED4"/>
    <w:rsid w:val="007D0758"/>
    <w:rsid w:val="007D43BB"/>
    <w:rsid w:val="007D5303"/>
    <w:rsid w:val="007D5482"/>
    <w:rsid w:val="007D6B61"/>
    <w:rsid w:val="007E1F5D"/>
    <w:rsid w:val="007E2A38"/>
    <w:rsid w:val="007E372C"/>
    <w:rsid w:val="007E3758"/>
    <w:rsid w:val="007F54E5"/>
    <w:rsid w:val="00800BBB"/>
    <w:rsid w:val="00802EBE"/>
    <w:rsid w:val="008122B0"/>
    <w:rsid w:val="00812FBB"/>
    <w:rsid w:val="008178CC"/>
    <w:rsid w:val="00831252"/>
    <w:rsid w:val="00833138"/>
    <w:rsid w:val="008346BC"/>
    <w:rsid w:val="00835C88"/>
    <w:rsid w:val="008408AC"/>
    <w:rsid w:val="008409F4"/>
    <w:rsid w:val="008508CA"/>
    <w:rsid w:val="008508ED"/>
    <w:rsid w:val="00850D61"/>
    <w:rsid w:val="0085494A"/>
    <w:rsid w:val="0085616C"/>
    <w:rsid w:val="008623E8"/>
    <w:rsid w:val="008719BE"/>
    <w:rsid w:val="00871F78"/>
    <w:rsid w:val="00884BE6"/>
    <w:rsid w:val="008855E4"/>
    <w:rsid w:val="00894D33"/>
    <w:rsid w:val="008A03B8"/>
    <w:rsid w:val="008A0546"/>
    <w:rsid w:val="008B06AC"/>
    <w:rsid w:val="008C088F"/>
    <w:rsid w:val="008C139B"/>
    <w:rsid w:val="008C680F"/>
    <w:rsid w:val="008D74B5"/>
    <w:rsid w:val="008E30D2"/>
    <w:rsid w:val="008E5160"/>
    <w:rsid w:val="008F2345"/>
    <w:rsid w:val="008F3854"/>
    <w:rsid w:val="008F4B33"/>
    <w:rsid w:val="009008D1"/>
    <w:rsid w:val="009037E1"/>
    <w:rsid w:val="00904A0B"/>
    <w:rsid w:val="00904CD3"/>
    <w:rsid w:val="00912091"/>
    <w:rsid w:val="00914CC7"/>
    <w:rsid w:val="009156FD"/>
    <w:rsid w:val="00920EAF"/>
    <w:rsid w:val="0092573B"/>
    <w:rsid w:val="009361E0"/>
    <w:rsid w:val="00953C65"/>
    <w:rsid w:val="00960231"/>
    <w:rsid w:val="0096530B"/>
    <w:rsid w:val="009653A3"/>
    <w:rsid w:val="0097139B"/>
    <w:rsid w:val="00971571"/>
    <w:rsid w:val="00972864"/>
    <w:rsid w:val="00974261"/>
    <w:rsid w:val="00974C62"/>
    <w:rsid w:val="00975F78"/>
    <w:rsid w:val="00976A8E"/>
    <w:rsid w:val="0097764A"/>
    <w:rsid w:val="009845BC"/>
    <w:rsid w:val="009974C5"/>
    <w:rsid w:val="009A177D"/>
    <w:rsid w:val="009B4DD0"/>
    <w:rsid w:val="009C5324"/>
    <w:rsid w:val="009C692B"/>
    <w:rsid w:val="009D0156"/>
    <w:rsid w:val="009E0DE6"/>
    <w:rsid w:val="009E3B84"/>
    <w:rsid w:val="009E4A97"/>
    <w:rsid w:val="009E591B"/>
    <w:rsid w:val="009F2075"/>
    <w:rsid w:val="009F517F"/>
    <w:rsid w:val="00A04654"/>
    <w:rsid w:val="00A046ED"/>
    <w:rsid w:val="00A05DBF"/>
    <w:rsid w:val="00A147DF"/>
    <w:rsid w:val="00A15609"/>
    <w:rsid w:val="00A24243"/>
    <w:rsid w:val="00A271AE"/>
    <w:rsid w:val="00A27ABD"/>
    <w:rsid w:val="00A318E7"/>
    <w:rsid w:val="00A368A3"/>
    <w:rsid w:val="00A47F26"/>
    <w:rsid w:val="00A51338"/>
    <w:rsid w:val="00A57091"/>
    <w:rsid w:val="00A6261F"/>
    <w:rsid w:val="00A6403F"/>
    <w:rsid w:val="00A80186"/>
    <w:rsid w:val="00A81ABF"/>
    <w:rsid w:val="00A9027A"/>
    <w:rsid w:val="00A90C51"/>
    <w:rsid w:val="00A9453B"/>
    <w:rsid w:val="00AA035A"/>
    <w:rsid w:val="00AA0375"/>
    <w:rsid w:val="00AA2175"/>
    <w:rsid w:val="00AB25C1"/>
    <w:rsid w:val="00AB32A3"/>
    <w:rsid w:val="00AB4DDD"/>
    <w:rsid w:val="00AB5446"/>
    <w:rsid w:val="00AB6DE8"/>
    <w:rsid w:val="00AC03F7"/>
    <w:rsid w:val="00AC1745"/>
    <w:rsid w:val="00AC6FEC"/>
    <w:rsid w:val="00AD0364"/>
    <w:rsid w:val="00AD47F0"/>
    <w:rsid w:val="00AD709E"/>
    <w:rsid w:val="00AE09EC"/>
    <w:rsid w:val="00AE3468"/>
    <w:rsid w:val="00AE3DE0"/>
    <w:rsid w:val="00AF369D"/>
    <w:rsid w:val="00AF4357"/>
    <w:rsid w:val="00AF4B8F"/>
    <w:rsid w:val="00AF67D6"/>
    <w:rsid w:val="00B022C4"/>
    <w:rsid w:val="00B069DC"/>
    <w:rsid w:val="00B0707C"/>
    <w:rsid w:val="00B07A7C"/>
    <w:rsid w:val="00B20EDB"/>
    <w:rsid w:val="00B233BF"/>
    <w:rsid w:val="00B26355"/>
    <w:rsid w:val="00B26D22"/>
    <w:rsid w:val="00B305B7"/>
    <w:rsid w:val="00B339E4"/>
    <w:rsid w:val="00B36418"/>
    <w:rsid w:val="00B449C1"/>
    <w:rsid w:val="00B526E8"/>
    <w:rsid w:val="00B578EC"/>
    <w:rsid w:val="00B65019"/>
    <w:rsid w:val="00B70CE3"/>
    <w:rsid w:val="00B75416"/>
    <w:rsid w:val="00B75BF1"/>
    <w:rsid w:val="00B7626C"/>
    <w:rsid w:val="00B77A1A"/>
    <w:rsid w:val="00B77AF4"/>
    <w:rsid w:val="00B806F2"/>
    <w:rsid w:val="00B8554E"/>
    <w:rsid w:val="00B8599A"/>
    <w:rsid w:val="00B90A3C"/>
    <w:rsid w:val="00B938D2"/>
    <w:rsid w:val="00B93E60"/>
    <w:rsid w:val="00B962E9"/>
    <w:rsid w:val="00B96852"/>
    <w:rsid w:val="00BA15BD"/>
    <w:rsid w:val="00BA4272"/>
    <w:rsid w:val="00BA533E"/>
    <w:rsid w:val="00BA546C"/>
    <w:rsid w:val="00BA60C9"/>
    <w:rsid w:val="00BB0417"/>
    <w:rsid w:val="00BB5F7E"/>
    <w:rsid w:val="00BC0613"/>
    <w:rsid w:val="00BC0A73"/>
    <w:rsid w:val="00BC0E5C"/>
    <w:rsid w:val="00BC1744"/>
    <w:rsid w:val="00BD337E"/>
    <w:rsid w:val="00BD33A6"/>
    <w:rsid w:val="00BD57E7"/>
    <w:rsid w:val="00BE173B"/>
    <w:rsid w:val="00BE17E3"/>
    <w:rsid w:val="00BE2550"/>
    <w:rsid w:val="00BE2668"/>
    <w:rsid w:val="00BE51C3"/>
    <w:rsid w:val="00BE591F"/>
    <w:rsid w:val="00BE6137"/>
    <w:rsid w:val="00BE6610"/>
    <w:rsid w:val="00BF2067"/>
    <w:rsid w:val="00BF5C95"/>
    <w:rsid w:val="00C060A2"/>
    <w:rsid w:val="00C12522"/>
    <w:rsid w:val="00C208D5"/>
    <w:rsid w:val="00C26301"/>
    <w:rsid w:val="00C31D3D"/>
    <w:rsid w:val="00C36051"/>
    <w:rsid w:val="00C37606"/>
    <w:rsid w:val="00C45C08"/>
    <w:rsid w:val="00C5252B"/>
    <w:rsid w:val="00C632F9"/>
    <w:rsid w:val="00C639CB"/>
    <w:rsid w:val="00C644FD"/>
    <w:rsid w:val="00C72C87"/>
    <w:rsid w:val="00C73132"/>
    <w:rsid w:val="00C73D99"/>
    <w:rsid w:val="00C76B06"/>
    <w:rsid w:val="00C81FF3"/>
    <w:rsid w:val="00C84C34"/>
    <w:rsid w:val="00C84D8C"/>
    <w:rsid w:val="00C85F83"/>
    <w:rsid w:val="00C86620"/>
    <w:rsid w:val="00C900A1"/>
    <w:rsid w:val="00C9455A"/>
    <w:rsid w:val="00C96662"/>
    <w:rsid w:val="00CA14DA"/>
    <w:rsid w:val="00CA4EDE"/>
    <w:rsid w:val="00CA6378"/>
    <w:rsid w:val="00CB2DEF"/>
    <w:rsid w:val="00CB6D79"/>
    <w:rsid w:val="00CB7781"/>
    <w:rsid w:val="00CC2F49"/>
    <w:rsid w:val="00CC37E6"/>
    <w:rsid w:val="00CD71FF"/>
    <w:rsid w:val="00CE4396"/>
    <w:rsid w:val="00CF103D"/>
    <w:rsid w:val="00CF1CEC"/>
    <w:rsid w:val="00D03D44"/>
    <w:rsid w:val="00D04966"/>
    <w:rsid w:val="00D107EC"/>
    <w:rsid w:val="00D12D5E"/>
    <w:rsid w:val="00D1319E"/>
    <w:rsid w:val="00D2568B"/>
    <w:rsid w:val="00D2696E"/>
    <w:rsid w:val="00D32718"/>
    <w:rsid w:val="00D3453A"/>
    <w:rsid w:val="00D43200"/>
    <w:rsid w:val="00D4478F"/>
    <w:rsid w:val="00D46A2B"/>
    <w:rsid w:val="00D50591"/>
    <w:rsid w:val="00D61998"/>
    <w:rsid w:val="00D623B3"/>
    <w:rsid w:val="00D7361B"/>
    <w:rsid w:val="00D7393F"/>
    <w:rsid w:val="00D74A9C"/>
    <w:rsid w:val="00D8526A"/>
    <w:rsid w:val="00D909C7"/>
    <w:rsid w:val="00D90E3C"/>
    <w:rsid w:val="00D92AEB"/>
    <w:rsid w:val="00D93068"/>
    <w:rsid w:val="00DA1BB7"/>
    <w:rsid w:val="00DA49C6"/>
    <w:rsid w:val="00DC0BAE"/>
    <w:rsid w:val="00DC1477"/>
    <w:rsid w:val="00DC3A58"/>
    <w:rsid w:val="00DC52C8"/>
    <w:rsid w:val="00DD0426"/>
    <w:rsid w:val="00DD2121"/>
    <w:rsid w:val="00DD30AB"/>
    <w:rsid w:val="00DD7F89"/>
    <w:rsid w:val="00DE28E3"/>
    <w:rsid w:val="00DE4172"/>
    <w:rsid w:val="00DE6256"/>
    <w:rsid w:val="00E01E35"/>
    <w:rsid w:val="00E03065"/>
    <w:rsid w:val="00E05E0F"/>
    <w:rsid w:val="00E05EDA"/>
    <w:rsid w:val="00E33339"/>
    <w:rsid w:val="00E546E0"/>
    <w:rsid w:val="00E57027"/>
    <w:rsid w:val="00E61AB1"/>
    <w:rsid w:val="00E62F9B"/>
    <w:rsid w:val="00E647B9"/>
    <w:rsid w:val="00E7050F"/>
    <w:rsid w:val="00E72353"/>
    <w:rsid w:val="00E83C8B"/>
    <w:rsid w:val="00E862D6"/>
    <w:rsid w:val="00E86A2F"/>
    <w:rsid w:val="00E87CE5"/>
    <w:rsid w:val="00E90A3A"/>
    <w:rsid w:val="00E90B80"/>
    <w:rsid w:val="00E91CC5"/>
    <w:rsid w:val="00E91F35"/>
    <w:rsid w:val="00E92623"/>
    <w:rsid w:val="00E92CE2"/>
    <w:rsid w:val="00E93EEF"/>
    <w:rsid w:val="00E93EFE"/>
    <w:rsid w:val="00E95209"/>
    <w:rsid w:val="00EA19F8"/>
    <w:rsid w:val="00EA1D75"/>
    <w:rsid w:val="00EA59DB"/>
    <w:rsid w:val="00EB1374"/>
    <w:rsid w:val="00EB6570"/>
    <w:rsid w:val="00EC1DEA"/>
    <w:rsid w:val="00EC46AB"/>
    <w:rsid w:val="00EC4A8D"/>
    <w:rsid w:val="00EC5561"/>
    <w:rsid w:val="00EC5921"/>
    <w:rsid w:val="00ED0609"/>
    <w:rsid w:val="00ED44E1"/>
    <w:rsid w:val="00ED4531"/>
    <w:rsid w:val="00ED4B9A"/>
    <w:rsid w:val="00ED59F5"/>
    <w:rsid w:val="00EE29F2"/>
    <w:rsid w:val="00EE3DC0"/>
    <w:rsid w:val="00EF5357"/>
    <w:rsid w:val="00EF54C9"/>
    <w:rsid w:val="00EF6133"/>
    <w:rsid w:val="00F0508F"/>
    <w:rsid w:val="00F10C2E"/>
    <w:rsid w:val="00F17C93"/>
    <w:rsid w:val="00F17EE1"/>
    <w:rsid w:val="00F22983"/>
    <w:rsid w:val="00F2527D"/>
    <w:rsid w:val="00F353D2"/>
    <w:rsid w:val="00F40B99"/>
    <w:rsid w:val="00F41C57"/>
    <w:rsid w:val="00F444EF"/>
    <w:rsid w:val="00F518F4"/>
    <w:rsid w:val="00F53396"/>
    <w:rsid w:val="00F536A3"/>
    <w:rsid w:val="00F575E4"/>
    <w:rsid w:val="00F649AC"/>
    <w:rsid w:val="00F655C0"/>
    <w:rsid w:val="00F67869"/>
    <w:rsid w:val="00F75BAF"/>
    <w:rsid w:val="00F827B4"/>
    <w:rsid w:val="00F879EB"/>
    <w:rsid w:val="00F93723"/>
    <w:rsid w:val="00F94E01"/>
    <w:rsid w:val="00F94E56"/>
    <w:rsid w:val="00F974D2"/>
    <w:rsid w:val="00FA013A"/>
    <w:rsid w:val="00FA1668"/>
    <w:rsid w:val="00FA6064"/>
    <w:rsid w:val="00FB35F9"/>
    <w:rsid w:val="00FB3E52"/>
    <w:rsid w:val="00FC11F9"/>
    <w:rsid w:val="00FC1692"/>
    <w:rsid w:val="00FC190D"/>
    <w:rsid w:val="00FC299E"/>
    <w:rsid w:val="00FC3A0A"/>
    <w:rsid w:val="00FC65B6"/>
    <w:rsid w:val="00FD09FD"/>
    <w:rsid w:val="00FD7690"/>
    <w:rsid w:val="00FE458B"/>
    <w:rsid w:val="00FE72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887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0372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04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36A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F536A3"/>
    <w:rPr>
      <w:rFonts w:ascii="Tahoma" w:hAnsi="Tahoma" w:cs="Tahoma"/>
      <w:sz w:val="16"/>
      <w:szCs w:val="16"/>
      <w:lang w:eastAsia="en-US"/>
    </w:rPr>
  </w:style>
  <w:style w:type="paragraph" w:styleId="Header">
    <w:name w:val="header"/>
    <w:basedOn w:val="Normal"/>
    <w:link w:val="HeaderChar"/>
    <w:uiPriority w:val="99"/>
    <w:unhideWhenUsed/>
    <w:rsid w:val="00A6403F"/>
    <w:pPr>
      <w:tabs>
        <w:tab w:val="center" w:pos="4513"/>
        <w:tab w:val="right" w:pos="9026"/>
      </w:tabs>
    </w:pPr>
    <w:rPr>
      <w:lang w:val="x-none"/>
    </w:rPr>
  </w:style>
  <w:style w:type="character" w:customStyle="1" w:styleId="HeaderChar">
    <w:name w:val="Header Char"/>
    <w:link w:val="Header"/>
    <w:uiPriority w:val="99"/>
    <w:rsid w:val="00A6403F"/>
    <w:rPr>
      <w:sz w:val="22"/>
      <w:szCs w:val="22"/>
      <w:lang w:eastAsia="en-US"/>
    </w:rPr>
  </w:style>
  <w:style w:type="paragraph" w:styleId="Footer">
    <w:name w:val="footer"/>
    <w:basedOn w:val="Normal"/>
    <w:link w:val="FooterChar"/>
    <w:uiPriority w:val="99"/>
    <w:unhideWhenUsed/>
    <w:rsid w:val="00A6403F"/>
    <w:pPr>
      <w:tabs>
        <w:tab w:val="center" w:pos="4513"/>
        <w:tab w:val="right" w:pos="9026"/>
      </w:tabs>
    </w:pPr>
    <w:rPr>
      <w:lang w:val="x-none"/>
    </w:rPr>
  </w:style>
  <w:style w:type="character" w:customStyle="1" w:styleId="FooterChar">
    <w:name w:val="Footer Char"/>
    <w:link w:val="Footer"/>
    <w:uiPriority w:val="99"/>
    <w:rsid w:val="00A6403F"/>
    <w:rPr>
      <w:sz w:val="22"/>
      <w:szCs w:val="22"/>
      <w:lang w:eastAsia="en-US"/>
    </w:rPr>
  </w:style>
  <w:style w:type="character" w:styleId="CommentReference">
    <w:name w:val="annotation reference"/>
    <w:uiPriority w:val="99"/>
    <w:semiHidden/>
    <w:unhideWhenUsed/>
    <w:rsid w:val="00170D46"/>
    <w:rPr>
      <w:sz w:val="16"/>
      <w:szCs w:val="16"/>
    </w:rPr>
  </w:style>
  <w:style w:type="paragraph" w:styleId="CommentText">
    <w:name w:val="annotation text"/>
    <w:basedOn w:val="Normal"/>
    <w:link w:val="CommentTextChar"/>
    <w:uiPriority w:val="99"/>
    <w:unhideWhenUsed/>
    <w:rsid w:val="00170D46"/>
    <w:rPr>
      <w:sz w:val="20"/>
      <w:szCs w:val="20"/>
      <w:lang w:eastAsia="x-none"/>
    </w:rPr>
  </w:style>
  <w:style w:type="character" w:customStyle="1" w:styleId="CommentTextChar">
    <w:name w:val="Comment Text Char"/>
    <w:link w:val="CommentText"/>
    <w:uiPriority w:val="99"/>
    <w:rsid w:val="00170D46"/>
    <w:rPr>
      <w:lang w:val="lt-LT"/>
    </w:rPr>
  </w:style>
  <w:style w:type="paragraph" w:styleId="CommentSubject">
    <w:name w:val="annotation subject"/>
    <w:basedOn w:val="CommentText"/>
    <w:next w:val="CommentText"/>
    <w:link w:val="CommentSubjectChar"/>
    <w:uiPriority w:val="99"/>
    <w:semiHidden/>
    <w:unhideWhenUsed/>
    <w:rsid w:val="00170D46"/>
    <w:rPr>
      <w:b/>
      <w:bCs/>
    </w:rPr>
  </w:style>
  <w:style w:type="character" w:customStyle="1" w:styleId="CommentSubjectChar">
    <w:name w:val="Comment Subject Char"/>
    <w:link w:val="CommentSubject"/>
    <w:uiPriority w:val="99"/>
    <w:semiHidden/>
    <w:rsid w:val="00170D46"/>
    <w:rPr>
      <w:b/>
      <w:bCs/>
      <w:lang w:val="lt-LT"/>
    </w:rPr>
  </w:style>
  <w:style w:type="paragraph" w:styleId="Revision">
    <w:name w:val="Revision"/>
    <w:hidden/>
    <w:uiPriority w:val="99"/>
    <w:semiHidden/>
    <w:rsid w:val="00FE726F"/>
    <w:rPr>
      <w:sz w:val="22"/>
      <w:szCs w:val="22"/>
      <w:lang w:eastAsia="en-US"/>
    </w:rPr>
  </w:style>
  <w:style w:type="paragraph" w:customStyle="1" w:styleId="Default">
    <w:name w:val="Default"/>
    <w:rsid w:val="006D0EA3"/>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uiPriority w:val="9"/>
    <w:rsid w:val="00037258"/>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unhideWhenUsed/>
    <w:qFormat/>
    <w:rsid w:val="00037258"/>
    <w:pPr>
      <w:outlineLvl w:val="9"/>
    </w:pPr>
    <w:rPr>
      <w:lang w:val="en-US" w:eastAsia="ja-JP"/>
    </w:rPr>
  </w:style>
  <w:style w:type="paragraph" w:styleId="TOC1">
    <w:name w:val="toc 1"/>
    <w:basedOn w:val="Normal"/>
    <w:next w:val="Normal"/>
    <w:autoRedefine/>
    <w:uiPriority w:val="39"/>
    <w:unhideWhenUsed/>
    <w:rsid w:val="00037258"/>
    <w:pPr>
      <w:spacing w:after="100"/>
    </w:pPr>
  </w:style>
  <w:style w:type="character" w:styleId="Hyperlink">
    <w:name w:val="Hyperlink"/>
    <w:basedOn w:val="DefaultParagraphFont"/>
    <w:uiPriority w:val="99"/>
    <w:unhideWhenUsed/>
    <w:rsid w:val="00037258"/>
    <w:rPr>
      <w:color w:val="0000FF" w:themeColor="hyperlink"/>
      <w:u w:val="single"/>
    </w:rPr>
  </w:style>
  <w:style w:type="character" w:customStyle="1" w:styleId="Heading2Char">
    <w:name w:val="Heading 2 Char"/>
    <w:basedOn w:val="DefaultParagraphFont"/>
    <w:link w:val="Heading2"/>
    <w:uiPriority w:val="9"/>
    <w:rsid w:val="00DD0426"/>
    <w:rPr>
      <w:rFonts w:asciiTheme="majorHAnsi" w:eastAsiaTheme="majorEastAsia" w:hAnsiTheme="majorHAnsi" w:cstheme="majorBidi"/>
      <w:b/>
      <w:bCs/>
      <w:color w:val="4F81BD" w:themeColor="accent1"/>
      <w:sz w:val="26"/>
      <w:szCs w:val="26"/>
      <w:lang w:eastAsia="en-US"/>
    </w:rPr>
  </w:style>
  <w:style w:type="paragraph" w:styleId="TOC2">
    <w:name w:val="toc 2"/>
    <w:basedOn w:val="Normal"/>
    <w:next w:val="Normal"/>
    <w:autoRedefine/>
    <w:uiPriority w:val="39"/>
    <w:unhideWhenUsed/>
    <w:rsid w:val="00DD0426"/>
    <w:pPr>
      <w:spacing w:after="100"/>
      <w:ind w:left="220"/>
    </w:pPr>
  </w:style>
  <w:style w:type="paragraph" w:styleId="ListParagraph">
    <w:name w:val="List Paragraph"/>
    <w:basedOn w:val="Normal"/>
    <w:uiPriority w:val="34"/>
    <w:qFormat/>
    <w:rsid w:val="008408AC"/>
    <w:pPr>
      <w:ind w:left="720"/>
      <w:contextualSpacing/>
    </w:pPr>
  </w:style>
  <w:style w:type="paragraph" w:styleId="NormalWeb">
    <w:name w:val="Normal (Web)"/>
    <w:basedOn w:val="Normal"/>
    <w:uiPriority w:val="99"/>
    <w:unhideWhenUsed/>
    <w:rsid w:val="002308C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rsid w:val="00F94E01"/>
    <w:pPr>
      <w:suppressAutoHyphens/>
      <w:snapToGrid w:val="0"/>
      <w:ind w:firstLine="312"/>
      <w:jc w:val="both"/>
    </w:pPr>
    <w:rPr>
      <w:rFonts w:ascii="TimesLT" w:eastAsia="Arial"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434824">
      <w:bodyDiv w:val="1"/>
      <w:marLeft w:val="0"/>
      <w:marRight w:val="0"/>
      <w:marTop w:val="0"/>
      <w:marBottom w:val="0"/>
      <w:divBdr>
        <w:top w:val="none" w:sz="0" w:space="0" w:color="auto"/>
        <w:left w:val="none" w:sz="0" w:space="0" w:color="auto"/>
        <w:bottom w:val="none" w:sz="0" w:space="0" w:color="auto"/>
        <w:right w:val="none" w:sz="0" w:space="0" w:color="auto"/>
      </w:divBdr>
    </w:div>
    <w:div w:id="474639062">
      <w:bodyDiv w:val="1"/>
      <w:marLeft w:val="0"/>
      <w:marRight w:val="0"/>
      <w:marTop w:val="0"/>
      <w:marBottom w:val="0"/>
      <w:divBdr>
        <w:top w:val="none" w:sz="0" w:space="0" w:color="auto"/>
        <w:left w:val="none" w:sz="0" w:space="0" w:color="auto"/>
        <w:bottom w:val="none" w:sz="0" w:space="0" w:color="auto"/>
        <w:right w:val="none" w:sz="0" w:space="0" w:color="auto"/>
      </w:divBdr>
    </w:div>
    <w:div w:id="562758779">
      <w:bodyDiv w:val="1"/>
      <w:marLeft w:val="0"/>
      <w:marRight w:val="0"/>
      <w:marTop w:val="0"/>
      <w:marBottom w:val="0"/>
      <w:divBdr>
        <w:top w:val="none" w:sz="0" w:space="0" w:color="auto"/>
        <w:left w:val="none" w:sz="0" w:space="0" w:color="auto"/>
        <w:bottom w:val="none" w:sz="0" w:space="0" w:color="auto"/>
        <w:right w:val="none" w:sz="0" w:space="0" w:color="auto"/>
      </w:divBdr>
    </w:div>
    <w:div w:id="626855807">
      <w:bodyDiv w:val="1"/>
      <w:marLeft w:val="0"/>
      <w:marRight w:val="0"/>
      <w:marTop w:val="0"/>
      <w:marBottom w:val="0"/>
      <w:divBdr>
        <w:top w:val="none" w:sz="0" w:space="0" w:color="auto"/>
        <w:left w:val="none" w:sz="0" w:space="0" w:color="auto"/>
        <w:bottom w:val="none" w:sz="0" w:space="0" w:color="auto"/>
        <w:right w:val="none" w:sz="0" w:space="0" w:color="auto"/>
      </w:divBdr>
    </w:div>
    <w:div w:id="700252292">
      <w:bodyDiv w:val="1"/>
      <w:marLeft w:val="0"/>
      <w:marRight w:val="0"/>
      <w:marTop w:val="0"/>
      <w:marBottom w:val="0"/>
      <w:divBdr>
        <w:top w:val="none" w:sz="0" w:space="0" w:color="auto"/>
        <w:left w:val="none" w:sz="0" w:space="0" w:color="auto"/>
        <w:bottom w:val="none" w:sz="0" w:space="0" w:color="auto"/>
        <w:right w:val="none" w:sz="0" w:space="0" w:color="auto"/>
      </w:divBdr>
    </w:div>
    <w:div w:id="1224949127">
      <w:bodyDiv w:val="1"/>
      <w:marLeft w:val="0"/>
      <w:marRight w:val="0"/>
      <w:marTop w:val="0"/>
      <w:marBottom w:val="0"/>
      <w:divBdr>
        <w:top w:val="none" w:sz="0" w:space="0" w:color="auto"/>
        <w:left w:val="none" w:sz="0" w:space="0" w:color="auto"/>
        <w:bottom w:val="none" w:sz="0" w:space="0" w:color="auto"/>
        <w:right w:val="none" w:sz="0" w:space="0" w:color="auto"/>
      </w:divBdr>
    </w:div>
    <w:div w:id="1362239803">
      <w:bodyDiv w:val="1"/>
      <w:marLeft w:val="0"/>
      <w:marRight w:val="0"/>
      <w:marTop w:val="0"/>
      <w:marBottom w:val="0"/>
      <w:divBdr>
        <w:top w:val="none" w:sz="0" w:space="0" w:color="auto"/>
        <w:left w:val="none" w:sz="0" w:space="0" w:color="auto"/>
        <w:bottom w:val="none" w:sz="0" w:space="0" w:color="auto"/>
        <w:right w:val="none" w:sz="0" w:space="0" w:color="auto"/>
      </w:divBdr>
    </w:div>
    <w:div w:id="1472594068">
      <w:bodyDiv w:val="1"/>
      <w:marLeft w:val="0"/>
      <w:marRight w:val="0"/>
      <w:marTop w:val="0"/>
      <w:marBottom w:val="0"/>
      <w:divBdr>
        <w:top w:val="none" w:sz="0" w:space="0" w:color="auto"/>
        <w:left w:val="none" w:sz="0" w:space="0" w:color="auto"/>
        <w:bottom w:val="none" w:sz="0" w:space="0" w:color="auto"/>
        <w:right w:val="none" w:sz="0" w:space="0" w:color="auto"/>
      </w:divBdr>
    </w:div>
    <w:div w:id="1475636014">
      <w:bodyDiv w:val="1"/>
      <w:marLeft w:val="0"/>
      <w:marRight w:val="0"/>
      <w:marTop w:val="0"/>
      <w:marBottom w:val="0"/>
      <w:divBdr>
        <w:top w:val="none" w:sz="0" w:space="0" w:color="auto"/>
        <w:left w:val="none" w:sz="0" w:space="0" w:color="auto"/>
        <w:bottom w:val="none" w:sz="0" w:space="0" w:color="auto"/>
        <w:right w:val="none" w:sz="0" w:space="0" w:color="auto"/>
      </w:divBdr>
    </w:div>
    <w:div w:id="1617247136">
      <w:bodyDiv w:val="1"/>
      <w:marLeft w:val="0"/>
      <w:marRight w:val="0"/>
      <w:marTop w:val="0"/>
      <w:marBottom w:val="0"/>
      <w:divBdr>
        <w:top w:val="none" w:sz="0" w:space="0" w:color="auto"/>
        <w:left w:val="none" w:sz="0" w:space="0" w:color="auto"/>
        <w:bottom w:val="none" w:sz="0" w:space="0" w:color="auto"/>
        <w:right w:val="none" w:sz="0" w:space="0" w:color="auto"/>
      </w:divBdr>
    </w:div>
    <w:div w:id="1889998500">
      <w:bodyDiv w:val="1"/>
      <w:marLeft w:val="0"/>
      <w:marRight w:val="0"/>
      <w:marTop w:val="0"/>
      <w:marBottom w:val="0"/>
      <w:divBdr>
        <w:top w:val="none" w:sz="0" w:space="0" w:color="auto"/>
        <w:left w:val="none" w:sz="0" w:space="0" w:color="auto"/>
        <w:bottom w:val="none" w:sz="0" w:space="0" w:color="auto"/>
        <w:right w:val="none" w:sz="0" w:space="0" w:color="auto"/>
      </w:divBdr>
    </w:div>
    <w:div w:id="210078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2F62D-8B1E-4608-959B-C50D7F61F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2159</Words>
  <Characters>1232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2022-01-13T07:48:00Z</dcterms:created>
  <dcterms:modified xsi:type="dcterms:W3CDTF">2025-11-13T11:05:00Z</dcterms:modified>
</cp:coreProperties>
</file>