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CE87299"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946D90">
            <w:rPr>
              <w:rFonts w:ascii="Times New Roman" w:hAnsi="Times New Roman" w:cs="Times New Roman"/>
              <w:sz w:val="20"/>
              <w:szCs w:val="20"/>
            </w:rPr>
            <w:t>1</w:t>
          </w:r>
          <w:r w:rsidRPr="00A708BE">
            <w:rPr>
              <w:rFonts w:ascii="Times New Roman" w:hAnsi="Times New Roman" w:cs="Times New Roman"/>
              <w:sz w:val="20"/>
              <w:szCs w:val="20"/>
            </w:rPr>
            <w:t>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A4D1D97"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946D90">
            <w:rPr>
              <w:rFonts w:ascii="Times New Roman" w:hAnsi="Times New Roman" w:cs="Times New Roman"/>
              <w:b/>
              <w:bCs/>
              <w:sz w:val="36"/>
              <w:szCs w:val="36"/>
            </w:rPr>
            <w:t>LED ŠVIESTUVŲ GATVIŲ APŠVIETIMUI PIRKIMAS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D27FC8B"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946D90">
            <w:rPr>
              <w:rFonts w:ascii="Times New Roman" w:hAnsi="Times New Roman" w:cs="Times New Roman"/>
              <w:sz w:val="24"/>
              <w:szCs w:val="24"/>
            </w:rPr>
            <w:t>11</w:t>
          </w:r>
          <w:r w:rsidRPr="00A42DD4">
            <w:rPr>
              <w:rFonts w:ascii="Times New Roman" w:hAnsi="Times New Roman" w:cs="Times New Roman"/>
              <w:sz w:val="24"/>
              <w:szCs w:val="24"/>
            </w:rPr>
            <w:t>-</w:t>
          </w:r>
          <w:r w:rsidR="009229D5">
            <w:rPr>
              <w:rFonts w:ascii="Times New Roman" w:hAnsi="Times New Roman" w:cs="Times New Roman"/>
              <w:sz w:val="24"/>
              <w:szCs w:val="24"/>
            </w:rPr>
            <w:t>14</w:t>
          </w:r>
        </w:p>
        <w:p w14:paraId="20AEA50B" w14:textId="5D17897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229D5">
            <w:rPr>
              <w:rFonts w:ascii="Times New Roman" w:hAnsi="Times New Roman" w:cs="Times New Roman"/>
              <w:color w:val="000000"/>
              <w:sz w:val="24"/>
              <w:szCs w:val="24"/>
            </w:rPr>
            <w:t>798</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F31B968"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946D90" w:rsidRPr="00946D90">
        <w:rPr>
          <w:rFonts w:ascii="Times New Roman" w:hAnsi="Times New Roman" w:cs="Times New Roman"/>
          <w:sz w:val="24"/>
          <w:szCs w:val="24"/>
        </w:rPr>
        <w:t>2 priedo XVII skyriaus „Kelių projektavimo paslaugos ir statybos darbai, kelio elementai“ 28.1. punkt</w:t>
      </w:r>
      <w:r w:rsidR="00946D90">
        <w:rPr>
          <w:rFonts w:ascii="Times New Roman" w:hAnsi="Times New Roman" w:cs="Times New Roman"/>
          <w:sz w:val="24"/>
          <w:szCs w:val="24"/>
        </w:rPr>
        <w:t>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5D77A9CA"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946D90">
        <w:rPr>
          <w:rFonts w:ascii="Times New Roman" w:hAnsi="Times New Roman" w:cs="Times New Roman"/>
          <w:i/>
          <w:iCs/>
          <w:color w:val="000000"/>
          <w:sz w:val="24"/>
          <w:szCs w:val="24"/>
        </w:rPr>
        <w:t>LED šviestuvus gatvių apšvietimui</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523B30CB" w14:textId="705F76D1" w:rsidR="0012110C" w:rsidRPr="00245F2F" w:rsidRDefault="0012110C" w:rsidP="0012110C">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7.3.10</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3CBCB17" w14:textId="4D2716A2" w:rsidR="0012110C" w:rsidRPr="00245F2F" w:rsidRDefault="0012110C" w:rsidP="0012110C">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7.3.11</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C3B080B" w14:textId="55F5BF94" w:rsidR="0012110C" w:rsidRPr="00245F2F" w:rsidRDefault="0012110C" w:rsidP="0012110C">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BE8D30" w14:textId="1B279C95" w:rsidR="0012110C" w:rsidRPr="00FA0F02" w:rsidRDefault="0012110C" w:rsidP="0012110C">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7.3.13</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0E178C79" w:rsidR="005B7946" w:rsidRPr="00BB3DA2"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0E53A3">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0E53A3">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sutartis</w:t>
      </w:r>
      <w:r w:rsidRPr="00E907EB">
        <w:rPr>
          <w:rFonts w:ascii="Times New Roman" w:hAnsi="Times New Roman" w:cs="Times New Roman"/>
          <w:color w:val="EE0000"/>
          <w:sz w:val="24"/>
          <w:szCs w:val="24"/>
        </w:rPr>
        <w:t xml:space="preserve">. </w:t>
      </w:r>
      <w:r w:rsidR="00E907EB" w:rsidRPr="00BB3DA2">
        <w:rPr>
          <w:rFonts w:ascii="Times New Roman" w:hAnsi="Times New Roman" w:cs="Times New Roman"/>
          <w:sz w:val="24"/>
          <w:szCs w:val="24"/>
        </w:rPr>
        <w:t xml:space="preserve">Maksimali planuojamos sudaryti sutarties vertė </w:t>
      </w:r>
      <w:r w:rsidR="00654C47" w:rsidRPr="00BB3DA2">
        <w:rPr>
          <w:rFonts w:ascii="Times New Roman" w:hAnsi="Times New Roman" w:cs="Times New Roman"/>
          <w:b/>
          <w:bCs/>
          <w:sz w:val="24"/>
          <w:szCs w:val="24"/>
        </w:rPr>
        <w:t>30</w:t>
      </w:r>
      <w:r w:rsidR="00E907EB" w:rsidRPr="00BB3DA2">
        <w:rPr>
          <w:rFonts w:ascii="Times New Roman" w:hAnsi="Times New Roman" w:cs="Times New Roman"/>
          <w:b/>
          <w:bCs/>
          <w:sz w:val="24"/>
          <w:szCs w:val="24"/>
        </w:rPr>
        <w:t>000,00 Eur be PVM (</w:t>
      </w:r>
      <w:r w:rsidR="00654C47" w:rsidRPr="00BB3DA2">
        <w:rPr>
          <w:rFonts w:ascii="Times New Roman" w:hAnsi="Times New Roman" w:cs="Times New Roman"/>
          <w:b/>
          <w:bCs/>
          <w:sz w:val="24"/>
          <w:szCs w:val="24"/>
        </w:rPr>
        <w:t>3630</w:t>
      </w:r>
      <w:r w:rsidR="00E907EB" w:rsidRPr="00BB3DA2">
        <w:rPr>
          <w:rFonts w:ascii="Times New Roman" w:hAnsi="Times New Roman" w:cs="Times New Roman"/>
          <w:b/>
          <w:bCs/>
          <w:sz w:val="24"/>
          <w:szCs w:val="24"/>
        </w:rPr>
        <w:t>0,00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2541BC2F" w:rsidR="008E110C" w:rsidRPr="008E110C" w:rsidRDefault="00654C47"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Pr>
          <w:rFonts w:ascii="Times New Roman" w:hAnsi="Times New Roman" w:cs="Times New Roman"/>
          <w:sz w:val="24"/>
          <w:szCs w:val="24"/>
        </w:rPr>
        <w:t>Vietinio ūkio skyriaus vyriausiasis specialistas Vilius Lava</w:t>
      </w:r>
      <w:r w:rsidRPr="004F5365">
        <w:rPr>
          <w:rFonts w:ascii="Times New Roman" w:hAnsi="Times New Roman" w:cs="Times New Roman"/>
          <w:sz w:val="24"/>
          <w:szCs w:val="24"/>
        </w:rPr>
        <w:t xml:space="preserve">, tel.  </w:t>
      </w:r>
      <w:r>
        <w:rPr>
          <w:rFonts w:ascii="Times New Roman" w:hAnsi="Times New Roman" w:cs="Times New Roman"/>
          <w:sz w:val="24"/>
          <w:szCs w:val="24"/>
        </w:rPr>
        <w:t>(0 443)</w:t>
      </w:r>
      <w:r w:rsidRPr="004F5365">
        <w:rPr>
          <w:rFonts w:ascii="Times New Roman" w:hAnsi="Times New Roman" w:cs="Times New Roman"/>
          <w:sz w:val="24"/>
          <w:szCs w:val="24"/>
        </w:rPr>
        <w:t xml:space="preserve"> 9</w:t>
      </w:r>
      <w:r>
        <w:rPr>
          <w:rFonts w:ascii="Times New Roman" w:hAnsi="Times New Roman" w:cs="Times New Roman"/>
          <w:sz w:val="24"/>
          <w:szCs w:val="24"/>
        </w:rPr>
        <w:t>8 251</w:t>
      </w:r>
      <w:r w:rsidRPr="004F5365">
        <w:rPr>
          <w:rFonts w:ascii="Times New Roman" w:hAnsi="Times New Roman" w:cs="Times New Roman"/>
          <w:sz w:val="24"/>
          <w:szCs w:val="24"/>
          <w:shd w:val="clear" w:color="auto" w:fill="FFFFFF"/>
        </w:rPr>
        <w:t xml:space="preserve">, </w:t>
      </w:r>
      <w:r w:rsidRPr="004F5365">
        <w:rPr>
          <w:rFonts w:ascii="Times New Roman" w:hAnsi="Times New Roman" w:cs="Times New Roman"/>
          <w:color w:val="000000"/>
          <w:sz w:val="24"/>
          <w:szCs w:val="24"/>
        </w:rPr>
        <w:t xml:space="preserve">el. paštas: </w:t>
      </w:r>
      <w:hyperlink r:id="rId13" w:history="1">
        <w:r w:rsidRPr="00B5265C">
          <w:rPr>
            <w:rStyle w:val="Hipersaitas"/>
            <w:rFonts w:ascii="Times New Roman" w:hAnsi="Times New Roman" w:cs="Times New Roman"/>
            <w:sz w:val="24"/>
            <w:szCs w:val="24"/>
            <w:shd w:val="clear" w:color="auto" w:fill="FFFFFF"/>
          </w:rPr>
          <w:t>vilius.lava@mazeikiai.lt</w:t>
        </w:r>
      </w:hyperlink>
      <w:r w:rsidR="00BD4D5A" w:rsidRPr="008E110C">
        <w:rPr>
          <w:rFonts w:ascii="Times New Roman" w:hAnsi="Times New Roman" w:cs="Times New Roman"/>
          <w:iCs/>
          <w:sz w:val="24"/>
          <w:szCs w:val="24"/>
        </w:rPr>
        <w:t>,</w:t>
      </w:r>
      <w:r w:rsidR="00BD4D5A"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E2EA" w14:textId="77777777" w:rsidR="00474AF5" w:rsidRDefault="00474AF5" w:rsidP="00D05666">
      <w:r>
        <w:separator/>
      </w:r>
    </w:p>
  </w:endnote>
  <w:endnote w:type="continuationSeparator" w:id="0">
    <w:p w14:paraId="630B3E6F" w14:textId="77777777" w:rsidR="00474AF5" w:rsidRDefault="00474AF5" w:rsidP="00D05666">
      <w:r>
        <w:continuationSeparator/>
      </w:r>
    </w:p>
  </w:endnote>
  <w:endnote w:type="continuationNotice" w:id="1">
    <w:p w14:paraId="2BD8883F" w14:textId="77777777" w:rsidR="00474AF5" w:rsidRDefault="00474A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0728" w14:textId="77777777" w:rsidR="00474AF5" w:rsidRDefault="00474AF5" w:rsidP="00D05666">
      <w:r>
        <w:separator/>
      </w:r>
    </w:p>
  </w:footnote>
  <w:footnote w:type="continuationSeparator" w:id="0">
    <w:p w14:paraId="54DFC3F2" w14:textId="77777777" w:rsidR="00474AF5" w:rsidRDefault="00474AF5" w:rsidP="00D05666">
      <w:r>
        <w:continuationSeparator/>
      </w:r>
    </w:p>
  </w:footnote>
  <w:footnote w:type="continuationNotice" w:id="1">
    <w:p w14:paraId="1C26E892" w14:textId="77777777" w:rsidR="00474AF5" w:rsidRDefault="00474AF5">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F22"/>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27"/>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10C"/>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0A2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78"/>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B4A"/>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4AF5"/>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4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031"/>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9D5"/>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46D90"/>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6957"/>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DA2"/>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47E5B"/>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7E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FA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BC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D16"/>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DD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CD8"/>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us.lava@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10509</Words>
  <Characters>5991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2021-11-02T20:49:00Z</cp:lastPrinted>
  <dcterms:created xsi:type="dcterms:W3CDTF">2025-11-12T13:52:00Z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