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D5C9" w14:textId="77777777" w:rsidR="00BC4A4E" w:rsidRPr="00D12A45" w:rsidRDefault="00BC4A4E" w:rsidP="00BC4A4E">
      <w:pPr>
        <w:pStyle w:val="SLONormal"/>
        <w:jc w:val="center"/>
        <w:rPr>
          <w:b/>
          <w:bCs/>
          <w:lang w:val="lt-LT"/>
        </w:rPr>
      </w:pPr>
      <w:r w:rsidRPr="00D12A45">
        <w:rPr>
          <w:b/>
          <w:bCs/>
          <w:lang w:val="lt-LT"/>
        </w:rPr>
        <w:t>RINKOS KONSULTACIJA</w:t>
      </w:r>
    </w:p>
    <w:p w14:paraId="356D3B4A" w14:textId="77777777" w:rsidR="00BC4A4E" w:rsidRPr="00D12A45" w:rsidRDefault="00BC4A4E" w:rsidP="00BC4A4E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D12A45">
        <w:rPr>
          <w:rFonts w:ascii="Times New Roman Bold" w:hAnsi="Times New Roman Bold" w:cs="Times New Roman"/>
          <w:b/>
          <w:caps/>
          <w:sz w:val="24"/>
          <w:szCs w:val="24"/>
        </w:rPr>
        <w:t xml:space="preserve">sterilizatoriaus (autoklavo) </w:t>
      </w:r>
      <w:r w:rsidRPr="00D12A45">
        <w:rPr>
          <w:rFonts w:cs="Times New Roman"/>
          <w:b/>
          <w:sz w:val="24"/>
          <w:szCs w:val="24"/>
        </w:rPr>
        <w:t>PIRKIMAS</w:t>
      </w:r>
    </w:p>
    <w:p w14:paraId="3A88535C" w14:textId="62D52378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  <w:r w:rsidRPr="00D12A45">
        <w:rPr>
          <w:lang w:val="lt-LT"/>
        </w:rPr>
        <w:t xml:space="preserve">2024 m. </w:t>
      </w:r>
      <w:r w:rsidR="006416D8">
        <w:rPr>
          <w:lang w:val="lt-LT"/>
        </w:rPr>
        <w:t xml:space="preserve">gruodžio </w:t>
      </w:r>
      <w:r w:rsidR="003275A7">
        <w:rPr>
          <w:lang w:val="lt-LT"/>
        </w:rPr>
        <w:t>19</w:t>
      </w:r>
      <w:r w:rsidR="006416D8">
        <w:rPr>
          <w:lang w:val="lt-LT"/>
        </w:rPr>
        <w:t xml:space="preserve"> </w:t>
      </w:r>
      <w:r w:rsidRPr="00D12A45">
        <w:rPr>
          <w:lang w:val="lt-LT"/>
        </w:rPr>
        <w:t xml:space="preserve"> d.</w:t>
      </w:r>
    </w:p>
    <w:p w14:paraId="1AF2C338" w14:textId="77777777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  <w:r w:rsidRPr="00D12A45">
        <w:rPr>
          <w:lang w:val="lt-LT"/>
        </w:rPr>
        <w:t>Kaunas</w:t>
      </w:r>
    </w:p>
    <w:p w14:paraId="6E380A2A" w14:textId="77777777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</w:p>
    <w:p w14:paraId="76EAF0C1" w14:textId="77777777" w:rsidR="00BC4A4E" w:rsidRPr="00D12A45" w:rsidRDefault="00BC4A4E" w:rsidP="00BC4A4E">
      <w:pPr>
        <w:pStyle w:val="SLONormal"/>
        <w:tabs>
          <w:tab w:val="left" w:pos="1276"/>
        </w:tabs>
        <w:ind w:left="360"/>
        <w:rPr>
          <w:i/>
          <w:iCs/>
          <w:lang w:val="lt-LT"/>
        </w:rPr>
      </w:pPr>
      <w:r w:rsidRPr="00D12A45">
        <w:rPr>
          <w:lang w:val="lt-LT"/>
        </w:rPr>
        <w:t>1. Lietuvos sveikatos mokslų universitetas (LSMU) suinteresuotus dalyvius kvietė sudalyvauti rinkos konsultacijoje dėl</w:t>
      </w:r>
      <w:r w:rsidRPr="00D12A45">
        <w:rPr>
          <w:rFonts w:eastAsia="TimesNewRomanPS-BoldMT"/>
          <w:lang w:val="lt-LT"/>
        </w:rPr>
        <w:t xml:space="preserve"> </w:t>
      </w:r>
      <w:r w:rsidRPr="00D12A45">
        <w:rPr>
          <w:color w:val="000000"/>
          <w:lang w:val="lt-LT"/>
        </w:rPr>
        <w:t xml:space="preserve">renginių organizavimo paslaugos </w:t>
      </w:r>
      <w:r w:rsidRPr="00D12A45">
        <w:rPr>
          <w:lang w:val="lt-LT"/>
        </w:rPr>
        <w:t>pirkimo (toliau – Pirkimas).</w:t>
      </w:r>
    </w:p>
    <w:p w14:paraId="2E2313ED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nustatyta tvarka.</w:t>
      </w:r>
    </w:p>
    <w:p w14:paraId="12C02FA9" w14:textId="1F626C8A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3. Rinkos konsultacija CVP IS paskelbta 2024-</w:t>
      </w:r>
      <w:r w:rsidR="00532673" w:rsidRPr="00D12A45">
        <w:rPr>
          <w:lang w:val="lt-LT"/>
        </w:rPr>
        <w:t>1</w:t>
      </w:r>
      <w:r w:rsidR="006416D8">
        <w:rPr>
          <w:lang w:val="lt-LT"/>
        </w:rPr>
        <w:t>2</w:t>
      </w:r>
      <w:r w:rsidRPr="00D12A45">
        <w:rPr>
          <w:lang w:val="lt-LT"/>
        </w:rPr>
        <w:t>-</w:t>
      </w:r>
      <w:r w:rsidR="006416D8">
        <w:rPr>
          <w:lang w:val="lt-LT"/>
        </w:rPr>
        <w:t>09</w:t>
      </w:r>
      <w:r w:rsidRPr="00D12A45">
        <w:rPr>
          <w:rStyle w:val="FootnoteReference"/>
          <w:lang w:val="lt-LT"/>
        </w:rPr>
        <w:footnoteReference w:id="1"/>
      </w:r>
      <w:r w:rsidRPr="00D12A45">
        <w:rPr>
          <w:lang w:val="lt-LT"/>
        </w:rPr>
        <w:t>. Terminas tiekėjams pareikšti susidomėjimą ir dalyvauti rinkos konsultacijoje buvo iki 2024-</w:t>
      </w:r>
      <w:r w:rsidR="001B1D84" w:rsidRPr="00D12A45">
        <w:rPr>
          <w:lang w:val="lt-LT"/>
        </w:rPr>
        <w:t>1</w:t>
      </w:r>
      <w:r w:rsidR="006416D8">
        <w:rPr>
          <w:lang w:val="lt-LT"/>
        </w:rPr>
        <w:t>2</w:t>
      </w:r>
      <w:r w:rsidRPr="00D12A45">
        <w:rPr>
          <w:lang w:val="lt-LT"/>
        </w:rPr>
        <w:t>-</w:t>
      </w:r>
      <w:r w:rsidR="001B1D84" w:rsidRPr="00D12A45">
        <w:rPr>
          <w:lang w:val="lt-LT"/>
        </w:rPr>
        <w:t>1</w:t>
      </w:r>
      <w:r w:rsidR="002E2DF4">
        <w:rPr>
          <w:lang w:val="lt-LT"/>
        </w:rPr>
        <w:t>3</w:t>
      </w:r>
      <w:r w:rsidRPr="00D12A45">
        <w:rPr>
          <w:lang w:val="lt-LT"/>
        </w:rPr>
        <w:t>,  0</w:t>
      </w:r>
      <w:r w:rsidR="00732CF4" w:rsidRPr="00D12A45">
        <w:rPr>
          <w:lang w:val="lt-LT"/>
        </w:rPr>
        <w:t>8</w:t>
      </w:r>
      <w:r w:rsidRPr="00D12A45">
        <w:rPr>
          <w:lang w:val="lt-LT"/>
        </w:rPr>
        <w:t xml:space="preserve">:00 val. Lietuvos laiku. </w:t>
      </w:r>
    </w:p>
    <w:p w14:paraId="71F12196" w14:textId="0C8CDFED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 xml:space="preserve">4. Iš viso norą sudalyvauti rinkos konsultacijoje dėl </w:t>
      </w:r>
      <w:r w:rsidRPr="00D12A45">
        <w:rPr>
          <w:spacing w:val="-1"/>
          <w:lang w:val="lt-LT"/>
        </w:rPr>
        <w:t>Pirkimo</w:t>
      </w:r>
      <w:r w:rsidRPr="00D12A45">
        <w:rPr>
          <w:lang w:val="lt-LT"/>
        </w:rPr>
        <w:t xml:space="preserve"> išreiškė </w:t>
      </w:r>
      <w:r w:rsidR="006478AD">
        <w:rPr>
          <w:lang w:val="lt-LT"/>
        </w:rPr>
        <w:t>2</w:t>
      </w:r>
      <w:r w:rsidRPr="00D12A45">
        <w:rPr>
          <w:lang w:val="lt-LT"/>
        </w:rPr>
        <w:t xml:space="preserve"> (</w:t>
      </w:r>
      <w:r w:rsidR="006478AD">
        <w:rPr>
          <w:lang w:val="lt-LT"/>
        </w:rPr>
        <w:t>du</w:t>
      </w:r>
      <w:r w:rsidRPr="00D12A45">
        <w:rPr>
          <w:lang w:val="lt-LT"/>
        </w:rPr>
        <w:t>) dalyvi</w:t>
      </w:r>
      <w:r w:rsidR="00732CF4" w:rsidRPr="00D12A45">
        <w:rPr>
          <w:lang w:val="lt-LT"/>
        </w:rPr>
        <w:t>ai</w:t>
      </w:r>
      <w:r w:rsidRPr="00D12A45">
        <w:rPr>
          <w:lang w:val="lt-LT"/>
        </w:rPr>
        <w:t xml:space="preserve"> (toliau atitinkamai – dalyvis), </w:t>
      </w:r>
      <w:r w:rsidR="00EF7370" w:rsidRPr="00D12A45">
        <w:rPr>
          <w:lang w:val="lt-LT"/>
        </w:rPr>
        <w:t>kurių atsakymai bei įžvalgos ir yra aptariamos šioje ataskaitoje</w:t>
      </w:r>
      <w:r w:rsidR="00F02FDE" w:rsidRPr="00D12A45">
        <w:rPr>
          <w:lang w:val="lt-LT"/>
        </w:rPr>
        <w:t xml:space="preserve">. </w:t>
      </w:r>
    </w:p>
    <w:p w14:paraId="4AA2645D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52F11AC7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6. Ši ataskaita yra parengta toliau nurodytu formatu:</w:t>
      </w:r>
    </w:p>
    <w:p w14:paraId="069D19B7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  <w:r w:rsidRPr="00D12A45">
        <w:rPr>
          <w:lang w:val="lt-LT"/>
        </w:rPr>
        <w:t xml:space="preserve"> 6.1. dalyvių atsakymai į LSMU parengtą klausimyną (I dalis);</w:t>
      </w:r>
    </w:p>
    <w:p w14:paraId="53F037A7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  <w:r w:rsidRPr="00D12A45">
        <w:rPr>
          <w:lang w:val="lt-LT"/>
        </w:rPr>
        <w:t>6.2. išvada (II dalis).</w:t>
      </w:r>
    </w:p>
    <w:p w14:paraId="71B2D8A1" w14:textId="77777777" w:rsidR="00593089" w:rsidRDefault="00593089" w:rsidP="00BC4A4E">
      <w:pPr>
        <w:pStyle w:val="SLONormal"/>
        <w:tabs>
          <w:tab w:val="left" w:pos="993"/>
        </w:tabs>
        <w:ind w:left="360"/>
        <w:rPr>
          <w:lang w:val="lt-LT"/>
        </w:rPr>
        <w:sectPr w:rsidR="00593089" w:rsidSect="00DA66E5">
          <w:pgSz w:w="11906" w:h="16838"/>
          <w:pgMar w:top="709" w:right="1440" w:bottom="851" w:left="1440" w:header="567" w:footer="567" w:gutter="0"/>
          <w:cols w:space="1296"/>
          <w:docGrid w:linePitch="360"/>
        </w:sectPr>
      </w:pPr>
    </w:p>
    <w:p w14:paraId="4193E805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</w:p>
    <w:p w14:paraId="027115A6" w14:textId="77777777" w:rsidR="00167C1A" w:rsidRPr="00D12A45" w:rsidRDefault="00167C1A" w:rsidP="00167C1A">
      <w:pPr>
        <w:pStyle w:val="SLONormal"/>
        <w:numPr>
          <w:ilvl w:val="0"/>
          <w:numId w:val="2"/>
        </w:numPr>
        <w:tabs>
          <w:tab w:val="left" w:pos="4111"/>
          <w:tab w:val="left" w:pos="4253"/>
        </w:tabs>
        <w:spacing w:line="360" w:lineRule="auto"/>
        <w:jc w:val="center"/>
        <w:rPr>
          <w:b/>
          <w:bCs/>
          <w:caps/>
          <w:lang w:val="lt-LT"/>
        </w:rPr>
      </w:pPr>
      <w:r w:rsidRPr="00D12A45">
        <w:rPr>
          <w:b/>
          <w:bCs/>
          <w:caps/>
          <w:lang w:val="lt-LT"/>
        </w:rPr>
        <w:t>Dalyvių atsakymai į LSMU parengtą klausimyną</w:t>
      </w:r>
    </w:p>
    <w:p w14:paraId="5FEA32A1" w14:textId="77777777" w:rsidR="00DA66E5" w:rsidRPr="00D12A45" w:rsidRDefault="00DA66E5" w:rsidP="00DA66E5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D12A45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4458" w:type="dxa"/>
        <w:tblInd w:w="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3620"/>
        <w:gridCol w:w="4531"/>
        <w:gridCol w:w="5670"/>
      </w:tblGrid>
      <w:tr w:rsidR="00AE4C1C" w:rsidRPr="00D12A45" w14:paraId="2C45770A" w14:textId="0B3A4F4C" w:rsidTr="00AE4C1C">
        <w:trPr>
          <w:trHeight w:val="67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339E" w14:textId="77777777" w:rsidR="00AE4C1C" w:rsidRPr="00D12A45" w:rsidRDefault="00AE4C1C" w:rsidP="00C07478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F8CE" w14:textId="77777777" w:rsidR="00AE4C1C" w:rsidRPr="00D12A45" w:rsidRDefault="00AE4C1C" w:rsidP="00C07478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11A" w14:textId="0221F13B" w:rsidR="00AE4C1C" w:rsidRPr="00D12A45" w:rsidRDefault="00AE4C1C" w:rsidP="00C0747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 dalyvio nuomonė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3D29" w14:textId="5FA7A6D9" w:rsidR="00AE4C1C" w:rsidRPr="00D12A45" w:rsidRDefault="00AE4C1C" w:rsidP="00C0747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2 dalyvio nuomonė</w:t>
            </w:r>
          </w:p>
        </w:tc>
      </w:tr>
      <w:tr w:rsidR="00AE4C1C" w:rsidRPr="00D12A45" w14:paraId="4BDB654B" w14:textId="08637A67" w:rsidTr="00AE4C1C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90CC" w14:textId="77777777" w:rsidR="00AE4C1C" w:rsidRPr="00D12A45" w:rsidRDefault="00AE4C1C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DDF7" w14:textId="77777777" w:rsidR="00AE4C1C" w:rsidRPr="00D12A45" w:rsidRDefault="00AE4C1C" w:rsidP="0014401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6647304F" w14:textId="77777777" w:rsidR="00AE4C1C" w:rsidRPr="00D12A45" w:rsidRDefault="00AE4C1C" w:rsidP="0014401B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25A8" w14:textId="02DDFA71" w:rsidR="006A170F" w:rsidRDefault="006A170F" w:rsidP="006A170F">
            <w:r>
              <w:rPr>
                <w:rStyle w:val="fontstyle01"/>
              </w:rPr>
              <w:t>Yra klaidų. Specifikacijos 3 ir 4 punktai.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Darbinė kameros talpa nurodyta ne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mažiau kaip 23l. Manau, kad turima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minty tiesiog (bendra) kameros talpa,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nes darbinė talpa tai kroviniui sudėti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reikalingas tūris, kuris cilindinėse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kamerose mažesnis apie 1/4 (t.r.</w:t>
            </w:r>
            <w:r w:rsidR="0072157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darbinis tūris yra apie 17l).</w:t>
            </w:r>
          </w:p>
          <w:p w14:paraId="4198918B" w14:textId="77777777" w:rsidR="00AE4C1C" w:rsidRDefault="006A170F" w:rsidP="0014401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170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>Atsakymas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51E95824" w14:textId="2DC7355D" w:rsidR="006A170F" w:rsidRPr="00D12A45" w:rsidRDefault="000022E9" w:rsidP="000022E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Skelbiant pirkimą </w:t>
            </w:r>
            <w:r w:rsidR="00354C4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Perkančioji organizacija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pa</w:t>
            </w:r>
            <w:r w:rsidR="00354C4C">
              <w:rPr>
                <w:rFonts w:eastAsia="Times New Roman" w:cs="Times New Roman"/>
                <w:sz w:val="24"/>
                <w:szCs w:val="24"/>
                <w:lang w:eastAsia="lt-LT"/>
              </w:rPr>
              <w:t>tikslin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s</w:t>
            </w:r>
            <w:r w:rsidR="00354C4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šį punktą sekančiai: Sterilizatoriaus talpa ne mažiau kaip 23 l.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E7D" w14:textId="77777777" w:rsidR="00AE4C1C" w:rsidRDefault="00A47AA3" w:rsidP="0092286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Siūlome atlikti kelis pakeitimus techninėje specifikacijoje. Techninė specifikacija pridedama atskirai. Atlikus pakeitimus daugiau tiekėjų galės dalyvauti pirkime ir perkančioji organizacija gaus konkurencingesnius pasiūlymus.</w:t>
            </w:r>
          </w:p>
          <w:p w14:paraId="2AC4E31A" w14:textId="7AFE87D0" w:rsidR="00A47AA3" w:rsidRDefault="00E178C2" w:rsidP="0014401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1. </w:t>
            </w:r>
            <w:r w:rsidR="0078796A" w:rsidRPr="00AF56AC">
              <w:rPr>
                <w:sz w:val="24"/>
                <w:szCs w:val="24"/>
                <w:lang w:eastAsia="lt-LT"/>
              </w:rPr>
              <w:t xml:space="preserve">Duomenys apie sterilizaciją išsaugomi CF arba lygiagrečioje </w:t>
            </w:r>
            <w:r w:rsidR="0078796A" w:rsidRPr="00C819DD">
              <w:rPr>
                <w:strike/>
                <w:sz w:val="24"/>
                <w:szCs w:val="24"/>
                <w:lang w:eastAsia="lt-LT"/>
              </w:rPr>
              <w:t>kortelėje</w:t>
            </w:r>
            <w:r w:rsidR="0078796A" w:rsidRPr="00C819DD">
              <w:rPr>
                <w:sz w:val="24"/>
                <w:szCs w:val="24"/>
                <w:lang w:eastAsia="lt-LT"/>
              </w:rPr>
              <w:t xml:space="preserve"> </w:t>
            </w:r>
            <w:r w:rsidR="0078796A" w:rsidRPr="00C819DD">
              <w:rPr>
                <w:color w:val="FF0000"/>
                <w:sz w:val="24"/>
                <w:szCs w:val="24"/>
                <w:lang w:eastAsia="lt-LT"/>
              </w:rPr>
              <w:t>duomenų</w:t>
            </w:r>
            <w:r w:rsidR="0078796A">
              <w:rPr>
                <w:color w:val="FF0000"/>
                <w:sz w:val="24"/>
                <w:szCs w:val="24"/>
                <w:lang w:eastAsia="lt-LT"/>
              </w:rPr>
              <w:t xml:space="preserve"> saugojimo sistemoje</w:t>
            </w:r>
          </w:p>
          <w:p w14:paraId="5E492A85" w14:textId="77777777" w:rsidR="00A47AA3" w:rsidRDefault="00A47AA3" w:rsidP="00A47AA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170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>Atsakymas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65E5E0D" w14:textId="77EF9F74" w:rsidR="00A47AA3" w:rsidRDefault="000022E9" w:rsidP="000022E9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Skelbiant pirkimą </w:t>
            </w:r>
            <w:r w:rsidR="00E178C2">
              <w:rPr>
                <w:rFonts w:eastAsia="Times New Roman" w:cs="Times New Roman"/>
                <w:sz w:val="24"/>
                <w:szCs w:val="24"/>
                <w:lang w:eastAsia="lt-LT"/>
              </w:rPr>
              <w:t>Perkančioji</w:t>
            </w:r>
            <w:r w:rsidR="0092286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organizacija panaikins šį reikalavimą.</w:t>
            </w:r>
          </w:p>
          <w:p w14:paraId="085D92C0" w14:textId="77777777" w:rsidR="0092286F" w:rsidRDefault="0092286F" w:rsidP="0014401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243E04A7" w14:textId="263F3D24" w:rsidR="0078796A" w:rsidRDefault="00E178C2" w:rsidP="0014401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2. </w:t>
            </w:r>
            <w:r w:rsidR="00D700BF" w:rsidRPr="00AF56AC">
              <w:rPr>
                <w:sz w:val="24"/>
                <w:szCs w:val="24"/>
                <w:lang w:eastAsia="lt-LT"/>
              </w:rPr>
              <w:t>Galimybė pakrauti ne mažiau kaip</w:t>
            </w:r>
            <w:r w:rsidR="00D700BF" w:rsidRPr="004C64E2">
              <w:rPr>
                <w:strike/>
                <w:sz w:val="24"/>
                <w:szCs w:val="24"/>
                <w:lang w:eastAsia="lt-LT"/>
              </w:rPr>
              <w:t xml:space="preserve"> 9 kg</w:t>
            </w:r>
            <w:r w:rsidR="00D700BF" w:rsidRPr="00AF56AC">
              <w:rPr>
                <w:sz w:val="24"/>
                <w:szCs w:val="24"/>
                <w:lang w:eastAsia="lt-LT"/>
              </w:rPr>
              <w:t xml:space="preserve"> </w:t>
            </w:r>
            <w:r w:rsidR="00D700BF" w:rsidRPr="004C64E2">
              <w:rPr>
                <w:color w:val="FF0000"/>
                <w:sz w:val="24"/>
                <w:szCs w:val="24"/>
                <w:lang w:eastAsia="lt-LT"/>
              </w:rPr>
              <w:t xml:space="preserve">6 kg </w:t>
            </w:r>
            <w:r w:rsidR="00D700BF">
              <w:rPr>
                <w:sz w:val="24"/>
                <w:szCs w:val="24"/>
                <w:lang w:eastAsia="lt-LT"/>
              </w:rPr>
              <w:t xml:space="preserve">nepakuotų </w:t>
            </w:r>
            <w:r w:rsidR="00D700BF" w:rsidRPr="00AF56AC">
              <w:rPr>
                <w:sz w:val="24"/>
                <w:szCs w:val="24"/>
                <w:lang w:eastAsia="lt-LT"/>
              </w:rPr>
              <w:t>instrumentų</w:t>
            </w:r>
            <w:r w:rsidR="00D700BF">
              <w:rPr>
                <w:sz w:val="24"/>
                <w:szCs w:val="24"/>
                <w:lang w:eastAsia="lt-LT"/>
              </w:rPr>
              <w:t xml:space="preserve">, </w:t>
            </w:r>
            <w:r w:rsidR="00D700BF" w:rsidRPr="00AF56AC">
              <w:rPr>
                <w:sz w:val="24"/>
                <w:szCs w:val="24"/>
                <w:lang w:eastAsia="lt-LT"/>
              </w:rPr>
              <w:t xml:space="preserve">ne mažiau kaip </w:t>
            </w:r>
            <w:r w:rsidR="00D700BF">
              <w:rPr>
                <w:sz w:val="24"/>
                <w:szCs w:val="24"/>
                <w:lang w:eastAsia="lt-LT"/>
              </w:rPr>
              <w:t>1.5</w:t>
            </w:r>
            <w:r w:rsidR="00D700BF" w:rsidRPr="00AF56AC">
              <w:rPr>
                <w:sz w:val="24"/>
                <w:szCs w:val="24"/>
                <w:lang w:eastAsia="lt-LT"/>
              </w:rPr>
              <w:t xml:space="preserve"> kg </w:t>
            </w:r>
            <w:r w:rsidR="00D700BF">
              <w:rPr>
                <w:sz w:val="24"/>
                <w:szCs w:val="24"/>
                <w:lang w:eastAsia="lt-LT"/>
              </w:rPr>
              <w:t xml:space="preserve">pakuotos </w:t>
            </w:r>
            <w:r w:rsidR="00D700BF" w:rsidRPr="00AF56AC">
              <w:rPr>
                <w:sz w:val="24"/>
                <w:szCs w:val="24"/>
                <w:lang w:eastAsia="lt-LT"/>
              </w:rPr>
              <w:t>tekstilės</w:t>
            </w:r>
          </w:p>
          <w:p w14:paraId="6B91B95E" w14:textId="6963F323" w:rsidR="00D700BF" w:rsidRDefault="00E178C2" w:rsidP="0014401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3. </w:t>
            </w:r>
            <w:r w:rsidR="00230B16" w:rsidRPr="00AF56AC">
              <w:rPr>
                <w:sz w:val="24"/>
                <w:szCs w:val="24"/>
                <w:lang w:eastAsia="lt-LT"/>
              </w:rPr>
              <w:t xml:space="preserve">Galimybė įdėti į autoklavo kamerą ne mažiau kaip </w:t>
            </w:r>
            <w:r w:rsidR="00230B16" w:rsidRPr="004C64E2">
              <w:rPr>
                <w:strike/>
                <w:sz w:val="24"/>
                <w:szCs w:val="24"/>
                <w:lang w:eastAsia="lt-LT"/>
              </w:rPr>
              <w:t>6</w:t>
            </w:r>
            <w:r w:rsidR="00230B16">
              <w:rPr>
                <w:sz w:val="24"/>
                <w:szCs w:val="24"/>
                <w:lang w:eastAsia="lt-LT"/>
              </w:rPr>
              <w:t xml:space="preserve"> </w:t>
            </w:r>
            <w:r w:rsidR="00230B16" w:rsidRPr="004C64E2">
              <w:rPr>
                <w:color w:val="FF0000"/>
                <w:sz w:val="24"/>
                <w:szCs w:val="24"/>
                <w:lang w:eastAsia="lt-LT"/>
              </w:rPr>
              <w:t>5 padėklus</w:t>
            </w:r>
            <w:r w:rsidR="00230B16">
              <w:rPr>
                <w:sz w:val="24"/>
                <w:szCs w:val="24"/>
                <w:lang w:eastAsia="lt-LT"/>
              </w:rPr>
              <w:t xml:space="preserve">, </w:t>
            </w:r>
            <w:r w:rsidR="00230B16" w:rsidRPr="00AF56AC">
              <w:rPr>
                <w:sz w:val="24"/>
                <w:szCs w:val="24"/>
                <w:lang w:eastAsia="lt-LT"/>
              </w:rPr>
              <w:t>kurių matmenys</w:t>
            </w:r>
            <w:r w:rsidR="00230B16">
              <w:rPr>
                <w:sz w:val="24"/>
                <w:szCs w:val="24"/>
                <w:lang w:eastAsia="lt-LT"/>
              </w:rPr>
              <w:t xml:space="preserve"> ne mažesnis kaip </w:t>
            </w:r>
            <w:r w:rsidR="00230B16" w:rsidRPr="00717665">
              <w:rPr>
                <w:sz w:val="24"/>
                <w:szCs w:val="24"/>
                <w:lang w:eastAsia="lt-LT"/>
              </w:rPr>
              <w:t>1</w:t>
            </w:r>
            <w:r w:rsidR="00230B16">
              <w:rPr>
                <w:sz w:val="24"/>
                <w:szCs w:val="24"/>
                <w:lang w:eastAsia="lt-LT"/>
              </w:rPr>
              <w:t>9 cm x 38 cm</w:t>
            </w:r>
          </w:p>
          <w:p w14:paraId="12CFCE18" w14:textId="323D4E03" w:rsidR="00C80870" w:rsidRPr="00AF56AC" w:rsidRDefault="00CF6738" w:rsidP="00CF6738">
            <w:pPr>
              <w:pStyle w:val="TableParagraph"/>
              <w:ind w:right="136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4. </w:t>
            </w:r>
            <w:r w:rsidR="00C80870" w:rsidRPr="00AF56AC">
              <w:rPr>
                <w:sz w:val="24"/>
                <w:szCs w:val="24"/>
                <w:lang w:eastAsia="lt-LT"/>
              </w:rPr>
              <w:t>Kartu su autoklavu turi būti pateikiami:</w:t>
            </w:r>
          </w:p>
          <w:p w14:paraId="12043E8B" w14:textId="77777777" w:rsidR="00230B16" w:rsidRDefault="00C80870" w:rsidP="00C80870">
            <w:pPr>
              <w:rPr>
                <w:sz w:val="24"/>
                <w:szCs w:val="24"/>
                <w:lang w:eastAsia="lt-LT"/>
              </w:rPr>
            </w:pPr>
            <w:r w:rsidRPr="00AF56AC">
              <w:rPr>
                <w:sz w:val="24"/>
                <w:szCs w:val="24"/>
                <w:lang w:eastAsia="lt-LT"/>
              </w:rPr>
              <w:t xml:space="preserve">Ne mažiau kaip </w:t>
            </w:r>
            <w:r w:rsidRPr="00200A9D">
              <w:rPr>
                <w:strike/>
                <w:sz w:val="24"/>
                <w:szCs w:val="24"/>
                <w:lang w:eastAsia="lt-LT"/>
              </w:rPr>
              <w:t>6 vnt.</w:t>
            </w:r>
            <w:r w:rsidRPr="00AF56AC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FF0000"/>
                <w:sz w:val="24"/>
                <w:szCs w:val="24"/>
                <w:lang w:eastAsia="lt-LT"/>
              </w:rPr>
              <w:t xml:space="preserve">5 vnt. </w:t>
            </w:r>
            <w:r w:rsidRPr="00AF56AC">
              <w:rPr>
                <w:sz w:val="24"/>
                <w:szCs w:val="24"/>
                <w:lang w:eastAsia="lt-LT"/>
              </w:rPr>
              <w:t xml:space="preserve">padėklų kurių matmenys ne mažesni </w:t>
            </w:r>
            <w:r>
              <w:rPr>
                <w:sz w:val="24"/>
                <w:szCs w:val="24"/>
                <w:lang w:eastAsia="lt-LT"/>
              </w:rPr>
              <w:t xml:space="preserve">kaip </w:t>
            </w:r>
            <w:r w:rsidRPr="00AF56AC">
              <w:rPr>
                <w:sz w:val="24"/>
                <w:szCs w:val="24"/>
                <w:lang w:eastAsia="lt-LT"/>
              </w:rPr>
              <w:t>19</w:t>
            </w:r>
            <w:r>
              <w:rPr>
                <w:sz w:val="24"/>
                <w:szCs w:val="24"/>
                <w:lang w:eastAsia="lt-LT"/>
              </w:rPr>
              <w:t xml:space="preserve"> cm </w:t>
            </w:r>
            <w:r w:rsidRPr="00AF56AC">
              <w:rPr>
                <w:sz w:val="24"/>
                <w:szCs w:val="24"/>
                <w:lang w:eastAsia="lt-LT"/>
              </w:rPr>
              <w:t>x</w:t>
            </w:r>
            <w:r>
              <w:rPr>
                <w:sz w:val="24"/>
                <w:szCs w:val="24"/>
                <w:lang w:eastAsia="lt-LT"/>
              </w:rPr>
              <w:t xml:space="preserve"> 38 </w:t>
            </w:r>
            <w:r w:rsidRPr="00AF56AC">
              <w:rPr>
                <w:sz w:val="24"/>
                <w:szCs w:val="24"/>
                <w:lang w:eastAsia="lt-LT"/>
              </w:rPr>
              <w:t>cm</w:t>
            </w:r>
            <w:r>
              <w:rPr>
                <w:sz w:val="24"/>
                <w:szCs w:val="24"/>
                <w:lang w:eastAsia="lt-LT"/>
              </w:rPr>
              <w:t>;</w:t>
            </w:r>
          </w:p>
          <w:p w14:paraId="47E004D5" w14:textId="0BDF1614" w:rsidR="00C80870" w:rsidRDefault="00C80870" w:rsidP="00C80870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170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>Atsakymas</w:t>
            </w:r>
            <w:r w:rsidR="005416F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 xml:space="preserve"> į 2-4 punktus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3AA3F91F" w14:textId="64F0F3C5" w:rsidR="00C80870" w:rsidRPr="00D12A45" w:rsidRDefault="005416FF" w:rsidP="00656217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B42B8">
              <w:rPr>
                <w:rFonts w:eastAsia="Times New Roman" w:cs="Times New Roman"/>
                <w:sz w:val="24"/>
                <w:szCs w:val="24"/>
                <w:lang w:eastAsia="lt-LT"/>
              </w:rPr>
              <w:t>Dėl didelio kiekio ir apkrovos sterilizuojamų gamininių yra poreikis pakrauti daugiau kilogramų instrumentų.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Perkančioji organizacija </w:t>
            </w: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nekeis reikalavimo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D55288" w:rsidRPr="00D12A45" w14:paraId="5A800095" w14:textId="2F1C9F64" w:rsidTr="00AE4C1C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C6D0" w14:textId="77777777" w:rsidR="00D55288" w:rsidRPr="00D12A45" w:rsidRDefault="00D55288" w:rsidP="00D55288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E7DC" w14:textId="77777777" w:rsidR="00D55288" w:rsidRPr="00D12A45" w:rsidRDefault="00D55288" w:rsidP="00D55288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 – ne didesnė nei 7 000,00 Eur be PVM</w:t>
            </w:r>
            <w:r w:rsidRPr="00D12A45">
              <w:t xml:space="preserve"> </w:t>
            </w: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8D4" w14:textId="4340C200" w:rsidR="00D55288" w:rsidRDefault="00D55288" w:rsidP="00E178C2">
            <w:pPr>
              <w:jc w:val="both"/>
            </w:pPr>
            <w:r>
              <w:rPr>
                <w:rStyle w:val="fontstyle01"/>
              </w:rPr>
              <w:t>Suma „ant ribos“ (žr. p.6) kokybiškam,</w:t>
            </w:r>
            <w:r w:rsidR="00E178C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našiam (trumpi ciklai, didelis kiekis</w:t>
            </w:r>
            <w:r w:rsidR="00E178C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sterilizuojamų vienu metu gaminių, ilgi</w:t>
            </w:r>
            <w:r w:rsidR="00E178C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aptarnavimo intervalai) autoklavui</w:t>
            </w:r>
            <w:r w:rsidR="00E178C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įsigyti.</w:t>
            </w:r>
          </w:p>
          <w:p w14:paraId="61C3D5FC" w14:textId="77777777" w:rsidR="00D55288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C9671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>Atsakymas</w:t>
            </w:r>
            <w:r w:rsidRPr="00C96711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436DDD9A" w14:textId="0D879CBF" w:rsidR="00D55288" w:rsidRPr="00D12A45" w:rsidRDefault="00415D21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Perkančio</w:t>
            </w:r>
            <w:r w:rsidR="00383A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sios organizacijos pirkimui skiriama vertė </w:t>
            </w:r>
            <w:r w:rsidR="00AD2A25"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7 000,00 Eur be PVM</w:t>
            </w:r>
            <w:r w:rsidR="00AD2A2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CFE" w14:textId="2A542BDF" w:rsidR="00D55288" w:rsidRPr="00D12A45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D55288" w:rsidRPr="00D12A45" w14:paraId="31855197" w14:textId="45742DCA" w:rsidTr="00AE4C1C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3562" w14:textId="77777777" w:rsidR="00D55288" w:rsidRPr="00D12A45" w:rsidRDefault="00D55288" w:rsidP="00D55288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E7F6" w14:textId="77777777" w:rsidR="00D55288" w:rsidRPr="00D12A45" w:rsidRDefault="00D55288" w:rsidP="00D55288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12A45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2B26AFD8" w14:textId="77777777" w:rsidR="00D55288" w:rsidRPr="00D12A45" w:rsidRDefault="00D55288" w:rsidP="00D55288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D12A4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E98" w14:textId="7EBFABAE" w:rsidR="00D55288" w:rsidRPr="00D12A45" w:rsidRDefault="00FA2966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3BD" w14:textId="77777777" w:rsidR="00D55288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  <w:p w14:paraId="6E8BA424" w14:textId="2754C35A" w:rsidR="00D55288" w:rsidRPr="00D12A45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D55288" w:rsidRPr="00D12A45" w14:paraId="4C6D68B1" w14:textId="69DDDA51" w:rsidTr="00AE4C1C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D389" w14:textId="77777777" w:rsidR="00D55288" w:rsidRPr="00D12A45" w:rsidRDefault="00D55288" w:rsidP="00D55288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2C1F" w14:textId="77777777" w:rsidR="00D55288" w:rsidRPr="00D12A45" w:rsidRDefault="00D55288" w:rsidP="00D55288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532B" w14:textId="3F037BB0" w:rsidR="00D55288" w:rsidRDefault="00D55288" w:rsidP="000318E8">
            <w:pPr>
              <w:jc w:val="both"/>
            </w:pPr>
            <w:r>
              <w:rPr>
                <w:rStyle w:val="fontstyle01"/>
              </w:rPr>
              <w:t>Specifikacijos p.8 – “Duomenys apie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sterilizaciją išsaugomi CF arba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lygiagrečioje kortelėje“ – ką turima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minty – ar lygiavertė laikmena?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Yra autoklavų, kurie rezultatus vienu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metu gali saugoti nešiojamoje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laikmenoje ir kompiuteryje (tinkle), o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yra kurie turi galimybę saugoti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laikmenoje arba kompiuteryje (tinkle),</w:t>
            </w:r>
            <w:r w:rsidR="000318E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pasirenkant </w:t>
            </w:r>
            <w:r>
              <w:rPr>
                <w:rStyle w:val="fontstyle21"/>
              </w:rPr>
              <w:t xml:space="preserve">vieną </w:t>
            </w:r>
            <w:r>
              <w:rPr>
                <w:rStyle w:val="fontstyle01"/>
              </w:rPr>
              <w:t>iš jų</w:t>
            </w:r>
          </w:p>
          <w:p w14:paraId="333A0A29" w14:textId="77777777" w:rsidR="00D55288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170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>Atsakymas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639201A8" w14:textId="404874FF" w:rsidR="00D55288" w:rsidRPr="00D12A45" w:rsidRDefault="00684763" w:rsidP="0068476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Skelbiant pirkimą P</w:t>
            </w:r>
            <w:r w:rsidR="00772600">
              <w:rPr>
                <w:rFonts w:eastAsia="Times New Roman" w:cs="Times New Roman"/>
                <w:sz w:val="24"/>
                <w:szCs w:val="24"/>
                <w:lang w:eastAsia="lt-LT"/>
              </w:rPr>
              <w:t>erkančioji organizacija panaikins šį reikalavimą.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E77B" w14:textId="4CC74BCA" w:rsidR="00D55288" w:rsidRPr="00D12A45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D55288" w:rsidRPr="00D12A45" w14:paraId="7818B3BB" w14:textId="07091C2A" w:rsidTr="00AE4C1C">
        <w:trPr>
          <w:trHeight w:val="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33C2" w14:textId="77777777" w:rsidR="00D55288" w:rsidRPr="00D12A45" w:rsidRDefault="00D55288" w:rsidP="00D55288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4AB5" w14:textId="77777777" w:rsidR="00D55288" w:rsidRPr="00D12A45" w:rsidRDefault="00D55288" w:rsidP="00D55288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5D8B" w14:textId="77777777" w:rsidR="00D55288" w:rsidRDefault="00D55288" w:rsidP="00D55288">
            <w:r>
              <w:rPr>
                <w:rStyle w:val="fontstyle01"/>
              </w:rPr>
              <w:t>Galvosiu. (Žr. p.6)</w:t>
            </w:r>
          </w:p>
          <w:p w14:paraId="4068DC3A" w14:textId="435A8A01" w:rsidR="00D55288" w:rsidRPr="00D12A45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E75A" w14:textId="6CFFFB16" w:rsidR="00D55288" w:rsidRPr="00D12A45" w:rsidRDefault="007A7E53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Su tam tikrais techninės specifikacijos pakeitimais galėtume dalyvauti.</w:t>
            </w:r>
          </w:p>
        </w:tc>
      </w:tr>
      <w:tr w:rsidR="00D55288" w:rsidRPr="00D12A45" w14:paraId="686F1B38" w14:textId="591D713C" w:rsidTr="00AE4C1C">
        <w:trPr>
          <w:trHeight w:val="4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F648" w14:textId="77777777" w:rsidR="00D55288" w:rsidRPr="00D12A45" w:rsidRDefault="00D55288" w:rsidP="00D55288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10FC" w14:textId="77777777" w:rsidR="00D55288" w:rsidRPr="00D12A45" w:rsidRDefault="00D55288" w:rsidP="00D55288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E29" w14:textId="6823C079" w:rsidR="00D55288" w:rsidRDefault="00D55288" w:rsidP="00772600">
            <w:pPr>
              <w:jc w:val="both"/>
            </w:pPr>
            <w:r>
              <w:rPr>
                <w:rStyle w:val="fontstyle01"/>
              </w:rPr>
              <w:t>Vertinant, kad tai svarbi ir didelė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klinika, pirkimo numatyta suma kertasi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 pageidaujama garantija 36 mėn.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Gamintojai garantijas teikia ribotam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ciklų arba mėnesių skaičiui. Kitaip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sakant, 36 mėn be paaiškinimo kiek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kartų per dieną sterilizuos, reikalavimas</w:t>
            </w:r>
            <w:r w:rsidR="0077260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nėra sąžiningas iš pirkėjo pusės.</w:t>
            </w:r>
          </w:p>
          <w:p w14:paraId="671F8609" w14:textId="77777777" w:rsidR="00D55288" w:rsidRDefault="00D55288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170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>Atsakymas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84F0937" w14:textId="36BD26C4" w:rsidR="00D55288" w:rsidRPr="00D12A45" w:rsidRDefault="00684763" w:rsidP="0068476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Skelbiant pirkimą </w:t>
            </w:r>
            <w:r w:rsidR="00772600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Perkančioji organizacija </w:t>
            </w:r>
            <w:r w:rsidR="001F1D9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pakoreguos šį punktą sekančiai: garantija </w:t>
            </w:r>
            <w:r w:rsidR="00322C04">
              <w:rPr>
                <w:rFonts w:eastAsia="Times New Roman" w:cs="Times New Roman"/>
                <w:sz w:val="24"/>
                <w:szCs w:val="24"/>
                <w:lang w:eastAsia="lt-LT"/>
              </w:rPr>
              <w:t>ne mažiau 24 mėnesių</w:t>
            </w:r>
            <w:r w:rsidR="00772600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AF6" w14:textId="41AC016E" w:rsidR="00D55288" w:rsidRPr="00D12A45" w:rsidRDefault="00FA2966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D55288" w:rsidRPr="00D12A45" w14:paraId="73D4D24F" w14:textId="6DC8F8FA" w:rsidTr="00AE4C1C">
        <w:trPr>
          <w:trHeight w:val="4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2624" w14:textId="77777777" w:rsidR="00D55288" w:rsidRPr="00D12A45" w:rsidRDefault="00D55288" w:rsidP="00D55288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D625" w14:textId="77777777" w:rsidR="00D55288" w:rsidRPr="00D12A45" w:rsidRDefault="00D55288" w:rsidP="00D55288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D12A45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44B" w14:textId="080A26D5" w:rsidR="00D55288" w:rsidRPr="00D12A45" w:rsidRDefault="00FA2966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C67" w14:textId="08806B96" w:rsidR="00D55288" w:rsidRPr="00D12A45" w:rsidRDefault="00FA2966" w:rsidP="00D5528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3C0236EB" w14:textId="77777777" w:rsidR="002E244A" w:rsidRPr="00D12A45" w:rsidRDefault="002E244A" w:rsidP="002E244A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D12A45">
        <w:rPr>
          <w:b/>
          <w:bCs/>
          <w:caps/>
          <w:lang w:val="lt-LT"/>
        </w:rPr>
        <w:t>II IŠVADOS</w:t>
      </w:r>
    </w:p>
    <w:p w14:paraId="3C01A4B9" w14:textId="7777777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276"/>
        </w:tabs>
        <w:ind w:left="0" w:firstLine="709"/>
        <w:rPr>
          <w:lang w:val="lt-LT"/>
        </w:rPr>
      </w:pPr>
      <w:r w:rsidRPr="00D12A45">
        <w:rPr>
          <w:lang w:val="lt-LT"/>
        </w:rPr>
        <w:t xml:space="preserve">Rinkos konsultacijos metu buvo pasiektas konsultacijos tikslas: rinkos dalyviai informuoti apie ketinimą ateityje vykdyti pirkimą, dalyviai susipažino su pirkimo dokumentų projektu ir pateikė atsakymus, pasiūlymus bei pastabas. </w:t>
      </w:r>
    </w:p>
    <w:p w14:paraId="26190E66" w14:textId="6212624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276"/>
        </w:tabs>
        <w:ind w:left="0" w:firstLine="709"/>
        <w:rPr>
          <w:lang w:val="lt-LT"/>
        </w:rPr>
      </w:pPr>
      <w:r w:rsidRPr="00D12A45">
        <w:rPr>
          <w:lang w:val="lt-LT"/>
        </w:rPr>
        <w:t xml:space="preserve">Rinkos konsultacijoje sudalyvavo </w:t>
      </w:r>
      <w:r w:rsidR="00CB63DB" w:rsidRPr="00D12A45">
        <w:rPr>
          <w:lang w:val="lt-LT"/>
        </w:rPr>
        <w:t>4</w:t>
      </w:r>
      <w:r w:rsidRPr="00D12A45">
        <w:rPr>
          <w:lang w:val="lt-LT"/>
        </w:rPr>
        <w:t xml:space="preserve"> (</w:t>
      </w:r>
      <w:r w:rsidR="00CB63DB" w:rsidRPr="00D12A45">
        <w:rPr>
          <w:lang w:val="lt-LT"/>
        </w:rPr>
        <w:t>keturi</w:t>
      </w:r>
      <w:r w:rsidRPr="00D12A45">
        <w:rPr>
          <w:lang w:val="lt-LT"/>
        </w:rPr>
        <w:t xml:space="preserve">) dalyviai, kurie atsakė į rinkos konsultacijos klausimyne pateiktus klausimus ir  pateikė pastabas, </w:t>
      </w:r>
      <w:r w:rsidR="00873EC3" w:rsidRPr="00D12A45">
        <w:rPr>
          <w:lang w:val="lt-LT"/>
        </w:rPr>
        <w:t>į kurias skelbiant pirkimą pagal perkančiosios organizacijos poreikį bus atsižvelgta</w:t>
      </w:r>
      <w:r w:rsidRPr="00D12A45">
        <w:rPr>
          <w:lang w:val="lt-LT"/>
        </w:rPr>
        <w:t xml:space="preserve">. </w:t>
      </w:r>
    </w:p>
    <w:p w14:paraId="2A4A1395" w14:textId="7777777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42"/>
          <w:tab w:val="left" w:pos="1276"/>
        </w:tabs>
        <w:ind w:left="709" w:firstLine="0"/>
        <w:rPr>
          <w:lang w:val="lt-LT"/>
        </w:rPr>
      </w:pPr>
      <w:r w:rsidRPr="00D12A45">
        <w:rPr>
          <w:lang w:val="lt-LT"/>
        </w:rPr>
        <w:t>Susitikimas su dalyviais nebus organizuojamas.</w:t>
      </w:r>
    </w:p>
    <w:p w14:paraId="262FE16E" w14:textId="2352926D" w:rsidR="00920093" w:rsidRPr="00D12A45" w:rsidRDefault="002E244A" w:rsidP="009D5AD1">
      <w:pPr>
        <w:pStyle w:val="SLONormal"/>
        <w:numPr>
          <w:ilvl w:val="1"/>
          <w:numId w:val="3"/>
        </w:numPr>
        <w:tabs>
          <w:tab w:val="left" w:pos="1276"/>
        </w:tabs>
        <w:ind w:left="0" w:right="-46" w:firstLine="709"/>
      </w:pPr>
      <w:r w:rsidRPr="00D12A45">
        <w:rPr>
          <w:lang w:val="lt-LT"/>
        </w:rPr>
        <w:t>Rinkos konsultacija yra užbaigiama</w:t>
      </w:r>
      <w:r w:rsidR="00593089">
        <w:rPr>
          <w:lang w:val="lt-LT"/>
        </w:rPr>
        <w:t xml:space="preserve"> </w:t>
      </w:r>
    </w:p>
    <w:sectPr w:rsidR="00920093" w:rsidRPr="00D12A45" w:rsidSect="00593089">
      <w:pgSz w:w="16838" w:h="11906" w:orient="landscape"/>
      <w:pgMar w:top="1440" w:right="709" w:bottom="1440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36EE" w14:textId="77777777" w:rsidR="000E3F54" w:rsidRDefault="000E3F54" w:rsidP="00BC4A4E">
      <w:r>
        <w:separator/>
      </w:r>
    </w:p>
  </w:endnote>
  <w:endnote w:type="continuationSeparator" w:id="0">
    <w:p w14:paraId="09C65A60" w14:textId="77777777" w:rsidR="000E3F54" w:rsidRDefault="000E3F54" w:rsidP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B6CA2" w14:textId="77777777" w:rsidR="000E3F54" w:rsidRDefault="000E3F54" w:rsidP="00BC4A4E">
      <w:r>
        <w:separator/>
      </w:r>
    </w:p>
  </w:footnote>
  <w:footnote w:type="continuationSeparator" w:id="0">
    <w:p w14:paraId="23E8000A" w14:textId="77777777" w:rsidR="000E3F54" w:rsidRDefault="000E3F54" w:rsidP="00BC4A4E">
      <w:r>
        <w:continuationSeparator/>
      </w:r>
    </w:p>
  </w:footnote>
  <w:footnote w:id="1">
    <w:p w14:paraId="6238E64D" w14:textId="584F8B6C" w:rsidR="00BC4A4E" w:rsidRDefault="00BC4A4E" w:rsidP="00BC4A4E">
      <w:pPr>
        <w:pStyle w:val="FootnoteText"/>
        <w:jc w:val="left"/>
        <w:rPr>
          <w:lang w:val="lt-LT"/>
        </w:rPr>
      </w:pPr>
      <w:r w:rsidRPr="008F4774">
        <w:rPr>
          <w:rStyle w:val="FootnoteReference"/>
          <w:lang w:val="lt-LT"/>
        </w:rPr>
        <w:footnoteRef/>
      </w:r>
      <w:r w:rsidRPr="008F4774">
        <w:rPr>
          <w:lang w:val="lt-LT"/>
        </w:rPr>
        <w:t xml:space="preserve"> </w:t>
      </w:r>
      <w:r>
        <w:rPr>
          <w:sz w:val="18"/>
          <w:szCs w:val="18"/>
          <w:lang w:val="lt-LT"/>
        </w:rPr>
        <w:t>Pirkimo Nr.</w:t>
      </w:r>
      <w:r w:rsidR="006478AD" w:rsidRPr="006478AD">
        <w:rPr>
          <w:rFonts w:eastAsiaTheme="minorHAnsi" w:cstheme="minorBidi"/>
          <w:sz w:val="22"/>
          <w:szCs w:val="22"/>
          <w:lang w:val="lt-LT"/>
        </w:rPr>
        <w:t xml:space="preserve"> </w:t>
      </w:r>
      <w:r w:rsidR="006478AD" w:rsidRPr="006478AD">
        <w:rPr>
          <w:color w:val="333333"/>
          <w:sz w:val="18"/>
          <w:szCs w:val="18"/>
          <w:shd w:val="clear" w:color="auto" w:fill="FFFFFF"/>
          <w:lang w:val="lt-LT"/>
        </w:rPr>
        <w:t>330639</w:t>
      </w:r>
      <w:r>
        <w:rPr>
          <w:sz w:val="18"/>
          <w:szCs w:val="18"/>
          <w:lang w:val="lt-LT"/>
        </w:rPr>
        <w:t>, prieiga:</w:t>
      </w:r>
      <w:r>
        <w:rPr>
          <w:lang w:val="lt-LT"/>
        </w:rPr>
        <w:t xml:space="preserve"> </w:t>
      </w:r>
      <w:hyperlink r:id="rId1" w:history="1">
        <w:r w:rsidR="002E2DF4" w:rsidRPr="00C71416">
          <w:rPr>
            <w:rStyle w:val="Hyperlink"/>
          </w:rPr>
          <w:t>https://viesiejipirkimai.lt/epps/pmc/viewPmc.do?resourceId=330639</w:t>
        </w:r>
      </w:hyperlink>
      <w:r w:rsidR="002E2DF4">
        <w:t xml:space="preserve"> </w:t>
      </w:r>
      <w:r w:rsidR="00B35AF8">
        <w:t xml:space="preserve"> </w:t>
      </w:r>
      <w:r>
        <w:t xml:space="preserve"> </w:t>
      </w:r>
      <w:r>
        <w:rPr>
          <w:lang w:val="lt-LT"/>
        </w:rPr>
        <w:t xml:space="preserve"> </w:t>
      </w:r>
    </w:p>
    <w:p w14:paraId="3BE7F3AF" w14:textId="77777777" w:rsidR="00BC4A4E" w:rsidRDefault="00BC4A4E" w:rsidP="00BC4A4E">
      <w:pPr>
        <w:pStyle w:val="FootnoteText"/>
        <w:jc w:val="left"/>
        <w:rPr>
          <w:lang w:val="lt-LT"/>
        </w:rPr>
      </w:pPr>
    </w:p>
    <w:p w14:paraId="4C7C6700" w14:textId="77777777" w:rsidR="00BC4A4E" w:rsidRDefault="00BC4A4E" w:rsidP="00BC4A4E">
      <w:pPr>
        <w:pStyle w:val="FootnoteText"/>
        <w:jc w:val="left"/>
        <w:rPr>
          <w:lang w:val="lt-LT"/>
        </w:rPr>
      </w:pPr>
    </w:p>
    <w:p w14:paraId="5B885074" w14:textId="77777777" w:rsidR="00BC4A4E" w:rsidRDefault="00BC4A4E" w:rsidP="00BC4A4E">
      <w:pPr>
        <w:pStyle w:val="FootnoteText"/>
        <w:jc w:val="left"/>
      </w:pPr>
    </w:p>
    <w:p w14:paraId="178349BC" w14:textId="77777777" w:rsidR="00BC4A4E" w:rsidRDefault="00BC4A4E" w:rsidP="00BC4A4E">
      <w:pPr>
        <w:pStyle w:val="FootnoteText"/>
        <w:jc w:val="left"/>
      </w:pPr>
    </w:p>
    <w:p w14:paraId="22B071BD" w14:textId="77777777" w:rsidR="00BC4A4E" w:rsidRDefault="00BC4A4E" w:rsidP="00BC4A4E">
      <w:pPr>
        <w:pStyle w:val="FootnoteText"/>
        <w:jc w:val="left"/>
      </w:pPr>
    </w:p>
    <w:p w14:paraId="66081B3A" w14:textId="77777777" w:rsidR="00BC4A4E" w:rsidRPr="002165FE" w:rsidRDefault="00BC4A4E" w:rsidP="00BC4A4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0B19"/>
    <w:multiLevelType w:val="multilevel"/>
    <w:tmpl w:val="4E0224C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331902CD"/>
    <w:multiLevelType w:val="multilevel"/>
    <w:tmpl w:val="331902C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2CAB"/>
    <w:multiLevelType w:val="hybridMultilevel"/>
    <w:tmpl w:val="68CA7C06"/>
    <w:lvl w:ilvl="0" w:tplc="ACEC86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2721154">
    <w:abstractNumId w:val="1"/>
  </w:num>
  <w:num w:numId="2" w16cid:durableId="95909454">
    <w:abstractNumId w:val="2"/>
  </w:num>
  <w:num w:numId="3" w16cid:durableId="15461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E5"/>
    <w:rsid w:val="000022E9"/>
    <w:rsid w:val="00015B7C"/>
    <w:rsid w:val="000318E8"/>
    <w:rsid w:val="00037300"/>
    <w:rsid w:val="00077EE2"/>
    <w:rsid w:val="000A3A7F"/>
    <w:rsid w:val="000C527C"/>
    <w:rsid w:val="000E3F54"/>
    <w:rsid w:val="00101E8B"/>
    <w:rsid w:val="00131698"/>
    <w:rsid w:val="00132C58"/>
    <w:rsid w:val="0014401B"/>
    <w:rsid w:val="00167C1A"/>
    <w:rsid w:val="001B1D84"/>
    <w:rsid w:val="001F13DF"/>
    <w:rsid w:val="001F1D95"/>
    <w:rsid w:val="002055B1"/>
    <w:rsid w:val="00227C7D"/>
    <w:rsid w:val="00230B16"/>
    <w:rsid w:val="002A73B9"/>
    <w:rsid w:val="002C2FD4"/>
    <w:rsid w:val="002E244A"/>
    <w:rsid w:val="002E2DF4"/>
    <w:rsid w:val="002F145F"/>
    <w:rsid w:val="0030021F"/>
    <w:rsid w:val="00322C04"/>
    <w:rsid w:val="003275A7"/>
    <w:rsid w:val="00354C4C"/>
    <w:rsid w:val="003807C8"/>
    <w:rsid w:val="00383AC8"/>
    <w:rsid w:val="0038474C"/>
    <w:rsid w:val="00395D4C"/>
    <w:rsid w:val="0039631A"/>
    <w:rsid w:val="00397A4D"/>
    <w:rsid w:val="003A6FB6"/>
    <w:rsid w:val="003C0E65"/>
    <w:rsid w:val="003E3453"/>
    <w:rsid w:val="003F46A5"/>
    <w:rsid w:val="00415D21"/>
    <w:rsid w:val="00445756"/>
    <w:rsid w:val="00447458"/>
    <w:rsid w:val="00492769"/>
    <w:rsid w:val="004B539B"/>
    <w:rsid w:val="004B59E2"/>
    <w:rsid w:val="005053A7"/>
    <w:rsid w:val="00532673"/>
    <w:rsid w:val="005347D6"/>
    <w:rsid w:val="005416FF"/>
    <w:rsid w:val="00576369"/>
    <w:rsid w:val="00585C5C"/>
    <w:rsid w:val="00590843"/>
    <w:rsid w:val="0059251A"/>
    <w:rsid w:val="00593089"/>
    <w:rsid w:val="005B70E1"/>
    <w:rsid w:val="005C7567"/>
    <w:rsid w:val="005E1722"/>
    <w:rsid w:val="005F2AC7"/>
    <w:rsid w:val="00620719"/>
    <w:rsid w:val="006416D8"/>
    <w:rsid w:val="006478AD"/>
    <w:rsid w:val="00650984"/>
    <w:rsid w:val="00656217"/>
    <w:rsid w:val="00674328"/>
    <w:rsid w:val="00683E59"/>
    <w:rsid w:val="00684763"/>
    <w:rsid w:val="006A170F"/>
    <w:rsid w:val="006E02C6"/>
    <w:rsid w:val="006F74A6"/>
    <w:rsid w:val="0071163F"/>
    <w:rsid w:val="00712A36"/>
    <w:rsid w:val="0072157A"/>
    <w:rsid w:val="007247F7"/>
    <w:rsid w:val="00732CF4"/>
    <w:rsid w:val="00747C73"/>
    <w:rsid w:val="00772600"/>
    <w:rsid w:val="007763E5"/>
    <w:rsid w:val="0078644F"/>
    <w:rsid w:val="0078796A"/>
    <w:rsid w:val="007A7E53"/>
    <w:rsid w:val="007B42B8"/>
    <w:rsid w:val="007B5A90"/>
    <w:rsid w:val="007C24B8"/>
    <w:rsid w:val="007C583C"/>
    <w:rsid w:val="007F63A3"/>
    <w:rsid w:val="007F641D"/>
    <w:rsid w:val="00820A2F"/>
    <w:rsid w:val="008429CE"/>
    <w:rsid w:val="00847021"/>
    <w:rsid w:val="0086586D"/>
    <w:rsid w:val="00873EC3"/>
    <w:rsid w:val="00877357"/>
    <w:rsid w:val="008E303C"/>
    <w:rsid w:val="008E7BA9"/>
    <w:rsid w:val="00920093"/>
    <w:rsid w:val="0092286F"/>
    <w:rsid w:val="00936EEF"/>
    <w:rsid w:val="00963B08"/>
    <w:rsid w:val="00975D34"/>
    <w:rsid w:val="009B4ADC"/>
    <w:rsid w:val="009C3FF9"/>
    <w:rsid w:val="009C5E40"/>
    <w:rsid w:val="009D5AD1"/>
    <w:rsid w:val="009E6A2C"/>
    <w:rsid w:val="009F6358"/>
    <w:rsid w:val="00A11BF1"/>
    <w:rsid w:val="00A420A3"/>
    <w:rsid w:val="00A47AA3"/>
    <w:rsid w:val="00A71E2D"/>
    <w:rsid w:val="00A71EA5"/>
    <w:rsid w:val="00A74CD8"/>
    <w:rsid w:val="00A91494"/>
    <w:rsid w:val="00A932CF"/>
    <w:rsid w:val="00AC6892"/>
    <w:rsid w:val="00AD2A25"/>
    <w:rsid w:val="00AE4C1C"/>
    <w:rsid w:val="00AF44F5"/>
    <w:rsid w:val="00B05183"/>
    <w:rsid w:val="00B11901"/>
    <w:rsid w:val="00B23D42"/>
    <w:rsid w:val="00B35AF8"/>
    <w:rsid w:val="00BA1284"/>
    <w:rsid w:val="00BB1A2E"/>
    <w:rsid w:val="00BC4A4E"/>
    <w:rsid w:val="00BE4668"/>
    <w:rsid w:val="00BE7EE5"/>
    <w:rsid w:val="00C035B8"/>
    <w:rsid w:val="00C50C54"/>
    <w:rsid w:val="00C51E5D"/>
    <w:rsid w:val="00C80870"/>
    <w:rsid w:val="00C96711"/>
    <w:rsid w:val="00C9787B"/>
    <w:rsid w:val="00CB63DB"/>
    <w:rsid w:val="00CD183E"/>
    <w:rsid w:val="00CF6738"/>
    <w:rsid w:val="00D02FBF"/>
    <w:rsid w:val="00D12A45"/>
    <w:rsid w:val="00D34802"/>
    <w:rsid w:val="00D4338A"/>
    <w:rsid w:val="00D55288"/>
    <w:rsid w:val="00D700BF"/>
    <w:rsid w:val="00DA66E5"/>
    <w:rsid w:val="00DB128E"/>
    <w:rsid w:val="00DF3A33"/>
    <w:rsid w:val="00E041A6"/>
    <w:rsid w:val="00E178C2"/>
    <w:rsid w:val="00E459AA"/>
    <w:rsid w:val="00E55B3E"/>
    <w:rsid w:val="00EE29DC"/>
    <w:rsid w:val="00EF05E9"/>
    <w:rsid w:val="00EF0AE9"/>
    <w:rsid w:val="00EF7370"/>
    <w:rsid w:val="00F02FDE"/>
    <w:rsid w:val="00F260CE"/>
    <w:rsid w:val="00F37747"/>
    <w:rsid w:val="00F4397E"/>
    <w:rsid w:val="00F664DA"/>
    <w:rsid w:val="00F672CB"/>
    <w:rsid w:val="00F81D42"/>
    <w:rsid w:val="00F90BC1"/>
    <w:rsid w:val="00FA0F7E"/>
    <w:rsid w:val="00FA2966"/>
    <w:rsid w:val="00FA2A1B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FA4C"/>
  <w15:chartTrackingRefBased/>
  <w15:docId w15:val="{5B1950B7-0F5C-4B5B-B690-CEF76C0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66E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E5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qFormat/>
    <w:rsid w:val="00DA66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66E5"/>
    <w:pPr>
      <w:widowControl w:val="0"/>
      <w:autoSpaceDE w:val="0"/>
      <w:autoSpaceDN w:val="0"/>
    </w:pPr>
    <w:rPr>
      <w:rFonts w:eastAsia="Times New Roman" w:cs="Times New Roman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BC4A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C4A4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C4A4E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C4A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567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6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5AF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A17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A6FB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330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3585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40</cp:revision>
  <dcterms:created xsi:type="dcterms:W3CDTF">2024-12-13T07:02:00Z</dcterms:created>
  <dcterms:modified xsi:type="dcterms:W3CDTF">2024-12-19T06:15:00Z</dcterms:modified>
</cp:coreProperties>
</file>