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4B47DB02"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7522E1">
        <w:rPr>
          <w:rFonts w:ascii="Times New Roman" w:hAnsi="Times New Roman" w:cs="Times New Roman"/>
          <w:color w:val="auto"/>
          <w:sz w:val="22"/>
          <w:szCs w:val="22"/>
          <w:lang w:val="lt-LT"/>
        </w:rPr>
        <w:t>lapkričio</w:t>
      </w:r>
      <w:r w:rsidR="009C78D6" w:rsidRPr="00CA449C">
        <w:rPr>
          <w:rFonts w:ascii="Times New Roman" w:hAnsi="Times New Roman" w:cs="Times New Roman"/>
          <w:color w:val="auto"/>
          <w:sz w:val="22"/>
          <w:szCs w:val="22"/>
          <w:lang w:val="lt-LT"/>
        </w:rPr>
        <w:t xml:space="preserve"> </w:t>
      </w:r>
      <w:r w:rsidR="007522E1">
        <w:rPr>
          <w:rFonts w:ascii="Times New Roman" w:hAnsi="Times New Roman" w:cs="Times New Roman"/>
          <w:color w:val="auto"/>
          <w:sz w:val="22"/>
          <w:szCs w:val="22"/>
          <w:lang w:val="lt-LT"/>
        </w:rPr>
        <w:t>___</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290DF03D" w:rsidR="006B51E6" w:rsidRPr="00272FF5" w:rsidRDefault="007522E1" w:rsidP="00EA50FB">
      <w:pPr>
        <w:pStyle w:val="Heading"/>
        <w:jc w:val="center"/>
        <w:rPr>
          <w:rFonts w:eastAsia="Times New Roman" w:cs="Times New Roman"/>
          <w:b w:val="0"/>
          <w:bCs w:val="0"/>
          <w:color w:val="auto"/>
          <w:spacing w:val="0"/>
          <w:lang w:val="lt-LT"/>
        </w:rPr>
      </w:pPr>
      <w:r>
        <w:rPr>
          <w:color w:val="auto"/>
        </w:rPr>
        <w:t>rivilės aptarnavimo paslaugos</w:t>
      </w:r>
      <w:r w:rsidR="004E0E2F">
        <w:rPr>
          <w:color w:val="auto"/>
        </w:rPr>
        <w:t xml:space="preserve"> </w:t>
      </w:r>
      <w:r w:rsidR="00EA50FB" w:rsidRPr="00272FF5">
        <w:rPr>
          <w:color w:val="auto"/>
        </w:rPr>
        <w:t xml:space="preserve">(Nr. </w:t>
      </w:r>
      <w:r>
        <w:rPr>
          <w:color w:val="auto"/>
        </w:rPr>
        <w:t>10004</w:t>
      </w:r>
      <w:r w:rsidR="00EA50FB" w:rsidRPr="00272FF5">
        <w:rPr>
          <w:color w:val="auto"/>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D403B3C"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4E0E2F">
        <w:rPr>
          <w:rFonts w:eastAsia="Arial Unicode MS"/>
          <w:lang w:val="lt-LT"/>
        </w:rPr>
        <w:t xml:space="preserve"> </w:t>
      </w:r>
      <w:r w:rsidR="00AF0D93">
        <w:rPr>
          <w:color w:val="auto"/>
          <w:lang w:val="lt-LT"/>
        </w:rPr>
        <w:t>Apskaitos programos „</w:t>
      </w:r>
      <w:proofErr w:type="spellStart"/>
      <w:r w:rsidR="00AF0D93">
        <w:rPr>
          <w:color w:val="auto"/>
          <w:lang w:val="lt-LT"/>
        </w:rPr>
        <w:t>Rivilė</w:t>
      </w:r>
      <w:proofErr w:type="spellEnd"/>
      <w:r w:rsidR="00AF0D93">
        <w:rPr>
          <w:color w:val="auto"/>
          <w:lang w:val="lt-LT"/>
        </w:rPr>
        <w:t xml:space="preserve"> Gama“ aptarnavimo, konsultavimo ir tobulinimo paslaugas</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064E9889" w:rsidR="006B51E6"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hyperlink r:id="rId9" w:history="1">
        <w:r w:rsidR="009577AC" w:rsidRPr="00D54139">
          <w:rPr>
            <w:rStyle w:val="Hipersaitas"/>
            <w:lang w:val="lt-LT"/>
          </w:rPr>
          <w:t>irmina.galdikiene@rvul.lt</w:t>
        </w:r>
      </w:hyperlink>
      <w:r w:rsidR="008B054C" w:rsidRPr="00CA449C">
        <w:rPr>
          <w:color w:val="auto"/>
          <w:lang w:val="lt-LT"/>
        </w:rPr>
        <w:t>.</w:t>
      </w:r>
    </w:p>
    <w:p w14:paraId="039039B2" w14:textId="77777777" w:rsidR="009577AC" w:rsidRPr="00D16898" w:rsidRDefault="009577AC" w:rsidP="009577AC">
      <w:pPr>
        <w:pStyle w:val="Body2"/>
        <w:ind w:firstLine="720"/>
        <w:rPr>
          <w:lang w:val="lt-LT"/>
        </w:rPr>
      </w:pPr>
      <w:r>
        <w:rPr>
          <w:color w:val="auto"/>
          <w:lang w:val="lt-LT"/>
        </w:rPr>
        <w:t xml:space="preserve">1.8. </w:t>
      </w:r>
      <w:r w:rsidRPr="009577AC">
        <w:rPr>
          <w:lang w:val="lt-LT"/>
        </w:rPr>
        <w:t xml:space="preserve">Vadovaujantis Lietuvos Respublikos aplinkos ministro 2011 m. birželio 28 d. įsakymo Nr. D1-508 „Dėl Aplinkos apsaugos kriterijų taikymo, vykdant žaliuosius pirkimus, tvarkos aprašo patvirtinimo“ (aktuali redakcija) 4.4.3 punktu atliekamas žaliasis pirkimas </w:t>
      </w:r>
      <w:r w:rsidRPr="00D16898">
        <w:rPr>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9AA7BEB"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038AC7BC" w:rsidR="00F61B06" w:rsidRPr="00CA449C" w:rsidRDefault="008240BD" w:rsidP="00415A17">
      <w:pPr>
        <w:pStyle w:val="Body2"/>
        <w:spacing w:after="0"/>
        <w:ind w:firstLine="709"/>
        <w:rPr>
          <w:color w:val="auto"/>
          <w:lang w:val="lt-LT"/>
        </w:rPr>
      </w:pPr>
      <w:r w:rsidRPr="00CA449C">
        <w:rPr>
          <w:color w:val="auto"/>
          <w:lang w:val="lt-LT"/>
        </w:rPr>
        <w:t>2.2</w:t>
      </w:r>
      <w:r w:rsidR="007522E1">
        <w:rPr>
          <w:color w:val="auto"/>
          <w:lang w:val="lt-LT"/>
        </w:rPr>
        <w:t xml:space="preserve"> Apskaitos programos „</w:t>
      </w:r>
      <w:proofErr w:type="spellStart"/>
      <w:r w:rsidR="007522E1">
        <w:rPr>
          <w:color w:val="auto"/>
          <w:lang w:val="lt-LT"/>
        </w:rPr>
        <w:t>Rivilė</w:t>
      </w:r>
      <w:proofErr w:type="spellEnd"/>
      <w:r w:rsidR="007522E1">
        <w:rPr>
          <w:color w:val="auto"/>
          <w:lang w:val="lt-LT"/>
        </w:rPr>
        <w:t xml:space="preserve"> Gama“ </w:t>
      </w:r>
      <w:r w:rsidR="00754B10">
        <w:rPr>
          <w:color w:val="auto"/>
          <w:lang w:val="lt-LT"/>
        </w:rPr>
        <w:t>aptarnavimo, konsultavimo ir tobulinimo paslaugos turi būti teikiamos</w:t>
      </w:r>
      <w:r w:rsidR="00F61B06" w:rsidRPr="00CA449C">
        <w:rPr>
          <w:color w:val="auto"/>
          <w:lang w:val="lt-LT"/>
        </w:rPr>
        <w:t xml:space="preserve"> 2.</w:t>
      </w:r>
      <w:r w:rsidR="000054EC" w:rsidRPr="00CA449C">
        <w:rPr>
          <w:color w:val="auto"/>
          <w:lang w:val="lt-LT"/>
        </w:rPr>
        <w:t>9</w:t>
      </w:r>
      <w:r w:rsidR="00F61B06" w:rsidRPr="00CA449C">
        <w:rPr>
          <w:color w:val="auto"/>
          <w:lang w:val="lt-LT"/>
        </w:rPr>
        <w:t>.p. nurodytu adresu.</w:t>
      </w:r>
    </w:p>
    <w:p w14:paraId="2CD08EA5" w14:textId="755F9B73"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754B10">
        <w:rPr>
          <w:color w:val="auto"/>
          <w:lang w:val="lt-LT"/>
        </w:rPr>
        <w:t>36</w:t>
      </w:r>
      <w:r w:rsidR="00FE6A22" w:rsidRPr="00666F10">
        <w:rPr>
          <w:color w:val="auto"/>
          <w:lang w:val="lt-LT"/>
        </w:rPr>
        <w:t xml:space="preserve"> mėnesi</w:t>
      </w:r>
      <w:r w:rsidR="00754B10">
        <w:rPr>
          <w:color w:val="auto"/>
          <w:lang w:val="lt-LT"/>
        </w:rPr>
        <w:t>ai</w:t>
      </w:r>
      <w:r w:rsidR="00FE6A22" w:rsidRPr="00666F10">
        <w:rPr>
          <w:color w:val="auto"/>
          <w:lang w:val="lt-LT"/>
        </w:rPr>
        <w:t xml:space="preserve"> nuo </w:t>
      </w:r>
      <w:r w:rsidR="00FE6A22" w:rsidRPr="00A24991">
        <w:rPr>
          <w:color w:val="auto"/>
          <w:lang w:val="lt-LT"/>
        </w:rPr>
        <w:t>pirkimo sutarties įsigaliojimo dienos</w:t>
      </w:r>
      <w:r w:rsidR="003324D3" w:rsidRPr="00A24991">
        <w:rPr>
          <w:color w:val="auto"/>
          <w:lang w:val="lt-LT"/>
        </w:rPr>
        <w:t>.</w:t>
      </w:r>
      <w:r w:rsidR="003324D3">
        <w:rPr>
          <w:color w:val="auto"/>
          <w:lang w:val="lt-LT"/>
        </w:rPr>
        <w:t xml:space="preserve"> </w:t>
      </w:r>
    </w:p>
    <w:p w14:paraId="0DCA1772" w14:textId="3CC44046" w:rsidR="006B51E6" w:rsidRPr="00CA449C" w:rsidRDefault="008240BD" w:rsidP="00BF3D1B">
      <w:pPr>
        <w:pStyle w:val="Body2"/>
        <w:spacing w:after="0"/>
        <w:ind w:firstLine="709"/>
        <w:rPr>
          <w:lang w:val="lt-LT"/>
        </w:rPr>
      </w:pPr>
      <w:r w:rsidRPr="00CA449C">
        <w:rPr>
          <w:color w:val="auto"/>
          <w:lang w:val="lt-LT"/>
        </w:rPr>
        <w:t>2.</w:t>
      </w:r>
      <w:r w:rsidRPr="001A36D8">
        <w:rPr>
          <w:color w:val="auto"/>
          <w:lang w:val="lt-LT"/>
        </w:rPr>
        <w:t xml:space="preserve">4. Pirkimas </w:t>
      </w:r>
      <w:r w:rsidR="00272FF5" w:rsidRPr="001A36D8">
        <w:rPr>
          <w:color w:val="auto"/>
          <w:lang w:val="lt-LT"/>
        </w:rPr>
        <w:t>ne</w:t>
      </w:r>
      <w:r w:rsidRPr="001A36D8">
        <w:rPr>
          <w:color w:val="auto"/>
          <w:lang w:val="lt-LT"/>
        </w:rPr>
        <w:t>skaidomas į dalis</w:t>
      </w:r>
      <w:r w:rsidR="004E0E2F" w:rsidRPr="001A36D8">
        <w:rPr>
          <w:color w:val="auto"/>
          <w:lang w:val="lt-LT"/>
        </w:rPr>
        <w:t>,</w:t>
      </w:r>
      <w:r w:rsidR="00B07119" w:rsidRPr="001A36D8">
        <w:rPr>
          <w:color w:val="auto"/>
          <w:lang w:val="lt-LT"/>
        </w:rPr>
        <w:t xml:space="preserve"> </w:t>
      </w:r>
      <w:r w:rsidR="004E0E2F" w:rsidRPr="001A36D8">
        <w:rPr>
          <w:lang w:val="lt-LT"/>
        </w:rPr>
        <w:t>nes pirkimo objekt</w:t>
      </w:r>
      <w:r w:rsidR="001A36D8" w:rsidRPr="001A36D8">
        <w:rPr>
          <w:lang w:val="lt-LT"/>
        </w:rPr>
        <w:t>as yra nedalus</w:t>
      </w:r>
      <w:r w:rsidR="004E0E2F" w:rsidRPr="001A36D8">
        <w:rPr>
          <w:lang w:val="lt-LT"/>
        </w:rPr>
        <w:t>.</w:t>
      </w:r>
      <w:r w:rsidR="004E0E2F" w:rsidRPr="001A36D8">
        <w:rPr>
          <w:noProof/>
          <w:lang w:val="lt-LT"/>
        </w:rPr>
        <w:t xml:space="preserve"> </w:t>
      </w:r>
      <w:r w:rsidR="003307CD" w:rsidRPr="001A36D8">
        <w:rPr>
          <w:rFonts w:eastAsia="Arial Unicode MS"/>
          <w:lang w:val="lt-LT"/>
        </w:rPr>
        <w:t>P</w:t>
      </w:r>
      <w:r w:rsidR="0034466E" w:rsidRPr="001A36D8">
        <w:rPr>
          <w:rFonts w:eastAsia="Arial Unicode MS"/>
          <w:lang w:val="lt-LT"/>
        </w:rPr>
        <w:t xml:space="preserve">asiūlymas turi būti pateiktas visai pirkimo sąlygų techninėje specifikacijoje nurodytai </w:t>
      </w:r>
      <w:r w:rsidR="00B47271" w:rsidRPr="001A36D8">
        <w:rPr>
          <w:rFonts w:eastAsia="Arial Unicode MS"/>
          <w:lang w:val="lt-LT"/>
        </w:rPr>
        <w:t xml:space="preserve">atitinkamos pirkimo dalies </w:t>
      </w:r>
      <w:r w:rsidR="0034466E" w:rsidRPr="001A36D8">
        <w:rPr>
          <w:rFonts w:eastAsia="Arial Unicode MS"/>
          <w:lang w:val="lt-LT"/>
        </w:rPr>
        <w:t>apimčiai, neskaidant jos smulkiau.</w:t>
      </w:r>
      <w:r w:rsidR="00FF31DE">
        <w:rPr>
          <w:rFonts w:eastAsia="Arial Unicode MS"/>
          <w:lang w:val="lt-LT"/>
        </w:rPr>
        <w:t xml:space="preserve"> </w:t>
      </w:r>
    </w:p>
    <w:p w14:paraId="1CF223E4" w14:textId="5ED73E09" w:rsidR="006B51E6"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14EECEE2" w14:textId="0FD6C340" w:rsidR="009577AC" w:rsidRPr="009577AC" w:rsidRDefault="009577AC" w:rsidP="009577AC">
      <w:pPr>
        <w:pStyle w:val="Body2"/>
        <w:spacing w:after="0"/>
        <w:ind w:firstLine="709"/>
        <w:rPr>
          <w:lang w:val="lt-LT"/>
        </w:rPr>
      </w:pPr>
      <w:bookmarkStart w:id="1" w:name="_Hlk190725702"/>
      <w:r w:rsidRPr="009577AC">
        <w:t xml:space="preserve">2.6. </w:t>
      </w:r>
      <w:r w:rsidRPr="009577AC">
        <w:rPr>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w:t>
      </w:r>
      <w:r w:rsidRPr="009577AC">
        <w:rPr>
          <w:lang w:val="lt-LT"/>
        </w:rPr>
        <w:lastRenderedPageBreak/>
        <w:t xml:space="preserve">draudžiama siūlyti paslaugas, jeigu jos kelia grėsmę nacionaliniam saugumui. Perkančioji organizacija laiko, kad paslaugos kelia grėsmę nacionaliniam saugumui, kai: </w:t>
      </w:r>
    </w:p>
    <w:p w14:paraId="5839FB9F" w14:textId="3E26B379" w:rsidR="009577AC" w:rsidRPr="009577AC" w:rsidRDefault="009577AC" w:rsidP="009577AC">
      <w:pPr>
        <w:pStyle w:val="Body2"/>
        <w:spacing w:after="0"/>
        <w:ind w:firstLine="709"/>
        <w:rPr>
          <w:lang w:val="lt-LT"/>
        </w:rPr>
      </w:pPr>
      <w:r w:rsidRPr="009577AC">
        <w:rPr>
          <w:lang w:val="lt-LT"/>
        </w:rPr>
        <w:t>(</w:t>
      </w:r>
      <w:r>
        <w:rPr>
          <w:lang w:val="lt-LT"/>
        </w:rPr>
        <w:t>1</w:t>
      </w:r>
      <w:r w:rsidRPr="009577AC">
        <w:rPr>
          <w:lang w:val="lt-LT"/>
        </w:rPr>
        <w:t>) paslaugų teikimas vykdomas iš Viešųjų pirkimų įstatymo 92 straipsnio 14 dalyje numatytame sąraše nurodytų valstybių ar teritorijų.</w:t>
      </w:r>
    </w:p>
    <w:bookmarkEnd w:id="1"/>
    <w:p w14:paraId="3DD46236" w14:textId="2D4324F6" w:rsidR="00B07119" w:rsidRPr="00CA449C" w:rsidRDefault="00B07119" w:rsidP="00BF3D1B">
      <w:pPr>
        <w:pStyle w:val="Body2"/>
        <w:spacing w:after="0"/>
        <w:ind w:firstLine="709"/>
        <w:rPr>
          <w:lang w:val="lt-LT"/>
        </w:rPr>
      </w:pPr>
      <w:r w:rsidRPr="00CA449C">
        <w:rPr>
          <w:lang w:val="lt-LT"/>
        </w:rPr>
        <w:t>2.</w:t>
      </w:r>
      <w:r w:rsidR="009577AC">
        <w:rPr>
          <w:lang w:val="lt-LT"/>
        </w:rPr>
        <w:t>7</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0975018" w:rsidR="006B51E6" w:rsidRDefault="0034466E" w:rsidP="00BF3D1B">
      <w:pPr>
        <w:pStyle w:val="Body2"/>
        <w:spacing w:after="0"/>
        <w:ind w:firstLine="709"/>
        <w:rPr>
          <w:lang w:val="lt-LT"/>
        </w:rPr>
      </w:pPr>
      <w:r w:rsidRPr="00CA449C">
        <w:rPr>
          <w:lang w:val="lt-LT"/>
        </w:rPr>
        <w:t>2.</w:t>
      </w:r>
      <w:r w:rsidR="009577AC">
        <w:rPr>
          <w:lang w:val="lt-LT"/>
        </w:rPr>
        <w:t>8</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6B3A941D" w14:textId="77777777" w:rsidR="003324D3" w:rsidRDefault="003324D3" w:rsidP="00415A17">
      <w:pPr>
        <w:pStyle w:val="Body2"/>
        <w:spacing w:after="0"/>
        <w:rPr>
          <w:color w:val="auto"/>
          <w:lang w:val="lt-LT"/>
        </w:rPr>
      </w:pP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10"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1">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CA449C">
        <w:rPr>
          <w:sz w:val="22"/>
          <w:szCs w:val="22"/>
          <w:lang w:val="lt-LT"/>
        </w:rPr>
        <w:lastRenderedPageBreak/>
        <w:t>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 xml:space="preserve">arba valstybės įmonės Registrų centro Lietuvos Respublikos Vyriausybės </w:t>
            </w:r>
            <w:r w:rsidRPr="00CA449C">
              <w:rPr>
                <w:rFonts w:ascii="Times New Roman" w:hAnsi="Times New Roman" w:cs="Times New Roman"/>
                <w:sz w:val="22"/>
                <w:szCs w:val="22"/>
              </w:rPr>
              <w:lastRenderedPageBreak/>
              <w:t>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449C">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2"/>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CA449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A449C">
              <w:rPr>
                <w:sz w:val="22"/>
                <w:szCs w:val="22"/>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4"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5"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6"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7">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8"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30418D3D" w:rsidR="00FC059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3.11. Perkančioji organizacija </w:t>
      </w:r>
      <w:r w:rsidR="00AF0D93">
        <w:rPr>
          <w:sz w:val="22"/>
          <w:szCs w:val="22"/>
          <w:lang w:val="lt-LT"/>
        </w:rPr>
        <w:t>ne</w:t>
      </w:r>
      <w:r w:rsidRPr="00CA449C">
        <w:rPr>
          <w:sz w:val="22"/>
          <w:szCs w:val="22"/>
          <w:lang w:val="lt-LT"/>
        </w:rPr>
        <w:t>taiko kvalifikacini</w:t>
      </w:r>
      <w:r w:rsidR="00AF0D93">
        <w:rPr>
          <w:sz w:val="22"/>
          <w:szCs w:val="22"/>
          <w:lang w:val="lt-LT"/>
        </w:rPr>
        <w:t>ų</w:t>
      </w:r>
      <w:r w:rsidRPr="00CA449C">
        <w:rPr>
          <w:sz w:val="22"/>
          <w:szCs w:val="22"/>
          <w:lang w:val="lt-LT"/>
        </w:rPr>
        <w:t xml:space="preserve"> reikalavim</w:t>
      </w:r>
      <w:r w:rsidR="00AF0D93">
        <w:rPr>
          <w:sz w:val="22"/>
          <w:szCs w:val="22"/>
          <w:lang w:val="lt-LT"/>
        </w:rPr>
        <w:t>ų</w:t>
      </w:r>
      <w:r w:rsidRPr="00CA449C">
        <w:rPr>
          <w:sz w:val="22"/>
          <w:szCs w:val="22"/>
          <w:lang w:val="lt-LT"/>
        </w:rPr>
        <w:t xml:space="preserve">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1DB33C4D"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77777777" w:rsidR="00A67BD9" w:rsidRPr="001C1032" w:rsidRDefault="00A67BD9" w:rsidP="00A67BD9">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Default="00E0256F" w:rsidP="00415A17">
      <w:pPr>
        <w:pStyle w:val="Body2"/>
        <w:spacing w:after="0"/>
        <w:rPr>
          <w:lang w:val="lt-LT"/>
        </w:rPr>
      </w:pPr>
    </w:p>
    <w:p w14:paraId="3E266A20" w14:textId="77777777" w:rsidR="00D16898" w:rsidRPr="00CA449C" w:rsidRDefault="00D16898"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20"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00A2213C" w:rsidRPr="00CA449C">
        <w:rPr>
          <w:sz w:val="22"/>
          <w:szCs w:val="22"/>
          <w:lang w:val="lt-LT"/>
        </w:rPr>
        <w:lastRenderedPageBreak/>
        <w:t>(patikslina)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22BA0C3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7777B6">
        <w:rPr>
          <w:sz w:val="22"/>
          <w:szCs w:val="22"/>
          <w:lang w:val="lt-LT"/>
        </w:rPr>
        <w:t xml:space="preserve">, </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B2BBA7D"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lastRenderedPageBreak/>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1E3BF9C2"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 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4AD26A1B" w14:textId="77777777" w:rsidR="00D16898" w:rsidRPr="00D16898" w:rsidRDefault="0034466E" w:rsidP="00D1689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D16898">
        <w:rPr>
          <w:sz w:val="22"/>
          <w:szCs w:val="22"/>
          <w:lang w:val="lt-LT"/>
        </w:rPr>
        <w:tab/>
        <w:t>1</w:t>
      </w:r>
      <w:r w:rsidR="004A1367" w:rsidRPr="00D16898">
        <w:rPr>
          <w:sz w:val="22"/>
          <w:szCs w:val="22"/>
          <w:lang w:val="lt-LT"/>
        </w:rPr>
        <w:t>5</w:t>
      </w:r>
      <w:r w:rsidRPr="00D16898">
        <w:rPr>
          <w:sz w:val="22"/>
          <w:szCs w:val="22"/>
          <w:lang w:val="lt-LT"/>
        </w:rPr>
        <w:t xml:space="preserve">.1. </w:t>
      </w:r>
      <w:r w:rsidR="00D16898" w:rsidRPr="00D16898">
        <w:rPr>
          <w:sz w:val="22"/>
          <w:szCs w:val="22"/>
          <w:lang w:val="lt-LT"/>
        </w:rPr>
        <w:t>Perkančioji organizacija ekonomiškai naudingiausią pasiūlymą išrenka pagal kainą</w:t>
      </w:r>
      <w:r w:rsidR="00D16898" w:rsidRPr="00D16898">
        <w:rPr>
          <w:bCs/>
          <w:sz w:val="22"/>
          <w:szCs w:val="22"/>
          <w:lang w:val="lt-LT"/>
        </w:rPr>
        <w:t>. Ekonomiškai naudingiausiu pasiūlymu laikomas mažiausios kainos pasiūlymas</w:t>
      </w:r>
      <w:r w:rsidR="00D16898" w:rsidRPr="00D16898">
        <w:rPr>
          <w:sz w:val="22"/>
          <w:szCs w:val="22"/>
          <w:lang w:val="lt-LT"/>
        </w:rPr>
        <w:t>.</w:t>
      </w:r>
      <w:r w:rsidR="00D16898" w:rsidRPr="00D16898">
        <w:rPr>
          <w:b/>
          <w:sz w:val="22"/>
          <w:szCs w:val="22"/>
          <w:lang w:val="lt-LT"/>
        </w:rPr>
        <w:t xml:space="preserve"> </w:t>
      </w:r>
    </w:p>
    <w:p w14:paraId="1432A832" w14:textId="053D7823" w:rsidR="006B51E6" w:rsidRPr="00CA449C" w:rsidRDefault="0034466E" w:rsidP="00D16898">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119901A5" w14:textId="77777777" w:rsidR="00B24A16" w:rsidRDefault="00B24A1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p>
    <w:p w14:paraId="09665F91" w14:textId="62F2A46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0F104820" w14:textId="2B2048FD" w:rsidR="0017092C" w:rsidRPr="00D16898" w:rsidRDefault="00697E36" w:rsidP="00D16898">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1"/>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A56F" w14:textId="77777777" w:rsidR="00EC407B" w:rsidRDefault="00EC407B">
      <w:r>
        <w:separator/>
      </w:r>
    </w:p>
  </w:endnote>
  <w:endnote w:type="continuationSeparator" w:id="0">
    <w:p w14:paraId="5B47523A" w14:textId="77777777" w:rsidR="00EC407B" w:rsidRDefault="00EC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1A28" w14:textId="77777777" w:rsidR="00EC407B" w:rsidRDefault="00EC407B">
      <w:r>
        <w:separator/>
      </w:r>
    </w:p>
  </w:footnote>
  <w:footnote w:type="continuationSeparator" w:id="0">
    <w:p w14:paraId="47FAEB37" w14:textId="77777777" w:rsidR="00EC407B" w:rsidRDefault="00EC407B">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55C71"/>
    <w:rsid w:val="00162225"/>
    <w:rsid w:val="00166562"/>
    <w:rsid w:val="0017092C"/>
    <w:rsid w:val="0017489D"/>
    <w:rsid w:val="00174DFC"/>
    <w:rsid w:val="00177962"/>
    <w:rsid w:val="00177A43"/>
    <w:rsid w:val="00186478"/>
    <w:rsid w:val="00191582"/>
    <w:rsid w:val="00193F3D"/>
    <w:rsid w:val="001A065F"/>
    <w:rsid w:val="001A1BF0"/>
    <w:rsid w:val="001A301C"/>
    <w:rsid w:val="001A36D8"/>
    <w:rsid w:val="001A4A43"/>
    <w:rsid w:val="001C2D07"/>
    <w:rsid w:val="001C400B"/>
    <w:rsid w:val="001C589E"/>
    <w:rsid w:val="001C6F80"/>
    <w:rsid w:val="001D07F0"/>
    <w:rsid w:val="001D74A0"/>
    <w:rsid w:val="00214766"/>
    <w:rsid w:val="00215FC5"/>
    <w:rsid w:val="002175FB"/>
    <w:rsid w:val="00217882"/>
    <w:rsid w:val="00240103"/>
    <w:rsid w:val="00251577"/>
    <w:rsid w:val="00261BF3"/>
    <w:rsid w:val="00262CFC"/>
    <w:rsid w:val="00272FF5"/>
    <w:rsid w:val="0028247E"/>
    <w:rsid w:val="00282A98"/>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55832"/>
    <w:rsid w:val="00363421"/>
    <w:rsid w:val="00364129"/>
    <w:rsid w:val="0037014E"/>
    <w:rsid w:val="00370E46"/>
    <w:rsid w:val="00371270"/>
    <w:rsid w:val="00371838"/>
    <w:rsid w:val="00375AE5"/>
    <w:rsid w:val="00391059"/>
    <w:rsid w:val="00394DEC"/>
    <w:rsid w:val="0039593D"/>
    <w:rsid w:val="003A2B16"/>
    <w:rsid w:val="003A3C48"/>
    <w:rsid w:val="003B4149"/>
    <w:rsid w:val="003B79EE"/>
    <w:rsid w:val="003C4068"/>
    <w:rsid w:val="003C6C95"/>
    <w:rsid w:val="003F00DB"/>
    <w:rsid w:val="00400E27"/>
    <w:rsid w:val="0040201F"/>
    <w:rsid w:val="00405188"/>
    <w:rsid w:val="00407B49"/>
    <w:rsid w:val="00415A17"/>
    <w:rsid w:val="00422C72"/>
    <w:rsid w:val="004252FB"/>
    <w:rsid w:val="00426C17"/>
    <w:rsid w:val="00431B9E"/>
    <w:rsid w:val="00440AB9"/>
    <w:rsid w:val="00450B36"/>
    <w:rsid w:val="004568C8"/>
    <w:rsid w:val="00456FC2"/>
    <w:rsid w:val="00461010"/>
    <w:rsid w:val="004637F2"/>
    <w:rsid w:val="00470A0D"/>
    <w:rsid w:val="00470A94"/>
    <w:rsid w:val="00470FC9"/>
    <w:rsid w:val="00471724"/>
    <w:rsid w:val="00480045"/>
    <w:rsid w:val="00483669"/>
    <w:rsid w:val="00483A6B"/>
    <w:rsid w:val="00483C55"/>
    <w:rsid w:val="00484DDD"/>
    <w:rsid w:val="00486FB5"/>
    <w:rsid w:val="00490736"/>
    <w:rsid w:val="004917FB"/>
    <w:rsid w:val="004A005C"/>
    <w:rsid w:val="004A1367"/>
    <w:rsid w:val="004A2832"/>
    <w:rsid w:val="004A67D6"/>
    <w:rsid w:val="004B0F5D"/>
    <w:rsid w:val="004B70FF"/>
    <w:rsid w:val="004C4408"/>
    <w:rsid w:val="004C50AE"/>
    <w:rsid w:val="004D6787"/>
    <w:rsid w:val="004D6ECA"/>
    <w:rsid w:val="004E0E2F"/>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070C7"/>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36C3D"/>
    <w:rsid w:val="0074139F"/>
    <w:rsid w:val="00742576"/>
    <w:rsid w:val="00746E20"/>
    <w:rsid w:val="00750B52"/>
    <w:rsid w:val="007522E1"/>
    <w:rsid w:val="00752573"/>
    <w:rsid w:val="00754B10"/>
    <w:rsid w:val="00757B70"/>
    <w:rsid w:val="00764BA3"/>
    <w:rsid w:val="00766B74"/>
    <w:rsid w:val="007715F1"/>
    <w:rsid w:val="007777B6"/>
    <w:rsid w:val="00784477"/>
    <w:rsid w:val="00787686"/>
    <w:rsid w:val="00791910"/>
    <w:rsid w:val="007A0D4D"/>
    <w:rsid w:val="007A10C5"/>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1D3D"/>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577AC"/>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A7D"/>
    <w:rsid w:val="009E3BC6"/>
    <w:rsid w:val="00A0024D"/>
    <w:rsid w:val="00A116C1"/>
    <w:rsid w:val="00A2213C"/>
    <w:rsid w:val="00A24991"/>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0D93"/>
    <w:rsid w:val="00AF4F7B"/>
    <w:rsid w:val="00AF549C"/>
    <w:rsid w:val="00B043BC"/>
    <w:rsid w:val="00B0547D"/>
    <w:rsid w:val="00B07119"/>
    <w:rsid w:val="00B146BB"/>
    <w:rsid w:val="00B15A4B"/>
    <w:rsid w:val="00B17E7A"/>
    <w:rsid w:val="00B23393"/>
    <w:rsid w:val="00B238F3"/>
    <w:rsid w:val="00B24A16"/>
    <w:rsid w:val="00B2656D"/>
    <w:rsid w:val="00B27115"/>
    <w:rsid w:val="00B3164A"/>
    <w:rsid w:val="00B4306F"/>
    <w:rsid w:val="00B432CC"/>
    <w:rsid w:val="00B47271"/>
    <w:rsid w:val="00B5600D"/>
    <w:rsid w:val="00B56FE5"/>
    <w:rsid w:val="00B703D1"/>
    <w:rsid w:val="00B705E7"/>
    <w:rsid w:val="00B81443"/>
    <w:rsid w:val="00BB2470"/>
    <w:rsid w:val="00BB2673"/>
    <w:rsid w:val="00BB48D2"/>
    <w:rsid w:val="00BB4E1B"/>
    <w:rsid w:val="00BB5EB4"/>
    <w:rsid w:val="00BC00CC"/>
    <w:rsid w:val="00BC3FB0"/>
    <w:rsid w:val="00BC6B02"/>
    <w:rsid w:val="00BD3BFF"/>
    <w:rsid w:val="00BF3D1B"/>
    <w:rsid w:val="00BF5A32"/>
    <w:rsid w:val="00BF6475"/>
    <w:rsid w:val="00BF7DDA"/>
    <w:rsid w:val="00C01F5E"/>
    <w:rsid w:val="00C0536F"/>
    <w:rsid w:val="00C1303A"/>
    <w:rsid w:val="00C1437B"/>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0680"/>
    <w:rsid w:val="00D061A1"/>
    <w:rsid w:val="00D16898"/>
    <w:rsid w:val="00D1777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66EE6"/>
    <w:rsid w:val="00E71860"/>
    <w:rsid w:val="00E72AB4"/>
    <w:rsid w:val="00E81862"/>
    <w:rsid w:val="00E82FB8"/>
    <w:rsid w:val="00E8476E"/>
    <w:rsid w:val="00EA19C2"/>
    <w:rsid w:val="00EA50FB"/>
    <w:rsid w:val="00EB26C0"/>
    <w:rsid w:val="00EB4BEF"/>
    <w:rsid w:val="00EC1476"/>
    <w:rsid w:val="00EC2530"/>
    <w:rsid w:val="00EC32D5"/>
    <w:rsid w:val="00EC407B"/>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5B3B"/>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rmina.galdik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9264</Words>
  <Characters>52808</Characters>
  <Application>Microsoft Office Word</Application>
  <DocSecurity>0</DocSecurity>
  <Lines>440</Lines>
  <Paragraphs>123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4</cp:revision>
  <dcterms:created xsi:type="dcterms:W3CDTF">2025-11-11T09:21:00Z</dcterms:created>
  <dcterms:modified xsi:type="dcterms:W3CDTF">2025-11-12T09:21:00Z</dcterms:modified>
</cp:coreProperties>
</file>