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68764121" w:rsidR="007C403F" w:rsidRP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w:t>
      </w:r>
      <w:r w:rsidR="00F73D17">
        <w:rPr>
          <w:szCs w:val="18"/>
        </w:rPr>
        <w:t>11</w:t>
      </w:r>
      <w:r w:rsidRPr="007C403F">
        <w:rPr>
          <w:szCs w:val="18"/>
        </w:rPr>
        <w:t>-</w:t>
      </w:r>
      <w:r w:rsidR="00361B1E">
        <w:rPr>
          <w:szCs w:val="18"/>
        </w:rPr>
        <w:t>17</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2BE55AF0" w:rsidR="007C403F" w:rsidRPr="00361B1E" w:rsidRDefault="007C403F" w:rsidP="00361B1E">
      <w:pPr>
        <w:widowControl w:val="0"/>
        <w:jc w:val="center"/>
        <w:rPr>
          <w:b/>
          <w:bCs/>
        </w:rPr>
      </w:pPr>
      <w:r>
        <w:rPr>
          <w:b/>
          <w:bCs/>
        </w:rPr>
        <w:t xml:space="preserve">DĖL </w:t>
      </w:r>
      <w:r w:rsidR="00F73D17">
        <w:rPr>
          <w:b/>
          <w:bCs/>
        </w:rPr>
        <w:t>SLAUGOS LOVŲ SU ČIUŽINIAIS</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70BA4D35"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F73D17">
        <w:rPr>
          <w:bCs/>
        </w:rPr>
        <w:t>Slaugos lovos su čiužiniais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9321EC3"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sidR="0087528B">
              <w:rPr>
                <w:b w:val="0"/>
                <w:color w:val="000000" w:themeColor="text1"/>
              </w:rPr>
              <w:t>prekių tiekimo</w:t>
            </w:r>
            <w:r w:rsidRPr="00AD2B25">
              <w:rPr>
                <w:b w:val="0"/>
                <w:color w:val="000000" w:themeColor="text1"/>
              </w:rPr>
              <w:t xml:space="preserve"> terminas – </w:t>
            </w:r>
            <w:r w:rsidR="0087528B">
              <w:rPr>
                <w:b w:val="0"/>
                <w:color w:val="000000" w:themeColor="text1"/>
              </w:rPr>
              <w:t>2</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2DE4" w14:textId="77777777" w:rsidR="00C635BB" w:rsidRDefault="00C635BB">
      <w:r>
        <w:separator/>
      </w:r>
    </w:p>
  </w:endnote>
  <w:endnote w:type="continuationSeparator" w:id="0">
    <w:p w14:paraId="3AEEC28E" w14:textId="77777777" w:rsidR="00C635BB" w:rsidRDefault="00C635BB">
      <w:r>
        <w:continuationSeparator/>
      </w:r>
    </w:p>
  </w:endnote>
  <w:endnote w:type="continuationNotice" w:id="1">
    <w:p w14:paraId="4CD7DBC6" w14:textId="77777777" w:rsidR="00C635BB" w:rsidRDefault="00C63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8E02" w14:textId="77777777" w:rsidR="00C635BB" w:rsidRDefault="00C635BB">
      <w:r>
        <w:separator/>
      </w:r>
    </w:p>
  </w:footnote>
  <w:footnote w:type="continuationSeparator" w:id="0">
    <w:p w14:paraId="525058B2" w14:textId="77777777" w:rsidR="00C635BB" w:rsidRDefault="00C635BB">
      <w:r>
        <w:continuationSeparator/>
      </w:r>
    </w:p>
  </w:footnote>
  <w:footnote w:type="continuationNotice" w:id="1">
    <w:p w14:paraId="7086CB5E" w14:textId="77777777" w:rsidR="00C635BB" w:rsidRDefault="00C63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2624</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17</cp:revision>
  <cp:lastPrinted>2022-11-07T11:49:00Z</cp:lastPrinted>
  <dcterms:created xsi:type="dcterms:W3CDTF">2022-11-08T08:31:00Z</dcterms:created>
  <dcterms:modified xsi:type="dcterms:W3CDTF">2025-11-17T09:08:00Z</dcterms:modified>
</cp:coreProperties>
</file>