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6614CCA7" w14:textId="69942280" w:rsidR="00180ABC" w:rsidRDefault="00180ABC" w:rsidP="002224D7">
      <w:pPr>
        <w:pStyle w:val="Antrat21"/>
        <w:spacing w:after="240" w:line="240" w:lineRule="auto"/>
      </w:pPr>
      <w:r>
        <w:t>2025-11-11</w:t>
      </w:r>
    </w:p>
    <w:p w14:paraId="36604340" w14:textId="77777777" w:rsidR="004B7029" w:rsidRPr="0043712E"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5ED055DE" w:rsidR="004B7029" w:rsidRPr="0003080C" w:rsidRDefault="00E03A34"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Pr>
          <w:rFonts w:eastAsia="Times New Roman" w:cs="Arial"/>
          <w:sz w:val="20"/>
          <w:szCs w:val="20"/>
        </w:rPr>
        <w:t>A</w:t>
      </w:r>
      <w:r w:rsidR="0077662E" w:rsidRPr="004D0783">
        <w:rPr>
          <w:rFonts w:eastAsia="Times New Roman" w:cs="Arial"/>
          <w:sz w:val="20"/>
          <w:szCs w:val="20"/>
        </w:rPr>
        <w:t xml:space="preserve">kcinės bendrovės „Kauno energija“ (toliau – </w:t>
      </w:r>
      <w:r w:rsidR="0077662E" w:rsidRPr="004D0783">
        <w:rPr>
          <w:rFonts w:eastAsia="Times New Roman" w:cs="Arial"/>
          <w:b/>
          <w:bCs/>
          <w:sz w:val="20"/>
          <w:szCs w:val="20"/>
        </w:rPr>
        <w:t>Draudėjas</w:t>
      </w:r>
      <w:r w:rsidR="0077662E" w:rsidRPr="004D0783">
        <w:rPr>
          <w:rFonts w:eastAsia="Times New Roman" w:cs="Arial"/>
          <w:sz w:val="20"/>
          <w:szCs w:val="20"/>
        </w:rPr>
        <w:t xml:space="preserve">) civilinė atsakomybė prieš trečiuosius asmenis dėl draudimo sutarties (toliau – </w:t>
      </w:r>
      <w:r w:rsidR="0077662E" w:rsidRPr="004D0783">
        <w:rPr>
          <w:rFonts w:eastAsia="Times New Roman" w:cs="Arial"/>
          <w:b/>
          <w:bCs/>
          <w:sz w:val="20"/>
          <w:szCs w:val="20"/>
        </w:rPr>
        <w:t>Sutartis</w:t>
      </w:r>
      <w:r w:rsidR="0077662E" w:rsidRPr="004D0783">
        <w:rPr>
          <w:rFonts w:eastAsia="Times New Roman" w:cs="Arial"/>
          <w:sz w:val="20"/>
          <w:szCs w:val="20"/>
        </w:rPr>
        <w:t xml:space="preserve">) galiojimo laikotarpiu padarytos žalos jų turtui ir / ar sveikatai, negautoms pajamoms dėl Draudėjo kaltės. </w:t>
      </w:r>
      <w:r w:rsidR="004B7029" w:rsidRPr="0084556B">
        <w:rPr>
          <w:rFonts w:cs="Arial"/>
          <w:bCs/>
          <w:sz w:val="20"/>
          <w:szCs w:val="20"/>
        </w:rPr>
        <w:t>(toliau – Pirkimas arba Paslaugos).</w:t>
      </w:r>
    </w:p>
    <w:p w14:paraId="271188AC" w14:textId="0F77D8DB" w:rsidR="00FC1E11" w:rsidRPr="0043712E" w:rsidRDefault="00FC1E11"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51360BF9" w:rsidR="00FC1E11" w:rsidRPr="004B7029" w:rsidRDefault="00383CEA" w:rsidP="004B7029">
      <w:pPr>
        <w:pStyle w:val="ListParagraph"/>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77662E">
        <w:rPr>
          <w:rFonts w:cs="Arial"/>
          <w:sz w:val="20"/>
          <w:szCs w:val="20"/>
        </w:rPr>
        <w:t>akcinė bendrovė „Kauno energija“</w:t>
      </w:r>
      <w:r w:rsidR="00625F0D" w:rsidRPr="004B7029">
        <w:rPr>
          <w:rFonts w:cs="Arial"/>
          <w:i/>
          <w:iCs/>
          <w:color w:val="747474" w:themeColor="background2" w:themeShade="80"/>
          <w:sz w:val="20"/>
          <w:szCs w:val="20"/>
        </w:rPr>
        <w:t>.</w:t>
      </w:r>
    </w:p>
    <w:p w14:paraId="48949AC4" w14:textId="07EB1E21" w:rsidR="00FC1E11" w:rsidRPr="00625F0D" w:rsidRDefault="00FC1E11" w:rsidP="004B7029">
      <w:pPr>
        <w:pStyle w:val="ListParagraph"/>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08022D5E" w14:textId="0C935FED" w:rsidR="00FC1E11" w:rsidRPr="001A3061" w:rsidRDefault="00FC1E11" w:rsidP="004B7029">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569332A8" w14:textId="39647ABE" w:rsidR="00FC1E11" w:rsidRPr="00B50284" w:rsidRDefault="00B60A06" w:rsidP="004B7029">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 xml:space="preserve">– </w:t>
      </w:r>
      <w:r w:rsidR="0077662E">
        <w:rPr>
          <w:rFonts w:eastAsia="Arial" w:cs="Arial"/>
          <w:sz w:val="20"/>
          <w:szCs w:val="20"/>
        </w:rPr>
        <w:t>C</w:t>
      </w:r>
      <w:r w:rsidR="0077662E" w:rsidRPr="0077662E">
        <w:rPr>
          <w:rFonts w:eastAsia="Arial" w:cs="Arial"/>
          <w:sz w:val="20"/>
          <w:szCs w:val="20"/>
        </w:rPr>
        <w:t>ivilinė atsakomybė prieš trečiuosius asmenis</w:t>
      </w:r>
      <w:r w:rsidR="0077662E">
        <w:rPr>
          <w:rFonts w:eastAsia="Arial" w:cs="Arial"/>
          <w:i/>
          <w:iCs/>
          <w:color w:val="747474" w:themeColor="background2" w:themeShade="80"/>
          <w:sz w:val="20"/>
          <w:szCs w:val="20"/>
        </w:rPr>
        <w:t>.</w:t>
      </w:r>
    </w:p>
    <w:p w14:paraId="46532A22" w14:textId="187AB436" w:rsidR="005F6FCC" w:rsidRPr="004B7029" w:rsidRDefault="00B50284" w:rsidP="004B7029">
      <w:pPr>
        <w:pStyle w:val="ListParagraph"/>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46C09" w14:textId="7C815496" w:rsidR="00095FC2" w:rsidRPr="00095FC2" w:rsidRDefault="00030991" w:rsidP="004E0673">
      <w:pPr>
        <w:pStyle w:val="ListParagraph"/>
        <w:numPr>
          <w:ilvl w:val="1"/>
          <w:numId w:val="3"/>
        </w:numPr>
        <w:tabs>
          <w:tab w:val="left" w:pos="540"/>
          <w:tab w:val="left" w:pos="720"/>
        </w:tabs>
        <w:ind w:left="0" w:firstLine="0"/>
        <w:jc w:val="both"/>
        <w:rPr>
          <w:rFonts w:cs="Arial"/>
          <w:b/>
          <w:i/>
          <w:iCs/>
          <w:color w:val="747474" w:themeColor="background2" w:themeShade="80"/>
          <w:sz w:val="20"/>
          <w:szCs w:val="20"/>
        </w:rPr>
      </w:pPr>
      <w:r w:rsidRPr="004D0783">
        <w:rPr>
          <w:rFonts w:eastAsia="Times New Roman" w:cs="Arial"/>
          <w:sz w:val="20"/>
          <w:szCs w:val="20"/>
        </w:rPr>
        <w:t>Draudėjo veikla – šilumos gamyba, tiekimas, paskirstymas bei karšto vandens tiekimas vartotojams Kauno ir Jurbarko miestuose bei Kauno rajone</w:t>
      </w:r>
      <w:r w:rsidR="00095FC2" w:rsidRPr="00095FC2">
        <w:rPr>
          <w:rFonts w:cs="Arial"/>
          <w:sz w:val="20"/>
          <w:szCs w:val="20"/>
        </w:rPr>
        <w:t>;</w:t>
      </w:r>
      <w:r w:rsidR="00095FC2">
        <w:rPr>
          <w:rFonts w:cs="Arial"/>
          <w:sz w:val="20"/>
          <w:szCs w:val="20"/>
        </w:rPr>
        <w:t xml:space="preserve"> matavimo priemonių metrologinė patikra.</w:t>
      </w:r>
    </w:p>
    <w:p w14:paraId="279C3B65" w14:textId="5E2E73A0" w:rsidR="004E0673" w:rsidRPr="004E0673" w:rsidRDefault="004E0673" w:rsidP="004E0673">
      <w:pPr>
        <w:pStyle w:val="ListParagraph"/>
        <w:numPr>
          <w:ilvl w:val="1"/>
          <w:numId w:val="3"/>
        </w:numPr>
        <w:ind w:left="567" w:hanging="567"/>
        <w:rPr>
          <w:rFonts w:cs="Arial"/>
          <w:sz w:val="20"/>
          <w:szCs w:val="20"/>
        </w:rPr>
      </w:pPr>
      <w:r w:rsidRPr="004E0673">
        <w:rPr>
          <w:rFonts w:cs="Arial"/>
          <w:sz w:val="20"/>
          <w:szCs w:val="20"/>
        </w:rPr>
        <w:t>Draudėjo planuojama apyvarta 202</w:t>
      </w:r>
      <w:r>
        <w:rPr>
          <w:rFonts w:cs="Arial"/>
          <w:sz w:val="20"/>
          <w:szCs w:val="20"/>
        </w:rPr>
        <w:t>6</w:t>
      </w:r>
      <w:r w:rsidRPr="004E0673">
        <w:rPr>
          <w:rFonts w:cs="Arial"/>
          <w:sz w:val="20"/>
          <w:szCs w:val="20"/>
        </w:rPr>
        <w:t xml:space="preserve"> m. – </w:t>
      </w:r>
      <w:r>
        <w:rPr>
          <w:rFonts w:cs="Arial"/>
          <w:sz w:val="20"/>
          <w:szCs w:val="20"/>
        </w:rPr>
        <w:t>9</w:t>
      </w:r>
      <w:r w:rsidRPr="004E0673">
        <w:rPr>
          <w:rFonts w:cs="Arial"/>
          <w:sz w:val="20"/>
          <w:szCs w:val="20"/>
        </w:rPr>
        <w:t>5.000.000,00 Eur (</w:t>
      </w:r>
      <w:r>
        <w:rPr>
          <w:rFonts w:cs="Arial"/>
          <w:sz w:val="20"/>
          <w:szCs w:val="20"/>
        </w:rPr>
        <w:t>devy</w:t>
      </w:r>
      <w:r w:rsidRPr="004E0673">
        <w:rPr>
          <w:rFonts w:cs="Arial"/>
          <w:sz w:val="20"/>
          <w:szCs w:val="20"/>
        </w:rPr>
        <w:t>niasdešimt</w:t>
      </w:r>
      <w:r>
        <w:rPr>
          <w:rFonts w:cs="Arial"/>
          <w:sz w:val="20"/>
          <w:szCs w:val="20"/>
        </w:rPr>
        <w:t xml:space="preserve"> </w:t>
      </w:r>
      <w:r w:rsidRPr="004E0673">
        <w:rPr>
          <w:rFonts w:cs="Arial"/>
          <w:sz w:val="20"/>
          <w:szCs w:val="20"/>
        </w:rPr>
        <w:t>penki milijonai eurų ir 00 ct) be PVM</w:t>
      </w:r>
      <w:r>
        <w:rPr>
          <w:rFonts w:cs="Arial"/>
          <w:sz w:val="20"/>
          <w:szCs w:val="20"/>
        </w:rPr>
        <w:t>.</w:t>
      </w:r>
    </w:p>
    <w:p w14:paraId="66861817" w14:textId="4300BB8F" w:rsidR="004E0673" w:rsidRPr="004E0673" w:rsidRDefault="004E0673" w:rsidP="004E0673">
      <w:pPr>
        <w:pStyle w:val="ListParagraph"/>
        <w:numPr>
          <w:ilvl w:val="1"/>
          <w:numId w:val="3"/>
        </w:numPr>
        <w:tabs>
          <w:tab w:val="left" w:pos="540"/>
          <w:tab w:val="left" w:pos="720"/>
        </w:tabs>
        <w:ind w:left="0" w:firstLine="0"/>
        <w:jc w:val="both"/>
        <w:rPr>
          <w:rFonts w:cs="Arial"/>
          <w:b/>
          <w:sz w:val="20"/>
          <w:szCs w:val="20"/>
        </w:rPr>
      </w:pPr>
      <w:r w:rsidRPr="004E0673">
        <w:rPr>
          <w:rFonts w:cs="Arial"/>
          <w:sz w:val="20"/>
          <w:szCs w:val="20"/>
        </w:rPr>
        <w:t xml:space="preserve">Vidutinis darbuotojų skaičius – 350. </w:t>
      </w:r>
    </w:p>
    <w:p w14:paraId="0E283B23" w14:textId="471E46D3" w:rsidR="004E0673" w:rsidRDefault="004E0673" w:rsidP="004E0673">
      <w:pPr>
        <w:pStyle w:val="ListParagraph"/>
        <w:numPr>
          <w:ilvl w:val="1"/>
          <w:numId w:val="3"/>
        </w:numPr>
        <w:tabs>
          <w:tab w:val="left" w:pos="540"/>
          <w:tab w:val="left" w:pos="720"/>
        </w:tabs>
        <w:ind w:left="0" w:firstLine="0"/>
        <w:jc w:val="both"/>
        <w:rPr>
          <w:rFonts w:cs="Arial"/>
          <w:bCs/>
          <w:sz w:val="20"/>
          <w:szCs w:val="20"/>
        </w:rPr>
      </w:pPr>
      <w:r w:rsidRPr="004E0673">
        <w:rPr>
          <w:rFonts w:cs="Arial"/>
          <w:bCs/>
          <w:sz w:val="20"/>
          <w:szCs w:val="20"/>
        </w:rPr>
        <w:t>Valdomų mechanizmų/įrengimų skaičius – 8.</w:t>
      </w:r>
    </w:p>
    <w:p w14:paraId="013F0248" w14:textId="77777777" w:rsidR="004E0673" w:rsidRPr="004D0783" w:rsidRDefault="004E0673" w:rsidP="004E0673">
      <w:pPr>
        <w:numPr>
          <w:ilvl w:val="1"/>
          <w:numId w:val="3"/>
        </w:numPr>
        <w:tabs>
          <w:tab w:val="left" w:pos="34"/>
          <w:tab w:val="left" w:pos="426"/>
          <w:tab w:val="left" w:pos="567"/>
          <w:tab w:val="left" w:pos="709"/>
        </w:tabs>
        <w:ind w:right="-23" w:hanging="720"/>
        <w:contextualSpacing/>
        <w:rPr>
          <w:rFonts w:eastAsia="Times New Roman" w:cs="Arial"/>
          <w:sz w:val="20"/>
          <w:szCs w:val="20"/>
        </w:rPr>
      </w:pPr>
      <w:r w:rsidRPr="004D0783">
        <w:rPr>
          <w:rFonts w:eastAsia="Times New Roman" w:cs="Arial"/>
          <w:sz w:val="20"/>
          <w:szCs w:val="20"/>
        </w:rPr>
        <w:t>Papildomai draudžiama Draudėjo civilinė atsakomybė dėl (pateikti kainodarą atskirai, jei taikoma)</w:t>
      </w:r>
      <w:r w:rsidRPr="004D0783">
        <w:rPr>
          <w:rFonts w:eastAsia="Times New Roman" w:cs="Arial"/>
          <w:color w:val="000000"/>
          <w:sz w:val="20"/>
          <w:szCs w:val="20"/>
        </w:rPr>
        <w:t>:</w:t>
      </w:r>
    </w:p>
    <w:p w14:paraId="69473B87"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sz w:val="20"/>
          <w:szCs w:val="20"/>
        </w:rPr>
      </w:pPr>
      <w:r w:rsidRPr="004D0783">
        <w:rPr>
          <w:rFonts w:eastAsia="Times New Roman" w:cs="Arial"/>
          <w:sz w:val="20"/>
          <w:szCs w:val="20"/>
        </w:rPr>
        <w:t>žalos gamtinei aplinkai bei išlaidų šios žalos likvidavimui. Įtraukiama ir žala, apskaičiuota pagal Lietuvos Respublikos aplinkos ministerijos apskaičiavimo metodiką;</w:t>
      </w:r>
    </w:p>
    <w:p w14:paraId="6CC38CCC"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sz w:val="20"/>
          <w:szCs w:val="20"/>
        </w:rPr>
      </w:pPr>
      <w:r w:rsidRPr="004D0783">
        <w:rPr>
          <w:rFonts w:eastAsia="Times New Roman" w:cs="Arial"/>
          <w:sz w:val="20"/>
          <w:szCs w:val="20"/>
        </w:rPr>
        <w:t>žalos trečiajam asmeniui/jo turtui, kuri kilusi dėl aplinkos užteršimo;</w:t>
      </w:r>
    </w:p>
    <w:p w14:paraId="24FD62DA"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sz w:val="20"/>
          <w:szCs w:val="20"/>
        </w:rPr>
      </w:pPr>
      <w:r w:rsidRPr="004D0783">
        <w:rPr>
          <w:rFonts w:eastAsia="Times New Roman" w:cs="Arial"/>
          <w:sz w:val="20"/>
          <w:szCs w:val="20"/>
        </w:rPr>
        <w:t>žalos trečiajam asmeniui/jo turtui, padarytos Draudėjo produktu (suteikta paslauga).</w:t>
      </w:r>
    </w:p>
    <w:p w14:paraId="27C5F8AC"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color w:val="000000"/>
          <w:sz w:val="20"/>
          <w:szCs w:val="20"/>
        </w:rPr>
      </w:pPr>
      <w:r w:rsidRPr="004D0783">
        <w:rPr>
          <w:rFonts w:eastAsia="Times New Roman" w:cs="Arial"/>
          <w:sz w:val="20"/>
          <w:szCs w:val="20"/>
        </w:rPr>
        <w:t>žalos, atsiradusios dėl valdomų pastatų / šilumos tiekimo tinklų / teritorijų / bei įrengimų eksploatacijos;</w:t>
      </w:r>
    </w:p>
    <w:p w14:paraId="70E1B027"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color w:val="000000"/>
          <w:sz w:val="20"/>
          <w:szCs w:val="20"/>
        </w:rPr>
      </w:pPr>
      <w:r w:rsidRPr="004D0783">
        <w:rPr>
          <w:rFonts w:eastAsia="Times New Roman" w:cs="Arial"/>
          <w:color w:val="000000"/>
          <w:sz w:val="20"/>
          <w:szCs w:val="20"/>
        </w:rPr>
        <w:t>žalos, padarytos Draudėjo panaudos ar nuomos teisėmis suteiktam ir Draudėjo eksploatuojam</w:t>
      </w:r>
      <w:r>
        <w:rPr>
          <w:rFonts w:eastAsia="Times New Roman" w:cs="Arial"/>
          <w:color w:val="000000"/>
          <w:sz w:val="20"/>
          <w:szCs w:val="20"/>
        </w:rPr>
        <w:t xml:space="preserve">am </w:t>
      </w:r>
      <w:r w:rsidRPr="004D0783">
        <w:rPr>
          <w:rFonts w:eastAsia="Times New Roman" w:cs="Arial"/>
          <w:color w:val="000000"/>
          <w:sz w:val="20"/>
          <w:szCs w:val="20"/>
        </w:rPr>
        <w:t>turtui pagal sutartis (patikėtas turtas);</w:t>
      </w:r>
    </w:p>
    <w:p w14:paraId="1D2FC7EC"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color w:val="000000"/>
          <w:sz w:val="20"/>
          <w:szCs w:val="20"/>
        </w:rPr>
      </w:pPr>
      <w:r w:rsidRPr="004D0783">
        <w:rPr>
          <w:rFonts w:eastAsia="Times New Roman" w:cs="Arial"/>
          <w:color w:val="000000"/>
          <w:sz w:val="20"/>
          <w:szCs w:val="20"/>
        </w:rPr>
        <w:t>žalos, atliekant statybos – montavimo darbus statant / remontuojant / renovuojant                        Draudėjo inžinerinius tinklus, įrenginius bei mechanizmus, įskaitant krovimo / iškrovimo darbus;</w:t>
      </w:r>
    </w:p>
    <w:p w14:paraId="4D157709" w14:textId="77777777" w:rsidR="004E0673" w:rsidRPr="004D0783" w:rsidRDefault="004E0673" w:rsidP="004E0673">
      <w:pPr>
        <w:numPr>
          <w:ilvl w:val="2"/>
          <w:numId w:val="3"/>
        </w:numPr>
        <w:tabs>
          <w:tab w:val="left" w:pos="34"/>
          <w:tab w:val="left" w:pos="284"/>
          <w:tab w:val="left" w:pos="317"/>
          <w:tab w:val="left" w:pos="709"/>
        </w:tabs>
        <w:ind w:left="567" w:right="-23" w:hanging="567"/>
        <w:contextualSpacing/>
        <w:rPr>
          <w:rFonts w:eastAsia="Times New Roman" w:cs="Arial"/>
          <w:color w:val="000000"/>
          <w:sz w:val="20"/>
          <w:szCs w:val="20"/>
        </w:rPr>
      </w:pPr>
      <w:r w:rsidRPr="004D0783">
        <w:rPr>
          <w:rFonts w:eastAsia="Times New Roman" w:cs="Arial"/>
          <w:color w:val="000000"/>
          <w:sz w:val="20"/>
          <w:szCs w:val="20"/>
        </w:rPr>
        <w:t>žalos, atsiradusios nepatiekus šilumos, termofikacinio vandens šildymui ir / ar karšto vandens.</w:t>
      </w:r>
    </w:p>
    <w:p w14:paraId="4B8466FD" w14:textId="5FCA1D2F" w:rsidR="004E0673" w:rsidRPr="004D0783" w:rsidRDefault="004E0673" w:rsidP="004E0673">
      <w:pPr>
        <w:tabs>
          <w:tab w:val="left" w:pos="0"/>
          <w:tab w:val="left" w:pos="34"/>
          <w:tab w:val="left" w:pos="426"/>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 xml:space="preserve">.6. Taip pat draudimo objektu yra laikoma </w:t>
      </w:r>
      <w:r w:rsidRPr="004D0783">
        <w:rPr>
          <w:rFonts w:eastAsia="Times New Roman" w:cs="Arial"/>
          <w:sz w:val="20"/>
          <w:szCs w:val="20"/>
        </w:rPr>
        <w:t>(pateikti kainodarą atskirai, jei taikoma)</w:t>
      </w:r>
      <w:r w:rsidRPr="004D0783">
        <w:rPr>
          <w:rFonts w:eastAsia="Times New Roman" w:cs="Arial"/>
          <w:color w:val="000000"/>
          <w:sz w:val="20"/>
          <w:szCs w:val="20"/>
        </w:rPr>
        <w:t>:</w:t>
      </w:r>
    </w:p>
    <w:p w14:paraId="316FE622" w14:textId="7A0A25BF" w:rsidR="004E0673" w:rsidRPr="004D0783" w:rsidRDefault="004E0673" w:rsidP="004E0673">
      <w:pPr>
        <w:tabs>
          <w:tab w:val="left" w:pos="0"/>
          <w:tab w:val="left" w:pos="34"/>
          <w:tab w:val="left" w:pos="284"/>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.6.1.  Neturtinė žala;</w:t>
      </w:r>
    </w:p>
    <w:p w14:paraId="2CDC613F" w14:textId="1240D5E1" w:rsidR="004E0673" w:rsidRPr="004D0783" w:rsidRDefault="004E0673" w:rsidP="004E0673">
      <w:pPr>
        <w:pStyle w:val="ListParagraph"/>
        <w:tabs>
          <w:tab w:val="left" w:pos="0"/>
          <w:tab w:val="left" w:pos="34"/>
          <w:tab w:val="left" w:pos="284"/>
        </w:tabs>
        <w:ind w:left="0"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.6.2.  Civilinė atsakomybė, kilusi dėl draudėjo didelio neatsargumo, klaidų, aplaidumo;</w:t>
      </w:r>
    </w:p>
    <w:p w14:paraId="1D8B7EE3" w14:textId="7A5E3E46" w:rsidR="004E0673" w:rsidRPr="004D0783" w:rsidRDefault="004E0673" w:rsidP="004E0673">
      <w:pPr>
        <w:tabs>
          <w:tab w:val="left" w:pos="0"/>
          <w:tab w:val="left" w:pos="34"/>
          <w:tab w:val="left" w:pos="284"/>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.6.3. Civilinė atsakomybė, kilusi dėl draudėjo kontrahentų veiklos (galimas atgręžtinio reikalavimo taikymas);</w:t>
      </w:r>
    </w:p>
    <w:p w14:paraId="0B8F8B82" w14:textId="55E1138D" w:rsidR="004E0673" w:rsidRPr="004D0783" w:rsidRDefault="004E0673" w:rsidP="004E0673">
      <w:pPr>
        <w:tabs>
          <w:tab w:val="left" w:pos="0"/>
          <w:tab w:val="left" w:pos="34"/>
          <w:tab w:val="left" w:pos="284"/>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.6.4.  Civilinė atsakomybė dėl savaeigių mašinų naudojimo/valdymo;</w:t>
      </w:r>
    </w:p>
    <w:p w14:paraId="1CE7A0D1" w14:textId="47992F49" w:rsidR="004E0673" w:rsidRPr="004D0783" w:rsidRDefault="004E0673" w:rsidP="004E0673">
      <w:pPr>
        <w:tabs>
          <w:tab w:val="left" w:pos="0"/>
          <w:tab w:val="left" w:pos="34"/>
          <w:tab w:val="left" w:pos="284"/>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.6.5.  Civilinė atsakomybė komandiruočių/renginių metu. Teritorija − visas pasaulis</w:t>
      </w:r>
      <w:r>
        <w:rPr>
          <w:rFonts w:eastAsia="Times New Roman" w:cs="Arial"/>
          <w:color w:val="000000"/>
          <w:sz w:val="20"/>
          <w:szCs w:val="20"/>
        </w:rPr>
        <w:t>, išskyrus</w:t>
      </w:r>
      <w:r w:rsidRPr="004129BB">
        <w:rPr>
          <w:rFonts w:eastAsia="Times New Roman" w:cs="Arial"/>
          <w:i/>
          <w:iCs/>
          <w:noProof/>
          <w:sz w:val="20"/>
          <w:szCs w:val="20"/>
          <w:lang w:eastAsia="lt-LT"/>
        </w:rPr>
        <w:t xml:space="preserve"> </w:t>
      </w:r>
      <w:r w:rsidRPr="004129BB">
        <w:rPr>
          <w:rFonts w:eastAsia="Times New Roman" w:cs="Arial"/>
          <w:noProof/>
          <w:sz w:val="20"/>
          <w:szCs w:val="20"/>
          <w:lang w:eastAsia="lt-LT"/>
        </w:rPr>
        <w:t>Rusijos Federaciją ir Baltarusijos Respubliką</w:t>
      </w:r>
      <w:r w:rsidRPr="004D0783">
        <w:rPr>
          <w:rFonts w:eastAsia="Times New Roman" w:cs="Arial"/>
          <w:color w:val="000000"/>
          <w:sz w:val="20"/>
          <w:szCs w:val="20"/>
        </w:rPr>
        <w:t>.</w:t>
      </w:r>
    </w:p>
    <w:p w14:paraId="7D113A4E" w14:textId="5BA2795C" w:rsidR="004E0673" w:rsidRPr="004D0783" w:rsidRDefault="004E0673" w:rsidP="004E0673">
      <w:pPr>
        <w:tabs>
          <w:tab w:val="left" w:pos="0"/>
          <w:tab w:val="left" w:pos="34"/>
          <w:tab w:val="left" w:pos="284"/>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.6.6.  Išlaidos įvykio nagrinėjimui teisme, ekspertų samdymui</w:t>
      </w:r>
    </w:p>
    <w:p w14:paraId="18F6AE03" w14:textId="15466F3B" w:rsidR="004E0673" w:rsidRPr="004D0783" w:rsidRDefault="004E0673" w:rsidP="004E0673">
      <w:pPr>
        <w:tabs>
          <w:tab w:val="left" w:pos="0"/>
          <w:tab w:val="left" w:pos="34"/>
          <w:tab w:val="left" w:pos="284"/>
        </w:tabs>
        <w:ind w:right="-23" w:firstLine="0"/>
        <w:rPr>
          <w:rFonts w:eastAsia="Times New Roman" w:cs="Arial"/>
          <w:color w:val="000000"/>
          <w:sz w:val="20"/>
          <w:szCs w:val="20"/>
        </w:rPr>
      </w:pPr>
      <w:r>
        <w:rPr>
          <w:rFonts w:eastAsia="Times New Roman" w:cs="Arial"/>
          <w:color w:val="000000"/>
          <w:sz w:val="20"/>
          <w:szCs w:val="20"/>
        </w:rPr>
        <w:t>3</w:t>
      </w:r>
      <w:r w:rsidRPr="004D0783">
        <w:rPr>
          <w:rFonts w:eastAsia="Times New Roman" w:cs="Arial"/>
          <w:color w:val="000000"/>
          <w:sz w:val="20"/>
          <w:szCs w:val="20"/>
        </w:rPr>
        <w:t>.6.7.  Darbdavio civilinės atsakomybės išplėtimas draudimo sumos ribose.</w:t>
      </w:r>
    </w:p>
    <w:p w14:paraId="5A3D873C" w14:textId="77777777" w:rsidR="00FC1E11" w:rsidRPr="0043712E"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B40943C" w:rsidR="00FC1E11" w:rsidRPr="00AF04E7" w:rsidRDefault="00AF04E7" w:rsidP="007E1C1C">
      <w:pPr>
        <w:pStyle w:val="ListParagraph"/>
        <w:numPr>
          <w:ilvl w:val="1"/>
          <w:numId w:val="3"/>
        </w:numPr>
        <w:tabs>
          <w:tab w:val="left" w:pos="426"/>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FC1E11" w:rsidRPr="007E1C1C">
        <w:rPr>
          <w:rFonts w:cs="Arial"/>
          <w:bCs/>
          <w:iCs/>
          <w:sz w:val="20"/>
          <w:szCs w:val="20"/>
        </w:rPr>
        <w:t>Lietuvos Respublikos teritorija</w:t>
      </w:r>
      <w:r w:rsidR="00A90F89" w:rsidRPr="007E1C1C">
        <w:rPr>
          <w:rFonts w:cs="Arial"/>
          <w:bCs/>
          <w:iCs/>
          <w:sz w:val="20"/>
          <w:szCs w:val="20"/>
        </w:rPr>
        <w:t>.</w:t>
      </w:r>
    </w:p>
    <w:p w14:paraId="2C45C78F" w14:textId="77777777" w:rsidR="003D3BD3" w:rsidRPr="0043712E" w:rsidRDefault="003D3BD3" w:rsidP="003D3BD3">
      <w:pPr>
        <w:pStyle w:val="ListParagraph"/>
        <w:tabs>
          <w:tab w:val="left" w:pos="540"/>
        </w:tabs>
        <w:spacing w:before="60" w:after="60"/>
        <w:ind w:left="0" w:firstLine="0"/>
        <w:jc w:val="both"/>
        <w:rPr>
          <w:rFonts w:cs="Arial"/>
          <w:i/>
          <w:sz w:val="20"/>
          <w:szCs w:val="20"/>
        </w:rPr>
      </w:pPr>
    </w:p>
    <w:p w14:paraId="3154293D" w14:textId="77777777" w:rsidR="00FC1E11" w:rsidRPr="0043712E" w:rsidRDefault="00FC1E11" w:rsidP="005517EC">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8C42BCE" w14:textId="390CFD3A" w:rsidR="007E1C1C" w:rsidRPr="007E1C1C" w:rsidRDefault="007E1C1C" w:rsidP="007E1C1C">
      <w:pPr>
        <w:pStyle w:val="ListParagraph"/>
        <w:numPr>
          <w:ilvl w:val="1"/>
          <w:numId w:val="3"/>
        </w:numPr>
        <w:tabs>
          <w:tab w:val="left" w:pos="34"/>
          <w:tab w:val="left" w:pos="284"/>
        </w:tabs>
        <w:spacing w:before="120" w:after="120"/>
        <w:ind w:left="426" w:right="-23" w:hanging="426"/>
        <w:rPr>
          <w:rFonts w:eastAsia="Times New Roman" w:cs="Arial"/>
          <w:color w:val="000000"/>
          <w:sz w:val="20"/>
          <w:szCs w:val="20"/>
        </w:rPr>
      </w:pPr>
      <w:r w:rsidRPr="007E1C1C">
        <w:rPr>
          <w:rFonts w:eastAsia="Times New Roman" w:cs="Arial"/>
          <w:color w:val="000000"/>
          <w:sz w:val="20"/>
          <w:szCs w:val="20"/>
        </w:rPr>
        <w:t>Bendra draudimo suma ir draudimo suma vienam draudiminiam įvykiui 500.000,00 Eur (penki šimtai tūkstančių eurų ir 00 ct).</w:t>
      </w:r>
    </w:p>
    <w:p w14:paraId="18D16AC9" w14:textId="3D99F556" w:rsidR="007E1C1C" w:rsidRPr="007E1C1C" w:rsidRDefault="007E1C1C" w:rsidP="007E1C1C">
      <w:pPr>
        <w:pStyle w:val="ListParagraph"/>
        <w:numPr>
          <w:ilvl w:val="1"/>
          <w:numId w:val="3"/>
        </w:numPr>
        <w:tabs>
          <w:tab w:val="left" w:pos="34"/>
        </w:tabs>
        <w:spacing w:before="120" w:after="120"/>
        <w:ind w:left="426" w:right="-23" w:hanging="426"/>
        <w:rPr>
          <w:rFonts w:eastAsia="Times New Roman" w:cs="Arial"/>
          <w:color w:val="000000"/>
          <w:sz w:val="20"/>
          <w:szCs w:val="20"/>
        </w:rPr>
      </w:pPr>
      <w:r w:rsidRPr="007E1C1C">
        <w:rPr>
          <w:rFonts w:eastAsia="Times New Roman" w:cs="Arial"/>
          <w:color w:val="000000"/>
          <w:sz w:val="20"/>
          <w:szCs w:val="20"/>
        </w:rPr>
        <w:t>Besąlyginė išskaita nėra taikoma.</w:t>
      </w:r>
    </w:p>
    <w:p w14:paraId="185ED93A" w14:textId="23AAF3B6" w:rsidR="007E1C1C" w:rsidRPr="007E1C1C" w:rsidRDefault="007E1C1C" w:rsidP="007E1C1C">
      <w:pPr>
        <w:pStyle w:val="ListParagraph"/>
        <w:numPr>
          <w:ilvl w:val="1"/>
          <w:numId w:val="3"/>
        </w:numPr>
        <w:ind w:left="426" w:hanging="426"/>
        <w:rPr>
          <w:rFonts w:eastAsia="Times New Roman" w:cs="Arial"/>
          <w:color w:val="000000"/>
          <w:sz w:val="20"/>
          <w:szCs w:val="20"/>
        </w:rPr>
      </w:pPr>
      <w:r w:rsidRPr="007E1C1C">
        <w:rPr>
          <w:rFonts w:eastAsia="Times New Roman" w:cs="Arial"/>
          <w:color w:val="000000"/>
          <w:sz w:val="20"/>
          <w:szCs w:val="20"/>
        </w:rPr>
        <w:t>Pirkimo laimėtojas (toliau − Draudikas) pateikia parengtą Sutarties projektą Draudėjui.</w:t>
      </w:r>
    </w:p>
    <w:p w14:paraId="682C8115" w14:textId="3287B08D" w:rsidR="007E1C1C" w:rsidRPr="007E1C1C" w:rsidRDefault="007E1C1C" w:rsidP="007E1C1C">
      <w:pPr>
        <w:pStyle w:val="ListParagraph"/>
        <w:numPr>
          <w:ilvl w:val="1"/>
          <w:numId w:val="3"/>
        </w:numPr>
        <w:ind w:left="426" w:hanging="426"/>
        <w:rPr>
          <w:rFonts w:eastAsia="Times New Roman" w:cs="Arial"/>
          <w:color w:val="000000"/>
          <w:sz w:val="20"/>
          <w:szCs w:val="20"/>
        </w:rPr>
      </w:pPr>
      <w:r w:rsidRPr="007E1C1C">
        <w:rPr>
          <w:rFonts w:eastAsia="Times New Roman" w:cs="Arial"/>
          <w:color w:val="000000"/>
          <w:sz w:val="20"/>
          <w:szCs w:val="20"/>
        </w:rPr>
        <w:t>Draudimo sutartis bus sudaroma tarpininkaujant draudimo brokeriui Aon Baltic, UADBB.</w:t>
      </w:r>
    </w:p>
    <w:p w14:paraId="50C8CD79" w14:textId="0B1C23C7" w:rsidR="00FC1E11" w:rsidRPr="0043712E" w:rsidRDefault="00FC1E11" w:rsidP="005517EC">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52CB97B7" w14:textId="6A6D7A84" w:rsidR="007E1C1C" w:rsidRPr="007E1C1C" w:rsidRDefault="007E1C1C" w:rsidP="00D35B65">
      <w:pPr>
        <w:pStyle w:val="ListParagraph"/>
        <w:numPr>
          <w:ilvl w:val="1"/>
          <w:numId w:val="5"/>
        </w:numPr>
        <w:ind w:left="426" w:hanging="426"/>
        <w:rPr>
          <w:rFonts w:eastAsia="Calibri" w:cs="Arial"/>
          <w:bCs/>
          <w:sz w:val="20"/>
          <w:szCs w:val="20"/>
        </w:rPr>
      </w:pPr>
      <w:r w:rsidRPr="007E1C1C">
        <w:rPr>
          <w:rFonts w:eastAsia="Calibri" w:cs="Arial"/>
          <w:bCs/>
          <w:sz w:val="20"/>
          <w:szCs w:val="20"/>
        </w:rPr>
        <w:lastRenderedPageBreak/>
        <w:t>Draudėjo bendrosios civilinės atsakomybės draudimas turi galioti nuo 202</w:t>
      </w:r>
      <w:r>
        <w:rPr>
          <w:rFonts w:eastAsia="Calibri" w:cs="Arial"/>
          <w:bCs/>
          <w:sz w:val="20"/>
          <w:szCs w:val="20"/>
        </w:rPr>
        <w:t>5</w:t>
      </w:r>
      <w:r w:rsidRPr="007E1C1C">
        <w:rPr>
          <w:rFonts w:eastAsia="Calibri" w:cs="Arial"/>
          <w:bCs/>
          <w:sz w:val="20"/>
          <w:szCs w:val="20"/>
        </w:rPr>
        <w:t xml:space="preserve"> m. gruodžio mėn. 1</w:t>
      </w:r>
      <w:r w:rsidR="00E03A34">
        <w:rPr>
          <w:rFonts w:eastAsia="Calibri" w:cs="Arial"/>
          <w:bCs/>
          <w:sz w:val="20"/>
          <w:szCs w:val="20"/>
        </w:rPr>
        <w:t>4</w:t>
      </w:r>
      <w:r w:rsidRPr="007E1C1C">
        <w:rPr>
          <w:rFonts w:eastAsia="Calibri" w:cs="Arial"/>
          <w:bCs/>
          <w:sz w:val="20"/>
          <w:szCs w:val="20"/>
        </w:rPr>
        <w:t xml:space="preserve"> d. iki 202</w:t>
      </w:r>
      <w:r>
        <w:rPr>
          <w:rFonts w:eastAsia="Calibri" w:cs="Arial"/>
          <w:bCs/>
          <w:sz w:val="20"/>
          <w:szCs w:val="20"/>
        </w:rPr>
        <w:t>6</w:t>
      </w:r>
      <w:r w:rsidRPr="007E1C1C">
        <w:rPr>
          <w:rFonts w:eastAsia="Calibri" w:cs="Arial"/>
          <w:bCs/>
          <w:sz w:val="20"/>
          <w:szCs w:val="20"/>
        </w:rPr>
        <w:t xml:space="preserve"> m. gruodžio mėn. 1</w:t>
      </w:r>
      <w:r w:rsidR="00E03A34">
        <w:rPr>
          <w:rFonts w:eastAsia="Calibri" w:cs="Arial"/>
          <w:bCs/>
          <w:sz w:val="20"/>
          <w:szCs w:val="20"/>
        </w:rPr>
        <w:t>3</w:t>
      </w:r>
      <w:r w:rsidRPr="007E1C1C">
        <w:rPr>
          <w:rFonts w:eastAsia="Calibri" w:cs="Arial"/>
          <w:bCs/>
          <w:sz w:val="20"/>
          <w:szCs w:val="20"/>
        </w:rPr>
        <w:t xml:space="preserve"> d. (imtinai).</w:t>
      </w:r>
    </w:p>
    <w:p w14:paraId="2DB9AD24" w14:textId="77777777" w:rsidR="007E1C1C" w:rsidRPr="007E1C1C" w:rsidRDefault="007E1C1C" w:rsidP="00D35B65">
      <w:pPr>
        <w:pStyle w:val="ListParagraph"/>
        <w:numPr>
          <w:ilvl w:val="1"/>
          <w:numId w:val="5"/>
        </w:numPr>
        <w:ind w:left="426" w:hanging="426"/>
        <w:rPr>
          <w:rFonts w:eastAsia="Calibri" w:cs="Arial"/>
          <w:bCs/>
          <w:sz w:val="20"/>
          <w:szCs w:val="20"/>
        </w:rPr>
      </w:pPr>
      <w:r w:rsidRPr="007E1C1C">
        <w:rPr>
          <w:rFonts w:eastAsia="Calibri" w:cs="Arial"/>
          <w:bCs/>
          <w:sz w:val="20"/>
          <w:szCs w:val="20"/>
        </w:rPr>
        <w:t xml:space="preserve">Draudimo įmoka mokama kas ketvirtį (iki ketvirčio pirmo mėnesio 15 (penkioliktos) dienos). Pirmoji įmoka − per 15 (penkiolika) dienų nuo Sutarties įsigaliojimo dienos. </w:t>
      </w:r>
    </w:p>
    <w:p w14:paraId="64E96149" w14:textId="3B92CF23" w:rsidR="007E1C1C" w:rsidRPr="007E1C1C" w:rsidRDefault="007E1C1C" w:rsidP="00D35B65">
      <w:pPr>
        <w:pStyle w:val="ListParagraph"/>
        <w:numPr>
          <w:ilvl w:val="1"/>
          <w:numId w:val="5"/>
        </w:numPr>
        <w:ind w:left="426" w:hanging="426"/>
        <w:rPr>
          <w:rFonts w:eastAsia="Calibri" w:cs="Arial"/>
          <w:bCs/>
          <w:sz w:val="20"/>
          <w:szCs w:val="20"/>
        </w:rPr>
      </w:pPr>
      <w:proofErr w:type="spellStart"/>
      <w:r w:rsidRPr="007E1C1C">
        <w:rPr>
          <w:rFonts w:eastAsia="Calibri" w:cs="Arial"/>
          <w:bCs/>
          <w:sz w:val="20"/>
          <w:szCs w:val="20"/>
        </w:rPr>
        <w:t>Retroaktyvi</w:t>
      </w:r>
      <w:proofErr w:type="spellEnd"/>
      <w:r w:rsidRPr="007E1C1C">
        <w:rPr>
          <w:rFonts w:eastAsia="Calibri" w:cs="Arial"/>
          <w:bCs/>
          <w:sz w:val="20"/>
          <w:szCs w:val="20"/>
        </w:rPr>
        <w:t xml:space="preserve"> apsauga taikoma nuo 202</w:t>
      </w:r>
      <w:r w:rsidR="00E03A34">
        <w:rPr>
          <w:rFonts w:eastAsia="Calibri" w:cs="Arial"/>
          <w:bCs/>
          <w:sz w:val="20"/>
          <w:szCs w:val="20"/>
        </w:rPr>
        <w:t>2</w:t>
      </w:r>
      <w:r w:rsidRPr="007E1C1C">
        <w:rPr>
          <w:rFonts w:eastAsia="Calibri" w:cs="Arial"/>
          <w:bCs/>
          <w:sz w:val="20"/>
          <w:szCs w:val="20"/>
        </w:rPr>
        <w:t xml:space="preserve"> m. gruodžio 14 d.</w:t>
      </w:r>
    </w:p>
    <w:p w14:paraId="1BA67F8B" w14:textId="5C146ABA" w:rsidR="007E1C1C" w:rsidRDefault="007E1C1C" w:rsidP="00D35B65">
      <w:pPr>
        <w:pStyle w:val="ListParagraph"/>
        <w:numPr>
          <w:ilvl w:val="1"/>
          <w:numId w:val="5"/>
        </w:numPr>
        <w:ind w:left="426" w:hanging="426"/>
        <w:rPr>
          <w:rStyle w:val="Laukeliai"/>
          <w:rFonts w:cs="Arial"/>
          <w:szCs w:val="20"/>
        </w:rPr>
      </w:pPr>
      <w:r w:rsidRPr="007E1C1C">
        <w:rPr>
          <w:rStyle w:val="Laukeliai"/>
          <w:rFonts w:cs="Arial"/>
          <w:szCs w:val="20"/>
        </w:rPr>
        <w:t>Išplėstinis pranešimo/ reikalavimo terminas − 3 (trys) mėnesiai.</w:t>
      </w:r>
    </w:p>
    <w:p w14:paraId="6E3493FD" w14:textId="03B63726" w:rsidR="007E1C1C" w:rsidRPr="0043712E" w:rsidRDefault="007E1C1C" w:rsidP="007E1C1C">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KITI REIKALAVIMAI</w:t>
      </w:r>
    </w:p>
    <w:p w14:paraId="4AA1B792" w14:textId="1AF59B67" w:rsidR="007E1C1C" w:rsidRPr="00D35B65" w:rsidRDefault="007E1C1C" w:rsidP="00D35B65">
      <w:pPr>
        <w:pStyle w:val="ListParagraph"/>
        <w:numPr>
          <w:ilvl w:val="1"/>
          <w:numId w:val="5"/>
        </w:numPr>
        <w:tabs>
          <w:tab w:val="left" w:pos="34"/>
          <w:tab w:val="left" w:pos="284"/>
          <w:tab w:val="left" w:pos="426"/>
        </w:tabs>
        <w:spacing w:before="120" w:after="120"/>
        <w:ind w:left="567" w:right="-23" w:hanging="567"/>
        <w:rPr>
          <w:rFonts w:eastAsia="Times New Roman" w:cs="Arial"/>
          <w:color w:val="000000"/>
          <w:sz w:val="20"/>
          <w:szCs w:val="20"/>
        </w:rPr>
      </w:pPr>
      <w:r w:rsidRPr="00D35B65">
        <w:rPr>
          <w:rFonts w:eastAsia="Times New Roman" w:cs="Arial"/>
          <w:color w:val="000000"/>
          <w:sz w:val="20"/>
          <w:szCs w:val="20"/>
        </w:rPr>
        <w:t>Taikoma draudimo įmokos perskaičiavimo sąlyga pagal Draudėjo faktinę apyvartą be PVM, t. y. draudžiama planuojama apyvarta, o draudimo metų pabaigoje draudimo įmoka perskaičiuojama pagal faktinę apyvartą:</w:t>
      </w:r>
    </w:p>
    <w:p w14:paraId="390C338E" w14:textId="7CB8DB52" w:rsidR="007E1C1C" w:rsidRPr="004D0783" w:rsidRDefault="00D35B65" w:rsidP="00D35B65">
      <w:pPr>
        <w:tabs>
          <w:tab w:val="left" w:pos="34"/>
          <w:tab w:val="left" w:pos="284"/>
          <w:tab w:val="left" w:pos="426"/>
        </w:tabs>
        <w:spacing w:before="120" w:after="120"/>
        <w:ind w:left="567" w:right="-23" w:hanging="567"/>
        <w:rPr>
          <w:rFonts w:eastAsia="Times New Roman" w:cs="Arial"/>
          <w:color w:val="000000"/>
          <w:sz w:val="20"/>
          <w:szCs w:val="20"/>
        </w:rPr>
      </w:pPr>
      <w:r>
        <w:rPr>
          <w:rFonts w:eastAsia="Times New Roman" w:cs="Arial"/>
          <w:color w:val="000000"/>
          <w:sz w:val="20"/>
          <w:szCs w:val="20"/>
        </w:rPr>
        <w:t>7.1</w:t>
      </w:r>
      <w:r w:rsidR="007E1C1C" w:rsidRPr="004D0783">
        <w:rPr>
          <w:rFonts w:eastAsia="Times New Roman" w:cs="Arial"/>
          <w:color w:val="000000"/>
          <w:sz w:val="20"/>
          <w:szCs w:val="20"/>
        </w:rPr>
        <w:t>.1.  jeigu planuojama apyvarta viršijama − Draudėjas sumoka priemoką;</w:t>
      </w:r>
    </w:p>
    <w:p w14:paraId="2422AE6C" w14:textId="5627CAA7" w:rsidR="007E1C1C" w:rsidRPr="004D0783" w:rsidRDefault="00D35B65" w:rsidP="00D35B65">
      <w:pPr>
        <w:tabs>
          <w:tab w:val="left" w:pos="34"/>
          <w:tab w:val="left" w:pos="284"/>
          <w:tab w:val="left" w:pos="426"/>
        </w:tabs>
        <w:spacing w:before="120" w:after="120"/>
        <w:ind w:left="567" w:right="-23" w:hanging="567"/>
        <w:rPr>
          <w:rFonts w:eastAsia="Times New Roman" w:cs="Arial"/>
          <w:color w:val="000000"/>
          <w:sz w:val="20"/>
          <w:szCs w:val="20"/>
        </w:rPr>
      </w:pPr>
      <w:r>
        <w:rPr>
          <w:rFonts w:eastAsia="Times New Roman" w:cs="Arial"/>
          <w:color w:val="000000"/>
          <w:sz w:val="20"/>
          <w:szCs w:val="20"/>
        </w:rPr>
        <w:t>7.1</w:t>
      </w:r>
      <w:r w:rsidR="007E1C1C" w:rsidRPr="004D0783">
        <w:rPr>
          <w:rFonts w:eastAsia="Times New Roman" w:cs="Arial"/>
          <w:color w:val="000000"/>
          <w:sz w:val="20"/>
          <w:szCs w:val="20"/>
        </w:rPr>
        <w:t>.2. jeigu  planuojama apyvarta nepasiekiama − draudimo įmokos skirtumas grąžinamas Draudėjui.</w:t>
      </w:r>
    </w:p>
    <w:p w14:paraId="618A24EC" w14:textId="360A436F" w:rsidR="007E1C1C" w:rsidRPr="00D35B65" w:rsidRDefault="007E1C1C" w:rsidP="00D35B65">
      <w:pPr>
        <w:pStyle w:val="ListParagraph"/>
        <w:numPr>
          <w:ilvl w:val="1"/>
          <w:numId w:val="5"/>
        </w:numPr>
        <w:tabs>
          <w:tab w:val="left" w:pos="34"/>
          <w:tab w:val="left" w:pos="284"/>
          <w:tab w:val="left" w:pos="426"/>
        </w:tabs>
        <w:spacing w:before="120" w:after="120"/>
        <w:ind w:left="567" w:right="-23" w:hanging="567"/>
        <w:rPr>
          <w:rFonts w:eastAsia="Times New Roman" w:cs="Arial"/>
          <w:color w:val="000000"/>
          <w:sz w:val="20"/>
          <w:szCs w:val="20"/>
        </w:rPr>
      </w:pPr>
      <w:r w:rsidRPr="00D35B65">
        <w:rPr>
          <w:rFonts w:eastAsia="Times New Roman" w:cs="Arial"/>
          <w:color w:val="000000"/>
          <w:sz w:val="20"/>
          <w:szCs w:val="20"/>
        </w:rPr>
        <w:t>Draudimo rizikos padidėjimu nelaikomi šie atvejai:</w:t>
      </w:r>
    </w:p>
    <w:p w14:paraId="0BB75AB6" w14:textId="77777777" w:rsidR="007E1C1C" w:rsidRPr="004D0783" w:rsidRDefault="007E1C1C" w:rsidP="007E1C1C">
      <w:pPr>
        <w:tabs>
          <w:tab w:val="left" w:pos="34"/>
          <w:tab w:val="left" w:pos="284"/>
          <w:tab w:val="left" w:pos="426"/>
        </w:tabs>
        <w:spacing w:before="120" w:after="120"/>
        <w:ind w:left="502" w:right="-23" w:hanging="502"/>
        <w:rPr>
          <w:rFonts w:eastAsia="Times New Roman" w:cs="Arial"/>
          <w:color w:val="000000"/>
          <w:sz w:val="20"/>
          <w:szCs w:val="20"/>
        </w:rPr>
      </w:pPr>
      <w:r w:rsidRPr="004D0783">
        <w:rPr>
          <w:rFonts w:eastAsia="Times New Roman" w:cs="Arial"/>
          <w:color w:val="000000"/>
          <w:sz w:val="20"/>
          <w:szCs w:val="20"/>
        </w:rPr>
        <w:t xml:space="preserve"> − padidėjus vidutiniam Draudėjo darbuotojų skaičiui iki 30 </w:t>
      </w:r>
      <w:r w:rsidRPr="004D0783">
        <w:rPr>
          <w:rFonts w:eastAsia="Times New Roman" w:cs="Arial"/>
          <w:color w:val="000000"/>
          <w:sz w:val="20"/>
          <w:szCs w:val="20"/>
          <w:lang w:val="en-US"/>
        </w:rPr>
        <w:t>proc.</w:t>
      </w:r>
      <w:r w:rsidRPr="004D0783">
        <w:rPr>
          <w:rFonts w:eastAsia="Times New Roman" w:cs="Arial"/>
          <w:color w:val="000000"/>
          <w:sz w:val="20"/>
          <w:szCs w:val="20"/>
        </w:rPr>
        <w:t>;</w:t>
      </w:r>
    </w:p>
    <w:p w14:paraId="141FBDF4" w14:textId="77777777" w:rsidR="007E1C1C" w:rsidRPr="004D0783" w:rsidRDefault="007E1C1C" w:rsidP="007E1C1C">
      <w:pPr>
        <w:tabs>
          <w:tab w:val="left" w:pos="34"/>
          <w:tab w:val="left" w:pos="284"/>
          <w:tab w:val="left" w:pos="426"/>
        </w:tabs>
        <w:spacing w:before="120" w:after="120"/>
        <w:ind w:left="502" w:right="-23" w:hanging="502"/>
        <w:rPr>
          <w:rFonts w:eastAsia="Times New Roman" w:cs="Arial"/>
          <w:color w:val="000000"/>
          <w:sz w:val="20"/>
          <w:szCs w:val="20"/>
        </w:rPr>
      </w:pPr>
      <w:r w:rsidRPr="004D0783">
        <w:rPr>
          <w:rFonts w:eastAsia="Times New Roman" w:cs="Arial"/>
          <w:color w:val="000000"/>
          <w:sz w:val="20"/>
          <w:szCs w:val="20"/>
        </w:rPr>
        <w:t xml:space="preserve"> − padidėjus metinei Draudėjo apyvartai be PVM; </w:t>
      </w:r>
    </w:p>
    <w:p w14:paraId="20C6F835" w14:textId="77777777" w:rsidR="007E1C1C" w:rsidRPr="004D0783" w:rsidRDefault="007E1C1C" w:rsidP="007E1C1C">
      <w:pPr>
        <w:tabs>
          <w:tab w:val="left" w:pos="34"/>
          <w:tab w:val="left" w:pos="284"/>
          <w:tab w:val="left" w:pos="426"/>
        </w:tabs>
        <w:spacing w:before="120" w:after="120"/>
        <w:ind w:left="502" w:right="-23" w:hanging="502"/>
        <w:rPr>
          <w:rFonts w:eastAsia="Times New Roman" w:cs="Arial"/>
          <w:color w:val="000000"/>
          <w:sz w:val="20"/>
          <w:szCs w:val="20"/>
        </w:rPr>
      </w:pPr>
      <w:r w:rsidRPr="004D0783">
        <w:rPr>
          <w:rFonts w:eastAsia="Times New Roman" w:cs="Arial"/>
          <w:color w:val="000000"/>
          <w:sz w:val="20"/>
          <w:szCs w:val="20"/>
        </w:rPr>
        <w:t xml:space="preserve"> − padidėjus Draudėjo savaeigių darbo mašinų skaičiui; </w:t>
      </w:r>
    </w:p>
    <w:p w14:paraId="0C2CD66F" w14:textId="77777777" w:rsidR="007E1C1C" w:rsidRPr="004D0783" w:rsidRDefault="007E1C1C" w:rsidP="007E1C1C">
      <w:pPr>
        <w:tabs>
          <w:tab w:val="left" w:pos="284"/>
          <w:tab w:val="left" w:pos="426"/>
        </w:tabs>
        <w:spacing w:before="120" w:after="120"/>
        <w:ind w:right="-23" w:hanging="502"/>
        <w:rPr>
          <w:rFonts w:eastAsia="Times New Roman" w:cs="Arial"/>
          <w:color w:val="000000"/>
          <w:sz w:val="20"/>
          <w:szCs w:val="20"/>
        </w:rPr>
      </w:pPr>
      <w:r w:rsidRPr="004D0783">
        <w:rPr>
          <w:rFonts w:eastAsia="Times New Roman" w:cs="Arial"/>
          <w:color w:val="000000"/>
          <w:sz w:val="20"/>
          <w:szCs w:val="20"/>
        </w:rPr>
        <w:t xml:space="preserve">          − atliekant pastatų, statinių, įrengimų ar kitokių konstrukcijų techninę priežiūrą, einamąjį ir/ar kapitalinį remontą, statybos darbų vykdymą Draudėjo valdomuose statiniuose, patalpose ir/ar teritorijoje, kurie nurodyti Sutartyje, išskyrus kai: tokių darbų vykdymui nereikalingi atitinkamų institucijų leidimai, nėra liečiamos pastato ar statinio laikančiosios konstrukcijos, o bendra vienu metu vykdomų atitinkamų darbų apimtis yra ne didesnė nei 300.000,00 Eur (trys šimtai tūkstančių eurų ir 00 ct), neįskaitant medžiagų vertės ir PVM. Statybos darbų vykdymas apima ir suvirinimo bei karštųjų darbų vykdymą, kurių metu temperatūra pakyla daugiau nei 100 laipsnių, atviros ugnies židinių atsiradimas, naudojimas;</w:t>
      </w:r>
    </w:p>
    <w:p w14:paraId="2F2B173F" w14:textId="77777777" w:rsidR="007E1C1C" w:rsidRPr="004D0783" w:rsidRDefault="007E1C1C" w:rsidP="007E1C1C">
      <w:pPr>
        <w:tabs>
          <w:tab w:val="left" w:pos="284"/>
          <w:tab w:val="left" w:pos="317"/>
        </w:tabs>
        <w:spacing w:before="120" w:after="120"/>
        <w:ind w:right="-23" w:hanging="142"/>
        <w:rPr>
          <w:rFonts w:eastAsia="Times New Roman" w:cs="Arial"/>
          <w:color w:val="000000"/>
          <w:sz w:val="20"/>
          <w:szCs w:val="20"/>
        </w:rPr>
      </w:pPr>
      <w:r w:rsidRPr="004D0783">
        <w:rPr>
          <w:rFonts w:eastAsia="Times New Roman" w:cs="Arial"/>
          <w:color w:val="000000"/>
          <w:sz w:val="20"/>
          <w:szCs w:val="20"/>
        </w:rPr>
        <w:t xml:space="preserve">   − kuomet atliekami remonto, rekonstrukcijos ar statybos darbai draudimo vietoje trečiųjų asmenų ne Draudėjo pavedimu  draudimo vietoje arba greta jos, neatsižvelgiant į atliekamų remonto, rekonstrukcijos ar statybos darbų apimtį ir vertę.</w:t>
      </w:r>
    </w:p>
    <w:bookmarkEnd w:id="0"/>
    <w:p w14:paraId="164F447B" w14:textId="77777777" w:rsidR="007E1C1C" w:rsidRPr="007E1C1C" w:rsidRDefault="007E1C1C" w:rsidP="00D35B65">
      <w:pPr>
        <w:pStyle w:val="ListParagraph"/>
        <w:ind w:firstLine="0"/>
        <w:rPr>
          <w:rStyle w:val="Laukeliai"/>
          <w:rFonts w:cs="Arial"/>
          <w:szCs w:val="20"/>
        </w:rPr>
      </w:pPr>
    </w:p>
    <w:sectPr w:rsidR="007E1C1C" w:rsidRPr="007E1C1C"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786D" w14:textId="77777777" w:rsidR="00491E44" w:rsidRDefault="00491E44" w:rsidP="002D3D62">
      <w:r>
        <w:separator/>
      </w:r>
    </w:p>
  </w:endnote>
  <w:endnote w:type="continuationSeparator" w:id="0">
    <w:p w14:paraId="526D6F21" w14:textId="77777777" w:rsidR="00491E44" w:rsidRDefault="00491E44"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F1B8" w14:textId="77777777" w:rsidR="00491E44" w:rsidRDefault="00491E44" w:rsidP="002D3D62">
      <w:r>
        <w:separator/>
      </w:r>
    </w:p>
  </w:footnote>
  <w:footnote w:type="continuationSeparator" w:id="0">
    <w:p w14:paraId="066B7C0E" w14:textId="77777777" w:rsidR="00491E44" w:rsidRDefault="00491E44"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C204A0"/>
    <w:multiLevelType w:val="multilevel"/>
    <w:tmpl w:val="F1AC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6006C"/>
    <w:multiLevelType w:val="multilevel"/>
    <w:tmpl w:val="C2B67462"/>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9F4E1C"/>
    <w:multiLevelType w:val="multilevel"/>
    <w:tmpl w:val="501A4786"/>
    <w:lvl w:ilvl="0">
      <w:start w:val="1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3"/>
  </w:num>
  <w:num w:numId="4" w16cid:durableId="1975020092">
    <w:abstractNumId w:val="10"/>
  </w:num>
  <w:num w:numId="5" w16cid:durableId="541359198">
    <w:abstractNumId w:val="9"/>
  </w:num>
  <w:num w:numId="6" w16cid:durableId="1317764691">
    <w:abstractNumId w:val="8"/>
  </w:num>
  <w:num w:numId="7" w16cid:durableId="610669460">
    <w:abstractNumId w:val="0"/>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7"/>
  </w:num>
  <w:num w:numId="11" w16cid:durableId="1513951132">
    <w:abstractNumId w:val="1"/>
  </w:num>
  <w:num w:numId="12" w16cid:durableId="330718040">
    <w:abstractNumId w:val="2"/>
  </w:num>
  <w:num w:numId="13" w16cid:durableId="380594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0991"/>
    <w:rsid w:val="00031D79"/>
    <w:rsid w:val="00041E1A"/>
    <w:rsid w:val="00061697"/>
    <w:rsid w:val="00095FC2"/>
    <w:rsid w:val="000B23EE"/>
    <w:rsid w:val="000B2810"/>
    <w:rsid w:val="000C0DE4"/>
    <w:rsid w:val="000C3717"/>
    <w:rsid w:val="000E31DC"/>
    <w:rsid w:val="000E6F54"/>
    <w:rsid w:val="000F536D"/>
    <w:rsid w:val="00142B95"/>
    <w:rsid w:val="00154F48"/>
    <w:rsid w:val="001552A2"/>
    <w:rsid w:val="00164D00"/>
    <w:rsid w:val="00166164"/>
    <w:rsid w:val="001671F3"/>
    <w:rsid w:val="001679E3"/>
    <w:rsid w:val="00170316"/>
    <w:rsid w:val="00180ABC"/>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BFF"/>
    <w:rsid w:val="002D3D62"/>
    <w:rsid w:val="002E3735"/>
    <w:rsid w:val="002F0833"/>
    <w:rsid w:val="002F5B41"/>
    <w:rsid w:val="00330B94"/>
    <w:rsid w:val="00331D62"/>
    <w:rsid w:val="00333E3C"/>
    <w:rsid w:val="00341DCE"/>
    <w:rsid w:val="00356874"/>
    <w:rsid w:val="00364EB4"/>
    <w:rsid w:val="0038091B"/>
    <w:rsid w:val="00383CEA"/>
    <w:rsid w:val="00395633"/>
    <w:rsid w:val="003A017B"/>
    <w:rsid w:val="003A3BC9"/>
    <w:rsid w:val="003B09D1"/>
    <w:rsid w:val="003C4BED"/>
    <w:rsid w:val="003C5276"/>
    <w:rsid w:val="003C731B"/>
    <w:rsid w:val="003D3BD3"/>
    <w:rsid w:val="003E14F6"/>
    <w:rsid w:val="004014B8"/>
    <w:rsid w:val="00402AE3"/>
    <w:rsid w:val="0042723C"/>
    <w:rsid w:val="00431C7E"/>
    <w:rsid w:val="004351F5"/>
    <w:rsid w:val="00437B26"/>
    <w:rsid w:val="00447B4E"/>
    <w:rsid w:val="00450FEB"/>
    <w:rsid w:val="00456ACE"/>
    <w:rsid w:val="0047704D"/>
    <w:rsid w:val="00487660"/>
    <w:rsid w:val="00491E44"/>
    <w:rsid w:val="00492FF2"/>
    <w:rsid w:val="004A1F56"/>
    <w:rsid w:val="004B0F74"/>
    <w:rsid w:val="004B7029"/>
    <w:rsid w:val="004C0E80"/>
    <w:rsid w:val="004D7D92"/>
    <w:rsid w:val="004E0673"/>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B6317"/>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6F57B2"/>
    <w:rsid w:val="00706479"/>
    <w:rsid w:val="0072512B"/>
    <w:rsid w:val="00742E85"/>
    <w:rsid w:val="00744A12"/>
    <w:rsid w:val="007571DA"/>
    <w:rsid w:val="00757E88"/>
    <w:rsid w:val="007713F1"/>
    <w:rsid w:val="0077662E"/>
    <w:rsid w:val="00777BB7"/>
    <w:rsid w:val="00782074"/>
    <w:rsid w:val="00794E24"/>
    <w:rsid w:val="00796907"/>
    <w:rsid w:val="007A4EB7"/>
    <w:rsid w:val="007A78EC"/>
    <w:rsid w:val="007B2AA5"/>
    <w:rsid w:val="007C01FD"/>
    <w:rsid w:val="007C71D9"/>
    <w:rsid w:val="007D2195"/>
    <w:rsid w:val="007D5E3B"/>
    <w:rsid w:val="007E1C1C"/>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1C4D"/>
    <w:rsid w:val="00944584"/>
    <w:rsid w:val="00945CFA"/>
    <w:rsid w:val="009650CD"/>
    <w:rsid w:val="00971961"/>
    <w:rsid w:val="00976CCE"/>
    <w:rsid w:val="00980A28"/>
    <w:rsid w:val="00985A94"/>
    <w:rsid w:val="009866EE"/>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457F"/>
    <w:rsid w:val="00C805CB"/>
    <w:rsid w:val="00C81803"/>
    <w:rsid w:val="00CA325A"/>
    <w:rsid w:val="00CB4FAA"/>
    <w:rsid w:val="00CC0897"/>
    <w:rsid w:val="00CC6A75"/>
    <w:rsid w:val="00CD79FC"/>
    <w:rsid w:val="00CE0EA1"/>
    <w:rsid w:val="00D02C02"/>
    <w:rsid w:val="00D05DA9"/>
    <w:rsid w:val="00D11130"/>
    <w:rsid w:val="00D35B65"/>
    <w:rsid w:val="00D3754B"/>
    <w:rsid w:val="00D41F49"/>
    <w:rsid w:val="00D628F6"/>
    <w:rsid w:val="00D66579"/>
    <w:rsid w:val="00D72BB0"/>
    <w:rsid w:val="00D820CE"/>
    <w:rsid w:val="00D843D5"/>
    <w:rsid w:val="00D95DF8"/>
    <w:rsid w:val="00DC1C55"/>
    <w:rsid w:val="00DF7236"/>
    <w:rsid w:val="00E03A34"/>
    <w:rsid w:val="00E2345B"/>
    <w:rsid w:val="00E23B1E"/>
    <w:rsid w:val="00E2760B"/>
    <w:rsid w:val="00E42025"/>
    <w:rsid w:val="00E45265"/>
    <w:rsid w:val="00E6481D"/>
    <w:rsid w:val="00E66F60"/>
    <w:rsid w:val="00E70821"/>
    <w:rsid w:val="00E71CF5"/>
    <w:rsid w:val="00E83809"/>
    <w:rsid w:val="00E86D12"/>
    <w:rsid w:val="00E87B79"/>
    <w:rsid w:val="00E917FA"/>
    <w:rsid w:val="00EA26D5"/>
    <w:rsid w:val="00EB0D32"/>
    <w:rsid w:val="00ED3BFD"/>
    <w:rsid w:val="00ED71CD"/>
    <w:rsid w:val="00ED7DA9"/>
    <w:rsid w:val="00EE4F78"/>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99"/>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3526</Words>
  <Characters>2011</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4</cp:revision>
  <dcterms:created xsi:type="dcterms:W3CDTF">2025-11-12T13:05:00Z</dcterms:created>
  <dcterms:modified xsi:type="dcterms:W3CDTF">2025-11-12T13:22:00Z</dcterms:modified>
</cp:coreProperties>
</file>