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2521" w:tblpY="432"/>
        <w:tblW w:w="7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868"/>
      </w:tblGrid>
      <w:tr w:rsidR="001D1843" w:rsidRPr="00835186" w14:paraId="78528A07" w14:textId="77777777" w:rsidTr="00C12E32">
        <w:trPr>
          <w:trHeight w:val="81"/>
        </w:trPr>
        <w:tc>
          <w:tcPr>
            <w:tcW w:w="7997" w:type="dxa"/>
            <w:gridSpan w:val="2"/>
            <w:vAlign w:val="center"/>
          </w:tcPr>
          <w:p w14:paraId="48CF1BA2" w14:textId="77777777" w:rsidR="001D1843" w:rsidRDefault="001D1843" w:rsidP="00C12E32">
            <w:pPr>
              <w:jc w:val="center"/>
              <w:rPr>
                <w:b/>
                <w:bCs/>
                <w:color w:val="000000"/>
                <w:sz w:val="22"/>
                <w:szCs w:val="22"/>
                <w:lang w:val="lt-LT"/>
              </w:rPr>
            </w:pPr>
            <w:r>
              <w:rPr>
                <w:b/>
                <w:bCs/>
                <w:color w:val="000000"/>
                <w:sz w:val="22"/>
                <w:szCs w:val="22"/>
                <w:lang w:val="lt-LT"/>
              </w:rPr>
              <w:t>TECHNINĖ SPECIFIKACIJA</w:t>
            </w:r>
          </w:p>
          <w:p w14:paraId="50A580FF" w14:textId="5B3B547E" w:rsidR="001D1843" w:rsidRPr="00AD0D1C" w:rsidRDefault="001D1843" w:rsidP="00C12E32">
            <w:pPr>
              <w:jc w:val="center"/>
              <w:rPr>
                <w:b/>
                <w:bCs/>
                <w:color w:val="000000"/>
                <w:sz w:val="22"/>
                <w:szCs w:val="22"/>
                <w:lang w:val="lt-LT"/>
              </w:rPr>
            </w:pPr>
          </w:p>
        </w:tc>
      </w:tr>
      <w:tr w:rsidR="00C44E22" w:rsidRPr="00835186" w14:paraId="095FD010" w14:textId="77777777" w:rsidTr="00C12E32">
        <w:trPr>
          <w:trHeight w:val="81"/>
        </w:trPr>
        <w:tc>
          <w:tcPr>
            <w:tcW w:w="1129" w:type="dxa"/>
            <w:vAlign w:val="center"/>
          </w:tcPr>
          <w:p w14:paraId="5A8B3E13" w14:textId="77777777" w:rsidR="00C44E22" w:rsidRPr="00AD0D1C" w:rsidRDefault="00C44E22" w:rsidP="00C12E32">
            <w:pPr>
              <w:jc w:val="center"/>
              <w:rPr>
                <w:b/>
                <w:bCs/>
                <w:color w:val="000000"/>
                <w:sz w:val="22"/>
                <w:szCs w:val="22"/>
                <w:lang w:val="lt-LT"/>
              </w:rPr>
            </w:pPr>
            <w:r w:rsidRPr="00AD0D1C">
              <w:rPr>
                <w:b/>
                <w:bCs/>
                <w:color w:val="000000"/>
                <w:sz w:val="22"/>
                <w:szCs w:val="22"/>
                <w:lang w:val="lt-LT"/>
              </w:rPr>
              <w:t>Nr.</w:t>
            </w:r>
          </w:p>
        </w:tc>
        <w:tc>
          <w:tcPr>
            <w:tcW w:w="6868" w:type="dxa"/>
            <w:vAlign w:val="center"/>
          </w:tcPr>
          <w:p w14:paraId="2AD9439C" w14:textId="77777777" w:rsidR="00C44E22" w:rsidRPr="00AD0D1C" w:rsidRDefault="00C44E22" w:rsidP="00C12E32">
            <w:pPr>
              <w:jc w:val="center"/>
              <w:rPr>
                <w:b/>
                <w:bCs/>
                <w:color w:val="000000"/>
                <w:sz w:val="22"/>
                <w:szCs w:val="22"/>
                <w:lang w:val="lt-LT"/>
              </w:rPr>
            </w:pPr>
            <w:r w:rsidRPr="00AD0D1C">
              <w:rPr>
                <w:b/>
                <w:bCs/>
                <w:color w:val="000000"/>
                <w:sz w:val="22"/>
                <w:szCs w:val="22"/>
                <w:lang w:val="lt-LT"/>
              </w:rPr>
              <w:t>Prekės techninės charakteristikos</w:t>
            </w:r>
          </w:p>
          <w:p w14:paraId="6C036FF1" w14:textId="77777777" w:rsidR="00C44E22" w:rsidRPr="00AD0D1C" w:rsidRDefault="00C44E22" w:rsidP="00C12E32">
            <w:pPr>
              <w:tabs>
                <w:tab w:val="left" w:pos="405"/>
                <w:tab w:val="center" w:pos="2736"/>
              </w:tabs>
              <w:jc w:val="center"/>
              <w:rPr>
                <w:b/>
                <w:bCs/>
                <w:color w:val="000000"/>
                <w:sz w:val="22"/>
                <w:szCs w:val="22"/>
                <w:lang w:val="lt-LT"/>
              </w:rPr>
            </w:pPr>
            <w:r w:rsidRPr="00AD0D1C">
              <w:rPr>
                <w:b/>
                <w:bCs/>
                <w:color w:val="000000"/>
                <w:sz w:val="22"/>
                <w:szCs w:val="22"/>
                <w:lang w:val="lt-LT"/>
              </w:rPr>
              <w:t>Pirkėjo techniniai reikalavimai</w:t>
            </w:r>
          </w:p>
        </w:tc>
      </w:tr>
      <w:tr w:rsidR="00C44E22" w:rsidRPr="00835186" w14:paraId="60005DD0" w14:textId="77777777" w:rsidTr="00C12E32">
        <w:trPr>
          <w:trHeight w:val="81"/>
        </w:trPr>
        <w:tc>
          <w:tcPr>
            <w:tcW w:w="1129" w:type="dxa"/>
            <w:vAlign w:val="center"/>
          </w:tcPr>
          <w:p w14:paraId="606AB291" w14:textId="77777777" w:rsidR="00C44E22" w:rsidRPr="00AD0D1C" w:rsidRDefault="00C44E22" w:rsidP="00C12E32">
            <w:pPr>
              <w:jc w:val="center"/>
              <w:rPr>
                <w:color w:val="000000"/>
                <w:sz w:val="22"/>
                <w:szCs w:val="22"/>
                <w:lang w:val="lt-LT"/>
              </w:rPr>
            </w:pPr>
          </w:p>
        </w:tc>
        <w:tc>
          <w:tcPr>
            <w:tcW w:w="6868" w:type="dxa"/>
          </w:tcPr>
          <w:p w14:paraId="78513F90" w14:textId="0D92F705" w:rsidR="00C44E22" w:rsidRPr="00AD0D1C" w:rsidRDefault="00C44E22" w:rsidP="00C12E32">
            <w:pPr>
              <w:jc w:val="both"/>
              <w:rPr>
                <w:color w:val="000000"/>
                <w:sz w:val="22"/>
                <w:szCs w:val="22"/>
                <w:lang w:val="lt-LT"/>
              </w:rPr>
            </w:pPr>
            <w:r w:rsidRPr="00AD0D1C">
              <w:rPr>
                <w:b/>
                <w:bCs/>
                <w:sz w:val="22"/>
                <w:szCs w:val="22"/>
                <w:lang w:val="lt-LT"/>
              </w:rPr>
              <w:t>Tiekiamų suslėgtų dujų kokybiniai parametrai:</w:t>
            </w:r>
          </w:p>
        </w:tc>
      </w:tr>
      <w:tr w:rsidR="00C44E22" w:rsidRPr="00835186" w14:paraId="28552BED" w14:textId="77777777" w:rsidTr="00C12E32">
        <w:trPr>
          <w:trHeight w:val="81"/>
        </w:trPr>
        <w:tc>
          <w:tcPr>
            <w:tcW w:w="1129" w:type="dxa"/>
            <w:vAlign w:val="center"/>
          </w:tcPr>
          <w:p w14:paraId="489912E5" w14:textId="77777777" w:rsidR="00C44E22" w:rsidRPr="00AD0D1C" w:rsidRDefault="00C44E22" w:rsidP="00C12E32">
            <w:pPr>
              <w:jc w:val="center"/>
              <w:rPr>
                <w:color w:val="000000"/>
                <w:sz w:val="22"/>
                <w:szCs w:val="22"/>
                <w:lang w:val="lt-LT"/>
              </w:rPr>
            </w:pPr>
            <w:r w:rsidRPr="00AD0D1C">
              <w:rPr>
                <w:color w:val="000000"/>
                <w:sz w:val="22"/>
                <w:szCs w:val="22"/>
                <w:lang w:val="lt-LT"/>
              </w:rPr>
              <w:t>1.1</w:t>
            </w:r>
            <w:r>
              <w:rPr>
                <w:color w:val="000000"/>
                <w:sz w:val="22"/>
                <w:szCs w:val="22"/>
                <w:lang w:val="lt-LT"/>
              </w:rPr>
              <w:t>.</w:t>
            </w:r>
          </w:p>
        </w:tc>
        <w:tc>
          <w:tcPr>
            <w:tcW w:w="6868" w:type="dxa"/>
          </w:tcPr>
          <w:p w14:paraId="3376B94D" w14:textId="4AB387AE" w:rsidR="00C44E22" w:rsidRPr="00AD0D1C" w:rsidRDefault="00C44E22" w:rsidP="00C12E32">
            <w:pPr>
              <w:jc w:val="both"/>
              <w:rPr>
                <w:color w:val="000000"/>
                <w:sz w:val="22"/>
                <w:szCs w:val="22"/>
                <w:lang w:val="lt-LT"/>
              </w:rPr>
            </w:pPr>
            <w:r w:rsidRPr="00AD0D1C">
              <w:rPr>
                <w:color w:val="000000"/>
                <w:sz w:val="22"/>
                <w:szCs w:val="22"/>
                <w:lang w:val="lt-LT"/>
              </w:rPr>
              <w:t>Slėgis iki 200 BAR</w:t>
            </w:r>
            <w:r w:rsidR="001D1843">
              <w:rPr>
                <w:color w:val="000000"/>
                <w:sz w:val="22"/>
                <w:szCs w:val="22"/>
                <w:lang w:val="lt-LT"/>
              </w:rPr>
              <w:t>.</w:t>
            </w:r>
          </w:p>
        </w:tc>
      </w:tr>
      <w:tr w:rsidR="00C44E22" w:rsidRPr="00835186" w14:paraId="00E09F3E" w14:textId="77777777" w:rsidTr="00C12E32">
        <w:trPr>
          <w:trHeight w:val="81"/>
        </w:trPr>
        <w:tc>
          <w:tcPr>
            <w:tcW w:w="1129" w:type="dxa"/>
            <w:vAlign w:val="center"/>
          </w:tcPr>
          <w:p w14:paraId="6682E076" w14:textId="77777777" w:rsidR="00C44E22" w:rsidRPr="00AD0D1C" w:rsidRDefault="00C44E22" w:rsidP="00C12E32">
            <w:pPr>
              <w:jc w:val="center"/>
              <w:rPr>
                <w:color w:val="000000"/>
                <w:sz w:val="22"/>
                <w:szCs w:val="22"/>
                <w:lang w:val="lt-LT"/>
              </w:rPr>
            </w:pPr>
            <w:r w:rsidRPr="00AD0D1C">
              <w:rPr>
                <w:color w:val="000000"/>
                <w:sz w:val="22"/>
                <w:szCs w:val="22"/>
                <w:lang w:val="lt-LT"/>
              </w:rPr>
              <w:t>1.2.</w:t>
            </w:r>
          </w:p>
        </w:tc>
        <w:tc>
          <w:tcPr>
            <w:tcW w:w="6868" w:type="dxa"/>
          </w:tcPr>
          <w:p w14:paraId="45EA0601" w14:textId="11C92886" w:rsidR="00C44E22" w:rsidRPr="00AD0D1C" w:rsidRDefault="00C44E22" w:rsidP="00C12E32">
            <w:pPr>
              <w:jc w:val="both"/>
              <w:rPr>
                <w:color w:val="000000"/>
                <w:sz w:val="22"/>
                <w:szCs w:val="22"/>
                <w:lang w:val="lt-LT"/>
              </w:rPr>
            </w:pPr>
            <w:r w:rsidRPr="00AD0D1C">
              <w:rPr>
                <w:color w:val="000000"/>
                <w:sz w:val="22"/>
                <w:szCs w:val="22"/>
                <w:lang w:val="lt-LT"/>
              </w:rPr>
              <w:t>Suslėgtų dujų kokybė privalo atitikti Lietuvos Respublikos energetikos ministro 2013 m. spalio 4 d. įsakymo Nr. 1-194 „Dėl gamtinių dujų kokybės reikalavimų  patvirtinimo“ (aktuali redakcija) patvirtintus Lietuvos Respublikos teisės aktuose nustatytus dujų kokybės reikalavimus, kol teisės aktai nenumato kitaip</w:t>
            </w:r>
            <w:r>
              <w:rPr>
                <w:color w:val="000000"/>
                <w:sz w:val="22"/>
                <w:szCs w:val="22"/>
                <w:lang w:val="lt-LT"/>
              </w:rPr>
              <w:t>.</w:t>
            </w:r>
          </w:p>
        </w:tc>
      </w:tr>
      <w:tr w:rsidR="00C44E22" w:rsidRPr="00835186" w14:paraId="2D301A87" w14:textId="77777777" w:rsidTr="00C12E32">
        <w:trPr>
          <w:trHeight w:val="81"/>
        </w:trPr>
        <w:tc>
          <w:tcPr>
            <w:tcW w:w="1129" w:type="dxa"/>
            <w:vAlign w:val="center"/>
          </w:tcPr>
          <w:p w14:paraId="4449AE6B" w14:textId="77777777" w:rsidR="00C44E22" w:rsidRPr="00AD0D1C" w:rsidRDefault="00C44E22" w:rsidP="00C12E32">
            <w:pPr>
              <w:jc w:val="center"/>
              <w:rPr>
                <w:color w:val="000000"/>
                <w:sz w:val="22"/>
                <w:szCs w:val="22"/>
                <w:lang w:val="lt-LT"/>
              </w:rPr>
            </w:pPr>
            <w:r>
              <w:rPr>
                <w:color w:val="000000"/>
                <w:sz w:val="22"/>
                <w:szCs w:val="22"/>
                <w:lang w:val="lt-LT"/>
              </w:rPr>
              <w:t>1.3.</w:t>
            </w:r>
          </w:p>
        </w:tc>
        <w:tc>
          <w:tcPr>
            <w:tcW w:w="6868" w:type="dxa"/>
          </w:tcPr>
          <w:p w14:paraId="59B50EBF" w14:textId="39550235" w:rsidR="00C44E22" w:rsidRPr="00AD0D1C" w:rsidRDefault="00C44E22" w:rsidP="00C12E32">
            <w:pPr>
              <w:jc w:val="both"/>
              <w:rPr>
                <w:color w:val="000000"/>
                <w:sz w:val="22"/>
                <w:szCs w:val="22"/>
                <w:lang w:val="lt-LT"/>
              </w:rPr>
            </w:pPr>
            <w:r>
              <w:rPr>
                <w:color w:val="000000"/>
                <w:sz w:val="22"/>
                <w:szCs w:val="22"/>
                <w:lang w:val="lt-LT"/>
              </w:rPr>
              <w:t>K</w:t>
            </w:r>
            <w:r w:rsidRPr="008712A2">
              <w:rPr>
                <w:color w:val="000000"/>
                <w:sz w:val="22"/>
                <w:szCs w:val="22"/>
                <w:lang w:val="lt-LT"/>
              </w:rPr>
              <w:t>uro (suslėgtų</w:t>
            </w:r>
            <w:r>
              <w:rPr>
                <w:color w:val="000000"/>
                <w:sz w:val="22"/>
                <w:szCs w:val="22"/>
                <w:lang w:val="lt-LT"/>
              </w:rPr>
              <w:t xml:space="preserve"> </w:t>
            </w:r>
            <w:r w:rsidRPr="008712A2">
              <w:rPr>
                <w:color w:val="000000"/>
                <w:sz w:val="22"/>
                <w:szCs w:val="22"/>
                <w:lang w:val="lt-LT"/>
              </w:rPr>
              <w:t xml:space="preserve">dujų) tiekėjas turi užtikrinti, kad ne mažiau kaip </w:t>
            </w:r>
            <w:r w:rsidRPr="00E134AD">
              <w:rPr>
                <w:sz w:val="22"/>
                <w:szCs w:val="22"/>
                <w:lang w:val="lt-LT"/>
              </w:rPr>
              <w:t xml:space="preserve">100 procentų </w:t>
            </w:r>
            <w:r w:rsidRPr="008712A2">
              <w:rPr>
                <w:color w:val="000000"/>
                <w:sz w:val="22"/>
                <w:szCs w:val="22"/>
                <w:lang w:val="lt-LT"/>
              </w:rPr>
              <w:t>viso patiekt</w:t>
            </w:r>
            <w:r>
              <w:rPr>
                <w:color w:val="000000"/>
                <w:sz w:val="22"/>
                <w:szCs w:val="22"/>
                <w:lang w:val="lt-LT"/>
              </w:rPr>
              <w:t>ų</w:t>
            </w:r>
            <w:r w:rsidRPr="008712A2">
              <w:rPr>
                <w:color w:val="000000"/>
                <w:sz w:val="22"/>
                <w:szCs w:val="22"/>
                <w:lang w:val="lt-LT"/>
              </w:rPr>
              <w:t xml:space="preserve"> metini</w:t>
            </w:r>
            <w:r>
              <w:rPr>
                <w:color w:val="000000"/>
                <w:sz w:val="22"/>
                <w:szCs w:val="22"/>
                <w:lang w:val="lt-LT"/>
              </w:rPr>
              <w:t>ų</w:t>
            </w:r>
            <w:r w:rsidRPr="008712A2">
              <w:rPr>
                <w:color w:val="000000"/>
                <w:sz w:val="22"/>
                <w:szCs w:val="22"/>
                <w:lang w:val="lt-LT"/>
              </w:rPr>
              <w:t xml:space="preserve"> </w:t>
            </w:r>
            <w:r>
              <w:rPr>
                <w:color w:val="000000"/>
                <w:sz w:val="22"/>
                <w:szCs w:val="22"/>
                <w:lang w:val="lt-LT"/>
              </w:rPr>
              <w:t xml:space="preserve">dujų </w:t>
            </w:r>
            <w:r w:rsidRPr="008712A2">
              <w:rPr>
                <w:color w:val="000000"/>
                <w:sz w:val="22"/>
                <w:szCs w:val="22"/>
                <w:lang w:val="lt-LT"/>
              </w:rPr>
              <w:t xml:space="preserve">sudarytų tvarus pažangus alternatyvus kuras – </w:t>
            </w:r>
            <w:proofErr w:type="spellStart"/>
            <w:r w:rsidRPr="008712A2">
              <w:rPr>
                <w:color w:val="000000"/>
                <w:sz w:val="22"/>
                <w:szCs w:val="22"/>
                <w:lang w:val="lt-LT"/>
              </w:rPr>
              <w:t>biometanas</w:t>
            </w:r>
            <w:proofErr w:type="spellEnd"/>
            <w:r w:rsidRPr="008712A2">
              <w:rPr>
                <w:color w:val="000000"/>
                <w:sz w:val="22"/>
                <w:szCs w:val="22"/>
                <w:lang w:val="lt-LT"/>
              </w:rPr>
              <w:t>, pagamintas iš žaliavų, nurodytų Europos Parlamento ir Tarybos direktyvos 2018/2001 dėl skatinimo naudoti atsinaujinančių išteklių energiją (vadinamoji RED II direktyva) IX priedo A dalyje.</w:t>
            </w:r>
          </w:p>
        </w:tc>
      </w:tr>
      <w:tr w:rsidR="00C44E22" w:rsidRPr="007C7245" w14:paraId="447A7A29" w14:textId="77777777" w:rsidTr="00C12E32">
        <w:trPr>
          <w:trHeight w:val="1304"/>
        </w:trPr>
        <w:tc>
          <w:tcPr>
            <w:tcW w:w="1129" w:type="dxa"/>
            <w:vAlign w:val="center"/>
          </w:tcPr>
          <w:p w14:paraId="29768576" w14:textId="77777777" w:rsidR="00C44E22" w:rsidRPr="00702D30" w:rsidRDefault="00C44E22" w:rsidP="00C12E32">
            <w:pPr>
              <w:jc w:val="center"/>
              <w:rPr>
                <w:color w:val="000000"/>
                <w:sz w:val="22"/>
                <w:szCs w:val="22"/>
                <w:lang w:val="lt-LT"/>
              </w:rPr>
            </w:pPr>
            <w:r w:rsidRPr="00702D30">
              <w:rPr>
                <w:color w:val="000000"/>
                <w:sz w:val="22"/>
                <w:szCs w:val="22"/>
                <w:lang w:val="lt-LT"/>
              </w:rPr>
              <w:t>1.4.</w:t>
            </w:r>
          </w:p>
        </w:tc>
        <w:tc>
          <w:tcPr>
            <w:tcW w:w="6868" w:type="dxa"/>
          </w:tcPr>
          <w:p w14:paraId="42EAC03B" w14:textId="2A92542A" w:rsidR="001D1843" w:rsidRPr="001D1843" w:rsidRDefault="00C44E22" w:rsidP="00C12E32">
            <w:pPr>
              <w:jc w:val="both"/>
              <w:rPr>
                <w:color w:val="000000"/>
                <w:sz w:val="22"/>
                <w:szCs w:val="22"/>
                <w:lang w:val="lt-LT"/>
              </w:rPr>
            </w:pPr>
            <w:proofErr w:type="spellStart"/>
            <w:r w:rsidRPr="00702D30">
              <w:rPr>
                <w:color w:val="000000"/>
                <w:sz w:val="22"/>
                <w:szCs w:val="22"/>
                <w:lang w:val="lt-LT"/>
              </w:rPr>
              <w:t>Biometano</w:t>
            </w:r>
            <w:proofErr w:type="spellEnd"/>
            <w:r w:rsidRPr="00702D30">
              <w:rPr>
                <w:color w:val="000000"/>
                <w:sz w:val="22"/>
                <w:szCs w:val="22"/>
                <w:lang w:val="lt-LT"/>
              </w:rPr>
              <w:t xml:space="preserve"> pateikimas įrodomas atitinkamomis kilmės garantijomis („</w:t>
            </w:r>
            <w:proofErr w:type="spellStart"/>
            <w:r w:rsidRPr="00702D30">
              <w:rPr>
                <w:color w:val="000000"/>
                <w:sz w:val="22"/>
                <w:szCs w:val="22"/>
                <w:lang w:val="lt-LT"/>
              </w:rPr>
              <w:t>Guarantee</w:t>
            </w:r>
            <w:proofErr w:type="spellEnd"/>
            <w:r w:rsidRPr="00702D30">
              <w:rPr>
                <w:color w:val="000000"/>
                <w:sz w:val="22"/>
                <w:szCs w:val="22"/>
                <w:lang w:val="lt-LT"/>
              </w:rPr>
              <w:t xml:space="preserve"> </w:t>
            </w:r>
            <w:proofErr w:type="spellStart"/>
            <w:r w:rsidRPr="00702D30">
              <w:rPr>
                <w:color w:val="000000"/>
                <w:sz w:val="22"/>
                <w:szCs w:val="22"/>
                <w:lang w:val="lt-LT"/>
              </w:rPr>
              <w:t>of</w:t>
            </w:r>
            <w:proofErr w:type="spellEnd"/>
            <w:r w:rsidRPr="00702D30">
              <w:rPr>
                <w:color w:val="000000"/>
                <w:sz w:val="22"/>
                <w:szCs w:val="22"/>
                <w:lang w:val="lt-LT"/>
              </w:rPr>
              <w:t xml:space="preserve"> </w:t>
            </w:r>
            <w:proofErr w:type="spellStart"/>
            <w:r w:rsidRPr="00702D30">
              <w:rPr>
                <w:color w:val="000000"/>
                <w:sz w:val="22"/>
                <w:szCs w:val="22"/>
                <w:lang w:val="lt-LT"/>
              </w:rPr>
              <w:t>Origin</w:t>
            </w:r>
            <w:proofErr w:type="spellEnd"/>
            <w:r w:rsidRPr="00702D30">
              <w:rPr>
                <w:color w:val="000000"/>
                <w:sz w:val="22"/>
                <w:szCs w:val="22"/>
                <w:lang w:val="lt-LT"/>
              </w:rPr>
              <w:t>“) bei tvarumo sertifikatais („</w:t>
            </w:r>
            <w:proofErr w:type="spellStart"/>
            <w:r w:rsidRPr="00702D30">
              <w:rPr>
                <w:color w:val="000000"/>
                <w:sz w:val="22"/>
                <w:szCs w:val="22"/>
                <w:lang w:val="lt-LT"/>
              </w:rPr>
              <w:t>Proof</w:t>
            </w:r>
            <w:proofErr w:type="spellEnd"/>
            <w:r w:rsidRPr="00702D30">
              <w:rPr>
                <w:color w:val="000000"/>
                <w:sz w:val="22"/>
                <w:szCs w:val="22"/>
                <w:lang w:val="lt-LT"/>
              </w:rPr>
              <w:t xml:space="preserve"> </w:t>
            </w:r>
            <w:proofErr w:type="spellStart"/>
            <w:r w:rsidRPr="00702D30">
              <w:rPr>
                <w:color w:val="000000"/>
                <w:sz w:val="22"/>
                <w:szCs w:val="22"/>
                <w:lang w:val="lt-LT"/>
              </w:rPr>
              <w:t>of</w:t>
            </w:r>
            <w:proofErr w:type="spellEnd"/>
            <w:r w:rsidRPr="00702D30">
              <w:rPr>
                <w:color w:val="000000"/>
                <w:sz w:val="22"/>
                <w:szCs w:val="22"/>
                <w:lang w:val="lt-LT"/>
              </w:rPr>
              <w:t xml:space="preserve"> </w:t>
            </w:r>
            <w:proofErr w:type="spellStart"/>
            <w:r w:rsidRPr="00702D30">
              <w:rPr>
                <w:color w:val="000000"/>
                <w:sz w:val="22"/>
                <w:szCs w:val="22"/>
                <w:lang w:val="lt-LT"/>
              </w:rPr>
              <w:t>Sustainability</w:t>
            </w:r>
            <w:proofErr w:type="spellEnd"/>
            <w:r w:rsidRPr="00702D30">
              <w:rPr>
                <w:color w:val="000000"/>
                <w:sz w:val="22"/>
                <w:szCs w:val="22"/>
                <w:lang w:val="lt-LT"/>
              </w:rPr>
              <w:t>“) arba lygiaverčiais dokumentais.</w:t>
            </w:r>
          </w:p>
        </w:tc>
      </w:tr>
      <w:tr w:rsidR="00C44E22" w:rsidRPr="007C7245" w14:paraId="25DCF1C2" w14:textId="77777777" w:rsidTr="00C12E32">
        <w:trPr>
          <w:trHeight w:val="81"/>
        </w:trPr>
        <w:tc>
          <w:tcPr>
            <w:tcW w:w="1129" w:type="dxa"/>
            <w:vAlign w:val="center"/>
          </w:tcPr>
          <w:p w14:paraId="737C190F" w14:textId="77777777" w:rsidR="00C44E22" w:rsidRPr="00AD0D1C" w:rsidRDefault="00C44E22" w:rsidP="00C12E32">
            <w:pPr>
              <w:jc w:val="center"/>
              <w:rPr>
                <w:color w:val="000000"/>
                <w:sz w:val="22"/>
                <w:szCs w:val="22"/>
                <w:lang w:val="lt-LT"/>
              </w:rPr>
            </w:pPr>
          </w:p>
        </w:tc>
        <w:tc>
          <w:tcPr>
            <w:tcW w:w="6868" w:type="dxa"/>
          </w:tcPr>
          <w:p w14:paraId="7ADA5ADE" w14:textId="283363BD" w:rsidR="00C44E22" w:rsidRPr="000A4F84" w:rsidRDefault="00C44E22" w:rsidP="00C12E32">
            <w:pPr>
              <w:rPr>
                <w:color w:val="000000"/>
                <w:sz w:val="22"/>
                <w:szCs w:val="22"/>
                <w:lang w:val="lt-LT"/>
              </w:rPr>
            </w:pPr>
            <w:r w:rsidRPr="00AD0D1C">
              <w:rPr>
                <w:b/>
                <w:bCs/>
                <w:color w:val="000000"/>
                <w:sz w:val="22"/>
                <w:szCs w:val="22"/>
                <w:lang w:val="lt-LT"/>
              </w:rPr>
              <w:t>Reikalavimai dujų užpildymui ir apskaitai:</w:t>
            </w:r>
          </w:p>
        </w:tc>
      </w:tr>
      <w:tr w:rsidR="00C44E22" w:rsidRPr="007C7245" w14:paraId="790FEBEC" w14:textId="77777777" w:rsidTr="00C12E32">
        <w:trPr>
          <w:trHeight w:val="81"/>
        </w:trPr>
        <w:tc>
          <w:tcPr>
            <w:tcW w:w="1129" w:type="dxa"/>
            <w:vAlign w:val="center"/>
          </w:tcPr>
          <w:p w14:paraId="7C6340D2" w14:textId="30734F77" w:rsidR="00C44E22" w:rsidRPr="00AD0D1C" w:rsidRDefault="00C44E22" w:rsidP="00C12E32">
            <w:pPr>
              <w:jc w:val="center"/>
              <w:rPr>
                <w:color w:val="000000"/>
                <w:sz w:val="22"/>
                <w:szCs w:val="22"/>
                <w:lang w:val="lt-LT"/>
              </w:rPr>
            </w:pPr>
            <w:r w:rsidRPr="00AD0D1C">
              <w:rPr>
                <w:color w:val="000000"/>
                <w:sz w:val="22"/>
                <w:szCs w:val="22"/>
                <w:lang w:val="lt-LT"/>
              </w:rPr>
              <w:t>2.1.</w:t>
            </w:r>
          </w:p>
        </w:tc>
        <w:tc>
          <w:tcPr>
            <w:tcW w:w="6868" w:type="dxa"/>
          </w:tcPr>
          <w:p w14:paraId="06BAB9B2" w14:textId="52BC5435" w:rsidR="00C44E22" w:rsidRPr="00AD0D1C" w:rsidRDefault="00C44E22" w:rsidP="00C12E32">
            <w:pPr>
              <w:rPr>
                <w:color w:val="000000"/>
                <w:sz w:val="22"/>
                <w:szCs w:val="22"/>
                <w:lang w:val="lt-LT"/>
              </w:rPr>
            </w:pPr>
            <w:r w:rsidRPr="000A4F84">
              <w:rPr>
                <w:color w:val="000000"/>
                <w:sz w:val="22"/>
                <w:szCs w:val="22"/>
                <w:lang w:val="lt-LT"/>
              </w:rPr>
              <w:t xml:space="preserve">patiekiamų dujų minimalus kiekis per </w:t>
            </w:r>
            <w:r>
              <w:rPr>
                <w:color w:val="000000"/>
                <w:sz w:val="22"/>
                <w:szCs w:val="22"/>
                <w:lang w:val="lt-LT"/>
              </w:rPr>
              <w:t>24</w:t>
            </w:r>
            <w:r w:rsidRPr="000A4F84">
              <w:rPr>
                <w:color w:val="000000"/>
                <w:sz w:val="22"/>
                <w:szCs w:val="22"/>
                <w:lang w:val="lt-LT"/>
              </w:rPr>
              <w:t xml:space="preserve"> val. ne mažiau </w:t>
            </w:r>
            <w:r>
              <w:rPr>
                <w:color w:val="000000"/>
                <w:sz w:val="22"/>
                <w:szCs w:val="22"/>
                <w:lang w:val="lt-LT"/>
              </w:rPr>
              <w:t>2500 N</w:t>
            </w:r>
            <w:r w:rsidRPr="000A4F84">
              <w:rPr>
                <w:color w:val="000000"/>
                <w:sz w:val="22"/>
                <w:szCs w:val="22"/>
                <w:lang w:val="lt-LT"/>
              </w:rPr>
              <w:t>m</w:t>
            </w:r>
            <w:r>
              <w:rPr>
                <w:color w:val="000000"/>
                <w:sz w:val="22"/>
                <w:szCs w:val="22"/>
                <w:lang w:val="lt-LT"/>
              </w:rPr>
              <w:t>³</w:t>
            </w:r>
            <w:r w:rsidRPr="000A4F84">
              <w:rPr>
                <w:color w:val="000000"/>
                <w:sz w:val="22"/>
                <w:szCs w:val="22"/>
                <w:lang w:val="lt-LT"/>
              </w:rPr>
              <w:t>.</w:t>
            </w:r>
          </w:p>
        </w:tc>
      </w:tr>
      <w:tr w:rsidR="00C44E22" w:rsidRPr="007C7245" w14:paraId="224228E6" w14:textId="77777777" w:rsidTr="00C12E32">
        <w:trPr>
          <w:trHeight w:val="81"/>
        </w:trPr>
        <w:tc>
          <w:tcPr>
            <w:tcW w:w="1129" w:type="dxa"/>
            <w:vAlign w:val="center"/>
          </w:tcPr>
          <w:p w14:paraId="651F268E" w14:textId="4D55C59A" w:rsidR="00C44E22" w:rsidRPr="00AD0D1C" w:rsidRDefault="00C44E22" w:rsidP="00C12E32">
            <w:pPr>
              <w:jc w:val="center"/>
              <w:rPr>
                <w:color w:val="000000"/>
                <w:sz w:val="22"/>
                <w:szCs w:val="22"/>
                <w:lang w:val="lt-LT"/>
              </w:rPr>
            </w:pPr>
            <w:r w:rsidRPr="00AD0D1C">
              <w:rPr>
                <w:color w:val="000000"/>
                <w:sz w:val="22"/>
                <w:szCs w:val="22"/>
                <w:lang w:val="lt-LT"/>
              </w:rPr>
              <w:t>2.2.</w:t>
            </w:r>
          </w:p>
        </w:tc>
        <w:tc>
          <w:tcPr>
            <w:tcW w:w="6868" w:type="dxa"/>
          </w:tcPr>
          <w:p w14:paraId="7716FA23" w14:textId="6F93BE20" w:rsidR="00C44E22" w:rsidRPr="000A4F84" w:rsidRDefault="00C44E22" w:rsidP="00C12E32">
            <w:pPr>
              <w:rPr>
                <w:color w:val="000000"/>
                <w:sz w:val="22"/>
                <w:szCs w:val="22"/>
                <w:lang w:val="lt-LT"/>
              </w:rPr>
            </w:pPr>
            <w:r w:rsidRPr="00AD0D1C">
              <w:rPr>
                <w:color w:val="000000"/>
                <w:sz w:val="22"/>
                <w:szCs w:val="22"/>
                <w:lang w:val="lt-LT"/>
              </w:rPr>
              <w:t>maksimalus užpildomų autobusų skaičius</w:t>
            </w:r>
            <w:r w:rsidR="00E40EAC">
              <w:rPr>
                <w:color w:val="000000"/>
                <w:sz w:val="22"/>
                <w:szCs w:val="22"/>
                <w:lang w:val="lt-LT"/>
              </w:rPr>
              <w:t xml:space="preserve"> per 24 val.</w:t>
            </w:r>
            <w:r w:rsidRPr="00AD0D1C">
              <w:rPr>
                <w:color w:val="000000"/>
                <w:sz w:val="22"/>
                <w:szCs w:val="22"/>
                <w:lang w:val="lt-LT"/>
              </w:rPr>
              <w:t xml:space="preserve"> – iki </w:t>
            </w:r>
            <w:r>
              <w:rPr>
                <w:color w:val="000000"/>
                <w:sz w:val="22"/>
                <w:szCs w:val="22"/>
                <w:lang w:val="lt-LT"/>
              </w:rPr>
              <w:t>17</w:t>
            </w:r>
            <w:r w:rsidRPr="00AD0D1C">
              <w:rPr>
                <w:color w:val="000000"/>
                <w:sz w:val="22"/>
                <w:szCs w:val="22"/>
                <w:lang w:val="lt-LT"/>
              </w:rPr>
              <w:t xml:space="preserve"> vnt.</w:t>
            </w:r>
          </w:p>
        </w:tc>
      </w:tr>
      <w:tr w:rsidR="00C44E22" w:rsidRPr="007C7245" w14:paraId="76722758" w14:textId="77777777" w:rsidTr="00C12E32">
        <w:trPr>
          <w:trHeight w:val="81"/>
        </w:trPr>
        <w:tc>
          <w:tcPr>
            <w:tcW w:w="1129" w:type="dxa"/>
            <w:vAlign w:val="center"/>
          </w:tcPr>
          <w:p w14:paraId="5F27BD98" w14:textId="0BDE9C92" w:rsidR="00C44E22" w:rsidRPr="00AD0D1C" w:rsidRDefault="00C44E22" w:rsidP="00C12E32">
            <w:pPr>
              <w:jc w:val="center"/>
              <w:rPr>
                <w:color w:val="000000"/>
                <w:sz w:val="22"/>
                <w:szCs w:val="22"/>
                <w:lang w:val="lt-LT"/>
              </w:rPr>
            </w:pPr>
            <w:r w:rsidRPr="00AD0D1C">
              <w:rPr>
                <w:color w:val="000000"/>
                <w:sz w:val="22"/>
                <w:szCs w:val="22"/>
                <w:lang w:val="lt-LT"/>
              </w:rPr>
              <w:t>2.3.</w:t>
            </w:r>
          </w:p>
        </w:tc>
        <w:tc>
          <w:tcPr>
            <w:tcW w:w="6868" w:type="dxa"/>
          </w:tcPr>
          <w:p w14:paraId="12A15959" w14:textId="69468C35" w:rsidR="00C44E22" w:rsidRPr="00AD0D1C" w:rsidRDefault="006F66A9" w:rsidP="00C12E32">
            <w:pPr>
              <w:rPr>
                <w:color w:val="000000"/>
                <w:sz w:val="22"/>
                <w:szCs w:val="22"/>
                <w:lang w:val="lt-LT"/>
              </w:rPr>
            </w:pPr>
            <w:r w:rsidRPr="006F66A9">
              <w:rPr>
                <w:color w:val="000000"/>
                <w:sz w:val="22"/>
                <w:szCs w:val="22"/>
                <w:lang w:val="lt-LT"/>
              </w:rPr>
              <w:t xml:space="preserve">užpildymo laikas – iki </w:t>
            </w:r>
            <w:r>
              <w:rPr>
                <w:color w:val="000000"/>
                <w:sz w:val="22"/>
                <w:szCs w:val="22"/>
                <w:lang w:val="lt-LT"/>
              </w:rPr>
              <w:t>14</w:t>
            </w:r>
            <w:r w:rsidRPr="006F66A9">
              <w:rPr>
                <w:color w:val="000000"/>
                <w:sz w:val="22"/>
                <w:szCs w:val="22"/>
                <w:lang w:val="lt-LT"/>
              </w:rPr>
              <w:t xml:space="preserve"> val., pildant nuo 16 val. vakaro iki 0</w:t>
            </w:r>
            <w:r>
              <w:rPr>
                <w:color w:val="000000"/>
                <w:sz w:val="22"/>
                <w:szCs w:val="22"/>
                <w:lang w:val="lt-LT"/>
              </w:rPr>
              <w:t>6</w:t>
            </w:r>
            <w:r w:rsidRPr="006F66A9">
              <w:rPr>
                <w:color w:val="000000"/>
                <w:sz w:val="22"/>
                <w:szCs w:val="22"/>
                <w:lang w:val="lt-LT"/>
              </w:rPr>
              <w:t xml:space="preserve"> val. ryto, skaičiuojant laiką nenutrūkstamu režimu.</w:t>
            </w:r>
          </w:p>
        </w:tc>
      </w:tr>
      <w:tr w:rsidR="00C44E22" w:rsidRPr="007C7245" w14:paraId="0C139339" w14:textId="77777777" w:rsidTr="00C12E32">
        <w:trPr>
          <w:trHeight w:val="225"/>
        </w:trPr>
        <w:tc>
          <w:tcPr>
            <w:tcW w:w="1129" w:type="dxa"/>
            <w:vAlign w:val="center"/>
          </w:tcPr>
          <w:p w14:paraId="145C4F43" w14:textId="27B0446D" w:rsidR="00C44E22" w:rsidRPr="00AD0D1C" w:rsidRDefault="00C44E22" w:rsidP="00C12E32">
            <w:pPr>
              <w:jc w:val="center"/>
              <w:rPr>
                <w:color w:val="000000"/>
                <w:sz w:val="22"/>
                <w:szCs w:val="22"/>
                <w:lang w:val="lt-LT"/>
              </w:rPr>
            </w:pPr>
            <w:r w:rsidRPr="00AD0D1C">
              <w:rPr>
                <w:color w:val="000000"/>
                <w:sz w:val="22"/>
                <w:szCs w:val="22"/>
                <w:lang w:val="lt-LT"/>
              </w:rPr>
              <w:t>2.4.</w:t>
            </w:r>
          </w:p>
        </w:tc>
        <w:tc>
          <w:tcPr>
            <w:tcW w:w="6868" w:type="dxa"/>
          </w:tcPr>
          <w:p w14:paraId="34596D38" w14:textId="303DCD2F" w:rsidR="00C44E22" w:rsidRPr="00AD0D1C" w:rsidRDefault="00C44E22" w:rsidP="00C12E32">
            <w:pPr>
              <w:rPr>
                <w:color w:val="000000"/>
                <w:sz w:val="22"/>
                <w:szCs w:val="22"/>
                <w:lang w:val="lt-LT"/>
              </w:rPr>
            </w:pPr>
            <w:r w:rsidRPr="00302E35">
              <w:rPr>
                <w:color w:val="000000"/>
                <w:sz w:val="22"/>
                <w:szCs w:val="22"/>
                <w:lang w:val="lt-LT"/>
              </w:rPr>
              <w:t>dujų užpildymas į autobusų balionų rezervuarus turi būti užtikrintas visą parą,</w:t>
            </w:r>
            <w:r>
              <w:rPr>
                <w:color w:val="000000"/>
                <w:sz w:val="22"/>
                <w:szCs w:val="22"/>
                <w:lang w:val="lt-LT"/>
              </w:rPr>
              <w:t xml:space="preserve"> </w:t>
            </w:r>
            <w:r w:rsidRPr="00302E35">
              <w:rPr>
                <w:color w:val="000000"/>
                <w:sz w:val="22"/>
                <w:szCs w:val="22"/>
                <w:lang w:val="lt-LT"/>
              </w:rPr>
              <w:t>7 dienas per savaitę.</w:t>
            </w:r>
          </w:p>
        </w:tc>
      </w:tr>
      <w:tr w:rsidR="00C44E22" w:rsidRPr="007C7245" w14:paraId="08E9D53F" w14:textId="77777777" w:rsidTr="00C12E32">
        <w:trPr>
          <w:trHeight w:val="225"/>
        </w:trPr>
        <w:tc>
          <w:tcPr>
            <w:tcW w:w="1129" w:type="dxa"/>
            <w:vAlign w:val="center"/>
          </w:tcPr>
          <w:p w14:paraId="6603ADF3" w14:textId="5834F649" w:rsidR="00C44E22" w:rsidRPr="00AD0D1C" w:rsidRDefault="00C44E22" w:rsidP="00C12E32">
            <w:pPr>
              <w:jc w:val="center"/>
              <w:rPr>
                <w:color w:val="000000"/>
                <w:sz w:val="22"/>
                <w:szCs w:val="22"/>
                <w:lang w:val="lt-LT"/>
              </w:rPr>
            </w:pPr>
            <w:r w:rsidRPr="00AD0D1C">
              <w:rPr>
                <w:color w:val="000000"/>
                <w:sz w:val="22"/>
                <w:szCs w:val="22"/>
                <w:lang w:val="lt-LT"/>
              </w:rPr>
              <w:t>2.5.</w:t>
            </w:r>
          </w:p>
        </w:tc>
        <w:tc>
          <w:tcPr>
            <w:tcW w:w="6868" w:type="dxa"/>
          </w:tcPr>
          <w:p w14:paraId="36351E9E" w14:textId="5EC3308B" w:rsidR="00C44E22" w:rsidRPr="00302E35" w:rsidRDefault="00C44E22" w:rsidP="00C12E32">
            <w:pPr>
              <w:rPr>
                <w:color w:val="000000"/>
                <w:sz w:val="22"/>
                <w:szCs w:val="22"/>
                <w:lang w:val="lt-LT"/>
              </w:rPr>
            </w:pPr>
            <w:r w:rsidRPr="00302E35">
              <w:rPr>
                <w:color w:val="000000"/>
                <w:sz w:val="22"/>
                <w:szCs w:val="22"/>
                <w:lang w:val="lt-LT"/>
              </w:rPr>
              <w:t>dujų pildymas greituoju būdu .</w:t>
            </w:r>
          </w:p>
        </w:tc>
      </w:tr>
      <w:tr w:rsidR="00C44E22" w:rsidRPr="007C7245" w14:paraId="44E04344" w14:textId="77777777" w:rsidTr="00C12E32">
        <w:trPr>
          <w:trHeight w:val="225"/>
        </w:trPr>
        <w:tc>
          <w:tcPr>
            <w:tcW w:w="1129" w:type="dxa"/>
            <w:vAlign w:val="center"/>
          </w:tcPr>
          <w:p w14:paraId="0DA6813F" w14:textId="48C66750" w:rsidR="00C44E22" w:rsidRPr="00AD0D1C" w:rsidRDefault="00C44E22" w:rsidP="00C12E32">
            <w:pPr>
              <w:jc w:val="center"/>
              <w:rPr>
                <w:color w:val="000000"/>
                <w:sz w:val="22"/>
                <w:szCs w:val="22"/>
                <w:lang w:val="lt-LT"/>
              </w:rPr>
            </w:pPr>
            <w:r w:rsidRPr="00AD0D1C">
              <w:rPr>
                <w:color w:val="000000"/>
                <w:sz w:val="22"/>
                <w:szCs w:val="22"/>
                <w:lang w:val="lt-LT"/>
              </w:rPr>
              <w:t>2.6.</w:t>
            </w:r>
          </w:p>
        </w:tc>
        <w:tc>
          <w:tcPr>
            <w:tcW w:w="6868" w:type="dxa"/>
          </w:tcPr>
          <w:p w14:paraId="47B8F992" w14:textId="76641F5D" w:rsidR="00C44E22" w:rsidRPr="00302E35" w:rsidRDefault="00C44E22" w:rsidP="00C12E32">
            <w:pPr>
              <w:rPr>
                <w:color w:val="000000"/>
                <w:sz w:val="22"/>
                <w:szCs w:val="22"/>
                <w:lang w:val="lt-LT"/>
              </w:rPr>
            </w:pPr>
            <w:r w:rsidRPr="00AD0D1C">
              <w:rPr>
                <w:color w:val="000000"/>
                <w:sz w:val="22"/>
                <w:szCs w:val="22"/>
                <w:lang w:val="lt-LT"/>
              </w:rPr>
              <w:t xml:space="preserve">dujų </w:t>
            </w:r>
            <w:r w:rsidRPr="004A52BE">
              <w:rPr>
                <w:color w:val="000000"/>
                <w:sz w:val="22"/>
                <w:szCs w:val="22"/>
                <w:lang w:val="lt-LT"/>
              </w:rPr>
              <w:t xml:space="preserve">pildymas vyksta per žarnų pajungimo antgalius NGV-1 </w:t>
            </w:r>
            <w:r w:rsidR="00E40EAC" w:rsidRPr="00E40EAC">
              <w:rPr>
                <w:color w:val="000000"/>
                <w:sz w:val="22"/>
                <w:szCs w:val="22"/>
                <w:lang w:val="lt-LT"/>
              </w:rPr>
              <w:t xml:space="preserve">ir </w:t>
            </w:r>
            <w:r w:rsidR="00E40EAC" w:rsidRPr="00E134AD">
              <w:rPr>
                <w:sz w:val="22"/>
                <w:szCs w:val="22"/>
                <w:lang w:val="lt-LT"/>
              </w:rPr>
              <w:t>NGV-2.</w:t>
            </w:r>
          </w:p>
        </w:tc>
      </w:tr>
      <w:tr w:rsidR="00C44E22" w:rsidRPr="007C7245" w14:paraId="4EE2AA6A" w14:textId="77777777" w:rsidTr="00C12E32">
        <w:trPr>
          <w:trHeight w:val="225"/>
        </w:trPr>
        <w:tc>
          <w:tcPr>
            <w:tcW w:w="1129" w:type="dxa"/>
            <w:vAlign w:val="center"/>
          </w:tcPr>
          <w:p w14:paraId="6A815554" w14:textId="5FD3F03E" w:rsidR="00C44E22" w:rsidRPr="00AD0D1C" w:rsidRDefault="00C44E22" w:rsidP="00C12E32">
            <w:pPr>
              <w:jc w:val="center"/>
              <w:rPr>
                <w:color w:val="000000"/>
                <w:sz w:val="22"/>
                <w:szCs w:val="22"/>
                <w:lang w:val="lt-LT"/>
              </w:rPr>
            </w:pPr>
            <w:r w:rsidRPr="00AD0D1C">
              <w:rPr>
                <w:color w:val="000000"/>
                <w:sz w:val="22"/>
                <w:szCs w:val="22"/>
                <w:lang w:val="lt-LT"/>
              </w:rPr>
              <w:t>2.7.</w:t>
            </w:r>
          </w:p>
        </w:tc>
        <w:tc>
          <w:tcPr>
            <w:tcW w:w="6868" w:type="dxa"/>
          </w:tcPr>
          <w:p w14:paraId="7EB3583F" w14:textId="04625F70" w:rsidR="00C44E22" w:rsidRPr="00AD0D1C" w:rsidRDefault="00C44E22" w:rsidP="00C12E32">
            <w:pPr>
              <w:rPr>
                <w:color w:val="000000"/>
                <w:sz w:val="22"/>
                <w:szCs w:val="22"/>
                <w:lang w:val="lt-LT"/>
              </w:rPr>
            </w:pPr>
            <w:r w:rsidRPr="00AD0D1C">
              <w:rPr>
                <w:color w:val="000000"/>
                <w:sz w:val="22"/>
                <w:szCs w:val="22"/>
                <w:lang w:val="lt-LT"/>
              </w:rPr>
              <w:t>dujų pildymo žarnos su nutraukimo movomis, ilgis ne mažiau kaip 5 m.</w:t>
            </w:r>
          </w:p>
        </w:tc>
      </w:tr>
      <w:tr w:rsidR="00C44E22" w:rsidRPr="007C7245" w14:paraId="4E6DA714" w14:textId="77777777" w:rsidTr="00C12E32">
        <w:trPr>
          <w:trHeight w:val="225"/>
        </w:trPr>
        <w:tc>
          <w:tcPr>
            <w:tcW w:w="1129" w:type="dxa"/>
            <w:vAlign w:val="center"/>
          </w:tcPr>
          <w:p w14:paraId="68B07CC5" w14:textId="49E6A508" w:rsidR="00C44E22" w:rsidRPr="00AD0D1C" w:rsidRDefault="00C44E22" w:rsidP="00C12E32">
            <w:pPr>
              <w:jc w:val="center"/>
              <w:rPr>
                <w:color w:val="000000"/>
                <w:sz w:val="22"/>
                <w:szCs w:val="22"/>
                <w:lang w:val="lt-LT"/>
              </w:rPr>
            </w:pPr>
            <w:r w:rsidRPr="00AD0D1C">
              <w:rPr>
                <w:color w:val="000000"/>
                <w:sz w:val="22"/>
                <w:szCs w:val="22"/>
                <w:lang w:val="lt-LT"/>
              </w:rPr>
              <w:t>2.8.</w:t>
            </w:r>
          </w:p>
        </w:tc>
        <w:tc>
          <w:tcPr>
            <w:tcW w:w="6868" w:type="dxa"/>
          </w:tcPr>
          <w:p w14:paraId="55AF90B8" w14:textId="6BE93198" w:rsidR="00C44E22" w:rsidRPr="00AD0D1C" w:rsidRDefault="00C44E22" w:rsidP="00C12E32">
            <w:pPr>
              <w:rPr>
                <w:color w:val="000000"/>
                <w:sz w:val="22"/>
                <w:szCs w:val="22"/>
                <w:lang w:val="lt-LT"/>
              </w:rPr>
            </w:pPr>
            <w:r w:rsidRPr="00AD0D1C">
              <w:rPr>
                <w:color w:val="000000"/>
                <w:sz w:val="22"/>
                <w:szCs w:val="22"/>
                <w:lang w:val="lt-LT"/>
              </w:rPr>
              <w:t>autobusų balionų rezervuarai turi būti užpildyti, netgi atsiradus techniniams gedimams (arba įrangos techninių aptarnavimų metu), išskyrus tuos atvejus, kai nepriklausomai nuo Tiekėjo sutrinka elektros energijos tiekimas.</w:t>
            </w:r>
          </w:p>
        </w:tc>
      </w:tr>
      <w:tr w:rsidR="00C44E22" w:rsidRPr="007C7245" w14:paraId="2C9ED253" w14:textId="77777777" w:rsidTr="00C12E32">
        <w:trPr>
          <w:trHeight w:val="225"/>
        </w:trPr>
        <w:tc>
          <w:tcPr>
            <w:tcW w:w="1129" w:type="dxa"/>
            <w:vAlign w:val="center"/>
          </w:tcPr>
          <w:p w14:paraId="5FAF999C" w14:textId="36446381" w:rsidR="00C44E22" w:rsidRPr="00AD0D1C" w:rsidRDefault="00C44E22" w:rsidP="00C12E32">
            <w:pPr>
              <w:jc w:val="center"/>
              <w:rPr>
                <w:color w:val="000000"/>
                <w:sz w:val="22"/>
                <w:szCs w:val="22"/>
                <w:lang w:val="lt-LT"/>
              </w:rPr>
            </w:pPr>
            <w:r w:rsidRPr="00AD0D1C">
              <w:rPr>
                <w:color w:val="000000"/>
                <w:sz w:val="22"/>
                <w:szCs w:val="22"/>
                <w:lang w:val="lt-LT"/>
              </w:rPr>
              <w:t>2.9.</w:t>
            </w:r>
          </w:p>
        </w:tc>
        <w:tc>
          <w:tcPr>
            <w:tcW w:w="6868" w:type="dxa"/>
          </w:tcPr>
          <w:p w14:paraId="6EA4CC5D" w14:textId="2FB7DB9F" w:rsidR="00C44E22" w:rsidRPr="00AD0D1C" w:rsidRDefault="00C44E22" w:rsidP="00C12E32">
            <w:pPr>
              <w:rPr>
                <w:color w:val="000000"/>
                <w:sz w:val="22"/>
                <w:szCs w:val="22"/>
                <w:lang w:val="lt-LT"/>
              </w:rPr>
            </w:pPr>
            <w:r w:rsidRPr="00AD0D1C">
              <w:rPr>
                <w:color w:val="000000"/>
                <w:sz w:val="22"/>
                <w:szCs w:val="22"/>
                <w:lang w:val="lt-LT"/>
              </w:rPr>
              <w:t>už sunaudotas dujas atsiskaitoma pagal įvadinio skaitiklio rodmenis.</w:t>
            </w:r>
          </w:p>
        </w:tc>
      </w:tr>
      <w:tr w:rsidR="00C44E22" w:rsidRPr="007C7245" w14:paraId="642D358D" w14:textId="77777777" w:rsidTr="00C12E32">
        <w:trPr>
          <w:trHeight w:val="182"/>
        </w:trPr>
        <w:tc>
          <w:tcPr>
            <w:tcW w:w="1129" w:type="dxa"/>
            <w:vAlign w:val="center"/>
          </w:tcPr>
          <w:p w14:paraId="63F778A4" w14:textId="7D99E661" w:rsidR="00C44E22" w:rsidRPr="00AD0D1C" w:rsidRDefault="00C44E22" w:rsidP="00C12E32">
            <w:pPr>
              <w:jc w:val="center"/>
              <w:rPr>
                <w:color w:val="000000"/>
                <w:sz w:val="22"/>
                <w:szCs w:val="22"/>
                <w:lang w:val="lt-LT"/>
              </w:rPr>
            </w:pPr>
            <w:r w:rsidRPr="00AD0D1C">
              <w:rPr>
                <w:color w:val="000000"/>
                <w:sz w:val="22"/>
                <w:szCs w:val="22"/>
                <w:lang w:val="lt-LT"/>
              </w:rPr>
              <w:t>2.10.</w:t>
            </w:r>
          </w:p>
        </w:tc>
        <w:tc>
          <w:tcPr>
            <w:tcW w:w="6868" w:type="dxa"/>
          </w:tcPr>
          <w:p w14:paraId="27DC1827" w14:textId="6009E7F4" w:rsidR="00C44E22" w:rsidRPr="00AD0D1C" w:rsidRDefault="00C44E22" w:rsidP="00C12E32">
            <w:pPr>
              <w:rPr>
                <w:color w:val="000000"/>
                <w:sz w:val="22"/>
                <w:szCs w:val="22"/>
                <w:lang w:val="lt-LT"/>
              </w:rPr>
            </w:pPr>
            <w:r w:rsidRPr="00AD0D1C">
              <w:rPr>
                <w:color w:val="000000"/>
                <w:sz w:val="22"/>
                <w:szCs w:val="22"/>
                <w:lang w:val="lt-LT"/>
              </w:rPr>
              <w:t>dujų kiekis apskaitomas prie atmosferinio slėgio ir +20</w:t>
            </w:r>
            <w:r w:rsidRPr="0022283A">
              <w:rPr>
                <w:color w:val="000000"/>
                <w:sz w:val="22"/>
                <w:szCs w:val="22"/>
                <w:vertAlign w:val="superscript"/>
                <w:lang w:val="lt-LT"/>
              </w:rPr>
              <w:t>0</w:t>
            </w:r>
            <w:r w:rsidRPr="00AD0D1C">
              <w:rPr>
                <w:color w:val="000000"/>
                <w:sz w:val="22"/>
                <w:szCs w:val="22"/>
                <w:lang w:val="lt-LT"/>
              </w:rPr>
              <w:t>C temperatūros.</w:t>
            </w:r>
          </w:p>
        </w:tc>
      </w:tr>
      <w:tr w:rsidR="00C44E22" w:rsidRPr="007C7245" w14:paraId="1B912650" w14:textId="77777777" w:rsidTr="00C12E32">
        <w:trPr>
          <w:trHeight w:val="225"/>
        </w:trPr>
        <w:tc>
          <w:tcPr>
            <w:tcW w:w="1129" w:type="dxa"/>
            <w:vAlign w:val="center"/>
          </w:tcPr>
          <w:p w14:paraId="356C4162" w14:textId="63A9EFA3" w:rsidR="00C44E22" w:rsidRPr="00AD0D1C" w:rsidRDefault="00C44E22" w:rsidP="00C12E32">
            <w:pPr>
              <w:jc w:val="center"/>
              <w:rPr>
                <w:color w:val="000000"/>
                <w:sz w:val="22"/>
                <w:szCs w:val="22"/>
                <w:lang w:val="lt-LT"/>
              </w:rPr>
            </w:pPr>
            <w:r w:rsidRPr="00AD0D1C">
              <w:rPr>
                <w:color w:val="000000"/>
                <w:sz w:val="22"/>
                <w:szCs w:val="22"/>
                <w:lang w:val="lt-LT"/>
              </w:rPr>
              <w:t>2.11.</w:t>
            </w:r>
          </w:p>
        </w:tc>
        <w:tc>
          <w:tcPr>
            <w:tcW w:w="6868" w:type="dxa"/>
          </w:tcPr>
          <w:p w14:paraId="15151A4E" w14:textId="0895CAA8" w:rsidR="00C44E22" w:rsidRPr="00AD0D1C" w:rsidRDefault="00C44E22" w:rsidP="00C12E32">
            <w:pPr>
              <w:rPr>
                <w:color w:val="000000"/>
                <w:sz w:val="22"/>
                <w:szCs w:val="22"/>
                <w:lang w:val="lt-LT"/>
              </w:rPr>
            </w:pPr>
            <w:r w:rsidRPr="00AD0D1C">
              <w:rPr>
                <w:color w:val="000000"/>
                <w:sz w:val="22"/>
                <w:szCs w:val="22"/>
                <w:lang w:val="lt-LT"/>
              </w:rPr>
              <w:t>technologiniams suspaustų dujų įrengimams, jų prijungimui prie inžinerinių komunikacijų  (prijungimas prie dujotiekio, elektros, teritorijos apšvietimo, ryšio,  ir eksploatacijai) tiekėjo sąskaita privalo būti parengti projektai, iš kompetentingų valdžios institucijų gauti visi suderinimai, leidimai, licencijos, įgaliojimai ir sutikimai,  numatytos apsauginės zonos ir atstumai iki jų.</w:t>
            </w:r>
          </w:p>
        </w:tc>
      </w:tr>
      <w:tr w:rsidR="00C44E22" w:rsidRPr="007C7245" w14:paraId="0BB30043" w14:textId="77777777" w:rsidTr="00C12E32">
        <w:trPr>
          <w:trHeight w:val="225"/>
        </w:trPr>
        <w:tc>
          <w:tcPr>
            <w:tcW w:w="1129" w:type="dxa"/>
            <w:vAlign w:val="center"/>
          </w:tcPr>
          <w:p w14:paraId="2A7782F6" w14:textId="20958A43" w:rsidR="00C44E22" w:rsidRPr="00AD0D1C" w:rsidRDefault="00C44E22" w:rsidP="00C12E32">
            <w:pPr>
              <w:jc w:val="center"/>
              <w:rPr>
                <w:color w:val="000000"/>
                <w:sz w:val="22"/>
                <w:szCs w:val="22"/>
                <w:lang w:val="lt-LT"/>
              </w:rPr>
            </w:pPr>
            <w:r w:rsidRPr="00AD0D1C">
              <w:rPr>
                <w:color w:val="000000"/>
                <w:sz w:val="22"/>
                <w:szCs w:val="22"/>
                <w:lang w:val="lt-LT"/>
              </w:rPr>
              <w:t>2.12.</w:t>
            </w:r>
          </w:p>
        </w:tc>
        <w:tc>
          <w:tcPr>
            <w:tcW w:w="6868" w:type="dxa"/>
          </w:tcPr>
          <w:p w14:paraId="45E7DE2D" w14:textId="4945F2DE" w:rsidR="00C44E22" w:rsidRPr="00AD0D1C" w:rsidRDefault="00C44E22" w:rsidP="00C12E32">
            <w:pPr>
              <w:rPr>
                <w:color w:val="000000"/>
                <w:sz w:val="22"/>
                <w:szCs w:val="22"/>
                <w:lang w:val="lt-LT"/>
              </w:rPr>
            </w:pPr>
            <w:r>
              <w:rPr>
                <w:color w:val="000000"/>
                <w:sz w:val="22"/>
                <w:szCs w:val="22"/>
                <w:lang w:val="lt-LT"/>
              </w:rPr>
              <w:t>dujų</w:t>
            </w:r>
            <w:r w:rsidRPr="00AD0D1C">
              <w:rPr>
                <w:color w:val="000000"/>
                <w:sz w:val="22"/>
                <w:szCs w:val="22"/>
                <w:lang w:val="lt-LT"/>
              </w:rPr>
              <w:t xml:space="preserve"> tiekimas ir visi technologiniai įrenginiai turi atitikti higienos ir gaisrinės saugos normatyvinius reikalavimus.</w:t>
            </w:r>
          </w:p>
        </w:tc>
      </w:tr>
      <w:tr w:rsidR="00C44E22" w:rsidRPr="007C7245" w14:paraId="64B90F22" w14:textId="77777777" w:rsidTr="00C12E32">
        <w:trPr>
          <w:trHeight w:val="225"/>
        </w:trPr>
        <w:tc>
          <w:tcPr>
            <w:tcW w:w="1129" w:type="dxa"/>
            <w:vAlign w:val="center"/>
          </w:tcPr>
          <w:p w14:paraId="6D1DC635" w14:textId="0D0633CB" w:rsidR="00C44E22" w:rsidRPr="00AD0D1C" w:rsidRDefault="00C44E22" w:rsidP="00C12E32">
            <w:pPr>
              <w:jc w:val="center"/>
              <w:rPr>
                <w:color w:val="000000"/>
                <w:sz w:val="22"/>
                <w:szCs w:val="22"/>
                <w:lang w:val="lt-LT"/>
              </w:rPr>
            </w:pPr>
            <w:r w:rsidRPr="00AD0D1C">
              <w:rPr>
                <w:color w:val="000000"/>
                <w:sz w:val="22"/>
                <w:szCs w:val="22"/>
                <w:lang w:val="lt-LT"/>
              </w:rPr>
              <w:t>2.13.</w:t>
            </w:r>
          </w:p>
        </w:tc>
        <w:tc>
          <w:tcPr>
            <w:tcW w:w="6868" w:type="dxa"/>
          </w:tcPr>
          <w:p w14:paraId="2A49BE1D" w14:textId="3A603012" w:rsidR="00C44E22" w:rsidRPr="00AD0D1C" w:rsidRDefault="00C44E22" w:rsidP="00C12E32">
            <w:pPr>
              <w:rPr>
                <w:color w:val="000000"/>
                <w:sz w:val="22"/>
                <w:szCs w:val="22"/>
                <w:lang w:val="lt-LT"/>
              </w:rPr>
            </w:pPr>
            <w:r w:rsidRPr="00AD0D1C">
              <w:rPr>
                <w:color w:val="000000"/>
                <w:sz w:val="22"/>
                <w:szCs w:val="22"/>
                <w:lang w:val="lt-LT"/>
              </w:rPr>
              <w:t>dujų skaitiklis turi būti įtrauktas į komercinių atsiskaitymų apskaitos priemonių registrą.</w:t>
            </w:r>
          </w:p>
        </w:tc>
      </w:tr>
      <w:tr w:rsidR="00C44E22" w:rsidRPr="007C7245" w14:paraId="441C6BC1" w14:textId="77777777" w:rsidTr="00C12E32">
        <w:trPr>
          <w:trHeight w:val="225"/>
        </w:trPr>
        <w:tc>
          <w:tcPr>
            <w:tcW w:w="1129" w:type="dxa"/>
            <w:vAlign w:val="center"/>
          </w:tcPr>
          <w:p w14:paraId="2A866A70" w14:textId="65DB39CA" w:rsidR="00C44E22" w:rsidRPr="00AD0D1C" w:rsidRDefault="00C44E22" w:rsidP="00C12E32">
            <w:pPr>
              <w:jc w:val="center"/>
              <w:rPr>
                <w:color w:val="000000"/>
                <w:sz w:val="22"/>
                <w:szCs w:val="22"/>
                <w:lang w:val="lt-LT"/>
              </w:rPr>
            </w:pPr>
            <w:r w:rsidRPr="00AD0D1C">
              <w:rPr>
                <w:color w:val="000000"/>
                <w:sz w:val="22"/>
                <w:szCs w:val="22"/>
                <w:lang w:val="lt-LT"/>
              </w:rPr>
              <w:t>2.1</w:t>
            </w:r>
            <w:r>
              <w:rPr>
                <w:color w:val="000000"/>
                <w:sz w:val="22"/>
                <w:szCs w:val="22"/>
                <w:lang w:val="lt-LT"/>
              </w:rPr>
              <w:t>4</w:t>
            </w:r>
            <w:r w:rsidRPr="00AD0D1C">
              <w:rPr>
                <w:color w:val="000000"/>
                <w:sz w:val="22"/>
                <w:szCs w:val="22"/>
                <w:lang w:val="lt-LT"/>
              </w:rPr>
              <w:t>.</w:t>
            </w:r>
          </w:p>
        </w:tc>
        <w:tc>
          <w:tcPr>
            <w:tcW w:w="6868" w:type="dxa"/>
          </w:tcPr>
          <w:p w14:paraId="01AE116D" w14:textId="22D56F6A" w:rsidR="00C44E22" w:rsidRPr="00AD0D1C" w:rsidRDefault="00E40EAC" w:rsidP="00C12E32">
            <w:pPr>
              <w:rPr>
                <w:color w:val="000000"/>
                <w:sz w:val="22"/>
                <w:szCs w:val="22"/>
                <w:lang w:val="lt-LT"/>
              </w:rPr>
            </w:pPr>
            <w:r>
              <w:rPr>
                <w:color w:val="000000"/>
                <w:sz w:val="22"/>
                <w:szCs w:val="22"/>
                <w:lang w:val="lt-LT"/>
              </w:rPr>
              <w:t>Suspaustų dujų užpildymas turi vykti perkančiosios organizacijos buveinėje (Vasaros g. 6B, Marijampolė) arba Tiekėjas savo ištekliais organizuoja transporto priemonių užpildymą dujomis Marijampolės mieste</w:t>
            </w:r>
            <w:r w:rsidR="006F66A9">
              <w:rPr>
                <w:color w:val="000000"/>
                <w:sz w:val="22"/>
                <w:szCs w:val="22"/>
                <w:lang w:val="lt-LT"/>
              </w:rPr>
              <w:t xml:space="preserve"> laikantis 2.3 punkto sąlygų.</w:t>
            </w:r>
          </w:p>
        </w:tc>
      </w:tr>
      <w:tr w:rsidR="00C44E22" w:rsidRPr="007C7245" w14:paraId="3C7E1071" w14:textId="77777777" w:rsidTr="00C12E32">
        <w:trPr>
          <w:trHeight w:val="347"/>
        </w:trPr>
        <w:tc>
          <w:tcPr>
            <w:tcW w:w="1129" w:type="dxa"/>
            <w:vAlign w:val="center"/>
          </w:tcPr>
          <w:p w14:paraId="115E9D8A" w14:textId="60D8AE77" w:rsidR="00C44E22" w:rsidRPr="00AD0D1C" w:rsidRDefault="00C44E22" w:rsidP="00C12E32">
            <w:pPr>
              <w:jc w:val="center"/>
              <w:rPr>
                <w:color w:val="000000"/>
                <w:sz w:val="22"/>
                <w:szCs w:val="22"/>
                <w:lang w:val="lt-LT"/>
              </w:rPr>
            </w:pPr>
            <w:r w:rsidRPr="00AD0D1C">
              <w:rPr>
                <w:color w:val="000000"/>
                <w:sz w:val="22"/>
                <w:szCs w:val="22"/>
                <w:lang w:val="lt-LT"/>
              </w:rPr>
              <w:lastRenderedPageBreak/>
              <w:t>3.</w:t>
            </w:r>
          </w:p>
        </w:tc>
        <w:tc>
          <w:tcPr>
            <w:tcW w:w="6868" w:type="dxa"/>
          </w:tcPr>
          <w:p w14:paraId="75CE631D" w14:textId="58163197" w:rsidR="00C44E22" w:rsidRPr="00AD0D1C" w:rsidRDefault="00C44E22" w:rsidP="00C12E32">
            <w:pPr>
              <w:rPr>
                <w:color w:val="000000"/>
                <w:sz w:val="22"/>
                <w:szCs w:val="22"/>
                <w:lang w:val="lt-LT"/>
              </w:rPr>
            </w:pPr>
            <w:r w:rsidRPr="00AD0D1C">
              <w:rPr>
                <w:color w:val="000000"/>
                <w:sz w:val="22"/>
                <w:szCs w:val="22"/>
                <w:lang w:val="lt-LT"/>
              </w:rPr>
              <w:t>Tiekėjas savo sąskaita privalo nuolatos, atlikti įrangos aptarnavimo ir profilaktikos darbus.</w:t>
            </w:r>
          </w:p>
        </w:tc>
      </w:tr>
    </w:tbl>
    <w:p w14:paraId="36518897" w14:textId="77777777" w:rsidR="00E9138B" w:rsidRDefault="00E9138B"/>
    <w:sectPr w:rsidR="00E9138B" w:rsidSect="001D1843">
      <w:headerReference w:type="even" r:id="rId6"/>
      <w:headerReference w:type="default" r:id="rId7"/>
      <w:footerReference w:type="even" r:id="rId8"/>
      <w:footerReference w:type="default" r:id="rId9"/>
      <w:headerReference w:type="first" r:id="rId10"/>
      <w:footerReference w:type="firs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512E5" w14:textId="77777777" w:rsidR="0050758A" w:rsidRDefault="0050758A" w:rsidP="006F66A9">
      <w:r>
        <w:separator/>
      </w:r>
    </w:p>
  </w:endnote>
  <w:endnote w:type="continuationSeparator" w:id="0">
    <w:p w14:paraId="31CB263B" w14:textId="77777777" w:rsidR="0050758A" w:rsidRDefault="0050758A" w:rsidP="006F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8EA0" w14:textId="77777777" w:rsidR="00C12E32" w:rsidRDefault="00C12E3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3482" w14:textId="77777777" w:rsidR="00C12E32" w:rsidRDefault="00C12E3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3E622" w14:textId="77777777" w:rsidR="00C12E32" w:rsidRDefault="00C12E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F8E10" w14:textId="77777777" w:rsidR="0050758A" w:rsidRDefault="0050758A" w:rsidP="006F66A9">
      <w:r>
        <w:separator/>
      </w:r>
    </w:p>
  </w:footnote>
  <w:footnote w:type="continuationSeparator" w:id="0">
    <w:p w14:paraId="76510ADB" w14:textId="77777777" w:rsidR="0050758A" w:rsidRDefault="0050758A" w:rsidP="006F6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C522A" w14:textId="77777777" w:rsidR="00C12E32" w:rsidRDefault="00C12E3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06884" w14:textId="77777777" w:rsidR="00C12E32" w:rsidRPr="00C12E32" w:rsidRDefault="00C12E32" w:rsidP="00C12E32">
    <w:pPr>
      <w:keepNext/>
      <w:keepLines/>
      <w:pBdr>
        <w:bottom w:val="single" w:sz="4" w:space="2" w:color="ED7D31"/>
      </w:pBdr>
      <w:spacing w:before="360" w:after="120"/>
      <w:jc w:val="right"/>
      <w:outlineLvl w:val="0"/>
      <w:rPr>
        <w:rFonts w:eastAsia="Calibri Light"/>
        <w:color w:val="0D0D0D"/>
        <w:sz w:val="22"/>
        <w:szCs w:val="22"/>
        <w:lang w:val="lt-LT" w:eastAsia="lt-LT"/>
      </w:rPr>
    </w:pPr>
    <w:bookmarkStart w:id="0" w:name="_Toc202420883"/>
    <w:bookmarkStart w:id="1" w:name="_Hlk202420367"/>
    <w:r w:rsidRPr="00C12E32">
      <w:rPr>
        <w:rFonts w:eastAsia="Calibri Light"/>
        <w:color w:val="0D0D0D"/>
        <w:sz w:val="22"/>
        <w:szCs w:val="22"/>
        <w:lang w:val="lt-LT" w:eastAsia="lt-LT"/>
      </w:rPr>
      <w:t>Pirkimo sąlygų 2 priedas „Techninė specifikacija“</w:t>
    </w:r>
    <w:bookmarkEnd w:id="0"/>
  </w:p>
  <w:bookmarkEnd w:id="1"/>
  <w:p w14:paraId="2CFA62AA" w14:textId="77777777" w:rsidR="00C12E32" w:rsidRDefault="00C12E3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10D6" w14:textId="77777777" w:rsidR="00C12E32" w:rsidRDefault="00C12E3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E22"/>
    <w:rsid w:val="001D1843"/>
    <w:rsid w:val="003E5742"/>
    <w:rsid w:val="0050758A"/>
    <w:rsid w:val="006F66A9"/>
    <w:rsid w:val="00C12E32"/>
    <w:rsid w:val="00C44E22"/>
    <w:rsid w:val="00D85402"/>
    <w:rsid w:val="00DF6BAC"/>
    <w:rsid w:val="00E04B45"/>
    <w:rsid w:val="00E134AD"/>
    <w:rsid w:val="00E40EAC"/>
    <w:rsid w:val="00E913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CADAF"/>
  <w15:chartTrackingRefBased/>
  <w15:docId w15:val="{3E1C78F8-E5F3-44BF-A298-B1EA6143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4E22"/>
    <w:pPr>
      <w:spacing w:after="0" w:line="240" w:lineRule="auto"/>
    </w:pPr>
    <w:rPr>
      <w:rFonts w:ascii="Times New Roman" w:eastAsia="Times New Roman" w:hAnsi="Times New Roman" w:cs="Times New Roman"/>
      <w:kern w:val="0"/>
      <w:sz w:val="20"/>
      <w:szCs w:val="20"/>
      <w:lang w:val="ru-RU"/>
      <w14:ligatures w14:val="none"/>
    </w:rPr>
  </w:style>
  <w:style w:type="paragraph" w:styleId="Antrat1">
    <w:name w:val="heading 1"/>
    <w:basedOn w:val="prastasis"/>
    <w:next w:val="prastasis"/>
    <w:link w:val="Antrat1Diagrama"/>
    <w:uiPriority w:val="9"/>
    <w:qFormat/>
    <w:rsid w:val="00C44E2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C44E2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C44E2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C44E2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14:ligatures w14:val="standardContextual"/>
    </w:rPr>
  </w:style>
  <w:style w:type="paragraph" w:styleId="Antrat5">
    <w:name w:val="heading 5"/>
    <w:basedOn w:val="prastasis"/>
    <w:next w:val="prastasis"/>
    <w:link w:val="Antrat5Diagrama"/>
    <w:uiPriority w:val="9"/>
    <w:semiHidden/>
    <w:unhideWhenUsed/>
    <w:qFormat/>
    <w:rsid w:val="00C44E2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14:ligatures w14:val="standardContextual"/>
    </w:rPr>
  </w:style>
  <w:style w:type="paragraph" w:styleId="Antrat6">
    <w:name w:val="heading 6"/>
    <w:basedOn w:val="prastasis"/>
    <w:next w:val="prastasis"/>
    <w:link w:val="Antrat6Diagrama"/>
    <w:uiPriority w:val="9"/>
    <w:semiHidden/>
    <w:unhideWhenUsed/>
    <w:qFormat/>
    <w:rsid w:val="00C44E2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Antrat7">
    <w:name w:val="heading 7"/>
    <w:basedOn w:val="prastasis"/>
    <w:next w:val="prastasis"/>
    <w:link w:val="Antrat7Diagrama"/>
    <w:uiPriority w:val="9"/>
    <w:semiHidden/>
    <w:unhideWhenUsed/>
    <w:qFormat/>
    <w:rsid w:val="00C44E2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Antrat8">
    <w:name w:val="heading 8"/>
    <w:basedOn w:val="prastasis"/>
    <w:next w:val="prastasis"/>
    <w:link w:val="Antrat8Diagrama"/>
    <w:uiPriority w:val="9"/>
    <w:semiHidden/>
    <w:unhideWhenUsed/>
    <w:qFormat/>
    <w:rsid w:val="00C44E2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Antrat9">
    <w:name w:val="heading 9"/>
    <w:basedOn w:val="prastasis"/>
    <w:next w:val="prastasis"/>
    <w:link w:val="Antrat9Diagrama"/>
    <w:uiPriority w:val="9"/>
    <w:semiHidden/>
    <w:unhideWhenUsed/>
    <w:qFormat/>
    <w:rsid w:val="00C44E2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4E2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44E2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44E2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44E2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44E2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44E2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4E2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4E2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4E2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4E22"/>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C44E2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4E2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C44E2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4E2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CitataDiagrama">
    <w:name w:val="Citata Diagrama"/>
    <w:basedOn w:val="Numatytasispastraiposriftas"/>
    <w:link w:val="Citata"/>
    <w:uiPriority w:val="29"/>
    <w:rsid w:val="00C44E22"/>
    <w:rPr>
      <w:i/>
      <w:iCs/>
      <w:color w:val="404040" w:themeColor="text1" w:themeTint="BF"/>
    </w:rPr>
  </w:style>
  <w:style w:type="paragraph" w:styleId="Sraopastraipa">
    <w:name w:val="List Paragraph"/>
    <w:basedOn w:val="prastasis"/>
    <w:uiPriority w:val="34"/>
    <w:qFormat/>
    <w:rsid w:val="00C44E22"/>
    <w:pPr>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styleId="Rykuspabraukimas">
    <w:name w:val="Intense Emphasis"/>
    <w:basedOn w:val="Numatytasispastraiposriftas"/>
    <w:uiPriority w:val="21"/>
    <w:qFormat/>
    <w:rsid w:val="00C44E22"/>
    <w:rPr>
      <w:i/>
      <w:iCs/>
      <w:color w:val="0F4761" w:themeColor="accent1" w:themeShade="BF"/>
    </w:rPr>
  </w:style>
  <w:style w:type="paragraph" w:styleId="Iskirtacitata">
    <w:name w:val="Intense Quote"/>
    <w:basedOn w:val="prastasis"/>
    <w:next w:val="prastasis"/>
    <w:link w:val="IskirtacitataDiagrama"/>
    <w:uiPriority w:val="30"/>
    <w:qFormat/>
    <w:rsid w:val="00C44E2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C44E22"/>
    <w:rPr>
      <w:i/>
      <w:iCs/>
      <w:color w:val="0F4761" w:themeColor="accent1" w:themeShade="BF"/>
    </w:rPr>
  </w:style>
  <w:style w:type="character" w:styleId="Rykinuoroda">
    <w:name w:val="Intense Reference"/>
    <w:basedOn w:val="Numatytasispastraiposriftas"/>
    <w:uiPriority w:val="32"/>
    <w:qFormat/>
    <w:rsid w:val="00C44E22"/>
    <w:rPr>
      <w:b/>
      <w:bCs/>
      <w:smallCaps/>
      <w:color w:val="0F4761" w:themeColor="accent1" w:themeShade="BF"/>
      <w:spacing w:val="5"/>
    </w:rPr>
  </w:style>
  <w:style w:type="paragraph" w:styleId="Antrats">
    <w:name w:val="header"/>
    <w:basedOn w:val="prastasis"/>
    <w:link w:val="AntratsDiagrama"/>
    <w:uiPriority w:val="99"/>
    <w:unhideWhenUsed/>
    <w:rsid w:val="006F66A9"/>
    <w:pPr>
      <w:tabs>
        <w:tab w:val="center" w:pos="4819"/>
        <w:tab w:val="right" w:pos="9638"/>
      </w:tabs>
    </w:pPr>
  </w:style>
  <w:style w:type="character" w:customStyle="1" w:styleId="AntratsDiagrama">
    <w:name w:val="Antraštės Diagrama"/>
    <w:basedOn w:val="Numatytasispastraiposriftas"/>
    <w:link w:val="Antrats"/>
    <w:uiPriority w:val="99"/>
    <w:rsid w:val="006F66A9"/>
    <w:rPr>
      <w:rFonts w:ascii="Times New Roman" w:eastAsia="Times New Roman" w:hAnsi="Times New Roman" w:cs="Times New Roman"/>
      <w:kern w:val="0"/>
      <w:sz w:val="20"/>
      <w:szCs w:val="20"/>
      <w:lang w:val="ru-RU"/>
      <w14:ligatures w14:val="none"/>
    </w:rPr>
  </w:style>
  <w:style w:type="paragraph" w:styleId="Porat">
    <w:name w:val="footer"/>
    <w:basedOn w:val="prastasis"/>
    <w:link w:val="PoratDiagrama"/>
    <w:uiPriority w:val="99"/>
    <w:unhideWhenUsed/>
    <w:rsid w:val="006F66A9"/>
    <w:pPr>
      <w:tabs>
        <w:tab w:val="center" w:pos="4819"/>
        <w:tab w:val="right" w:pos="9638"/>
      </w:tabs>
    </w:pPr>
  </w:style>
  <w:style w:type="character" w:customStyle="1" w:styleId="PoratDiagrama">
    <w:name w:val="Poraštė Diagrama"/>
    <w:basedOn w:val="Numatytasispastraiposriftas"/>
    <w:link w:val="Porat"/>
    <w:uiPriority w:val="99"/>
    <w:rsid w:val="006F66A9"/>
    <w:rPr>
      <w:rFonts w:ascii="Times New Roman" w:eastAsia="Times New Roman" w:hAnsi="Times New Roman" w:cs="Times New Roman"/>
      <w:kern w:val="0"/>
      <w:sz w:val="20"/>
      <w:szCs w:val="2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1894</Words>
  <Characters>1080</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Dobrovolskis</dc:creator>
  <cp:keywords/>
  <dc:description/>
  <cp:lastModifiedBy>Robertas Dobrovolskis</cp:lastModifiedBy>
  <cp:revision>3</cp:revision>
  <dcterms:created xsi:type="dcterms:W3CDTF">2025-11-03T07:44:00Z</dcterms:created>
  <dcterms:modified xsi:type="dcterms:W3CDTF">2025-11-17T09:47:00Z</dcterms:modified>
</cp:coreProperties>
</file>