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7FA9B6C8" w:rsidR="004A5BDE" w:rsidRPr="002400A8" w:rsidRDefault="00B86484" w:rsidP="00B86484">
      <w:pPr>
        <w:tabs>
          <w:tab w:val="left" w:pos="8137"/>
        </w:tabs>
        <w:spacing w:after="0" w:line="240" w:lineRule="auto"/>
        <w:jc w:val="center"/>
        <w:rPr>
          <w:rFonts w:ascii="Arial" w:eastAsia="Calibri" w:hAnsi="Arial" w:cs="Arial"/>
          <w:b/>
          <w:bCs/>
        </w:rPr>
      </w:pPr>
      <w:r w:rsidRPr="002400A8">
        <w:rPr>
          <w:rFonts w:ascii="Arial" w:hAnsi="Arial" w:cs="Arial"/>
          <w:color w:val="000000"/>
          <w:shd w:val="clear" w:color="auto" w:fill="FFFFFF"/>
        </w:rPr>
        <w:br/>
      </w:r>
    </w:p>
    <w:p w14:paraId="4DB5964D" w14:textId="77777777" w:rsidR="004A0C48" w:rsidRPr="002400A8" w:rsidRDefault="004A0C48" w:rsidP="004A0C48">
      <w:pPr>
        <w:tabs>
          <w:tab w:val="left" w:pos="8137"/>
        </w:tabs>
        <w:spacing w:after="0" w:line="240" w:lineRule="auto"/>
        <w:ind w:firstLine="851"/>
        <w:jc w:val="center"/>
        <w:rPr>
          <w:rFonts w:ascii="Arial" w:eastAsia="Calibri" w:hAnsi="Arial" w:cs="Arial"/>
          <w:b/>
          <w:bCs/>
        </w:rPr>
      </w:pPr>
      <w:r w:rsidRPr="002400A8">
        <w:rPr>
          <w:rFonts w:ascii="Arial" w:eastAsia="Calibri" w:hAnsi="Arial" w:cs="Arial"/>
          <w:b/>
          <w:bCs/>
        </w:rPr>
        <w:t>TECHNINĖ SPECIFIKACIJA</w:t>
      </w:r>
    </w:p>
    <w:p w14:paraId="4A53F7D7" w14:textId="77777777" w:rsidR="004A0C48" w:rsidRPr="002400A8"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2400A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400A8">
        <w:rPr>
          <w:rFonts w:ascii="Arial" w:eastAsia="Calibri" w:hAnsi="Arial" w:cs="Arial"/>
          <w:b/>
        </w:rPr>
        <w:t>SĄVOKOS IR SUTRUMPINIMAI</w:t>
      </w:r>
      <w:r w:rsidR="00B12E41" w:rsidRPr="002400A8">
        <w:rPr>
          <w:rFonts w:ascii="Arial" w:eastAsia="Calibri" w:hAnsi="Arial" w:cs="Arial"/>
          <w:b/>
        </w:rPr>
        <w:t>/ BENDRA INFORMACIJA</w:t>
      </w:r>
    </w:p>
    <w:p w14:paraId="4E75050A" w14:textId="7C94684E" w:rsidR="004A0C48" w:rsidRPr="002400A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2400A8">
        <w:rPr>
          <w:rFonts w:ascii="Arial" w:eastAsia="Calibri" w:hAnsi="Arial" w:cs="Arial"/>
          <w:b/>
        </w:rPr>
        <w:t>Pirkėjas / P</w:t>
      </w:r>
      <w:r w:rsidR="00682323" w:rsidRPr="002400A8">
        <w:rPr>
          <w:rFonts w:ascii="Arial" w:eastAsia="Calibri" w:hAnsi="Arial" w:cs="Arial"/>
          <w:b/>
        </w:rPr>
        <w:t>erkančioji organizacija</w:t>
      </w:r>
      <w:r w:rsidRPr="002400A8">
        <w:rPr>
          <w:rFonts w:ascii="Arial" w:eastAsia="Calibri" w:hAnsi="Arial" w:cs="Arial"/>
          <w:b/>
        </w:rPr>
        <w:t xml:space="preserve"> – </w:t>
      </w:r>
      <w:r w:rsidR="00B06A26" w:rsidRPr="002400A8">
        <w:rPr>
          <w:rFonts w:ascii="Arial" w:eastAsia="Calibri" w:hAnsi="Arial" w:cs="Arial"/>
          <w:b/>
        </w:rPr>
        <w:t>Vilniaus universitetas</w:t>
      </w:r>
      <w:r w:rsidR="0074206A" w:rsidRPr="002400A8">
        <w:rPr>
          <w:rFonts w:ascii="Arial" w:eastAsia="Calibri" w:hAnsi="Arial" w:cs="Arial"/>
          <w:b/>
        </w:rPr>
        <w:t>.</w:t>
      </w:r>
    </w:p>
    <w:p w14:paraId="7A4F4046" w14:textId="77777777" w:rsidR="004A0C48" w:rsidRPr="002400A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2400A8">
        <w:rPr>
          <w:rFonts w:ascii="Arial" w:eastAsia="Calibri" w:hAnsi="Arial" w:cs="Arial"/>
          <w:b/>
          <w:bCs/>
        </w:rPr>
        <w:t>Tiekėjas</w:t>
      </w:r>
      <w:r w:rsidRPr="002400A8">
        <w:rPr>
          <w:rFonts w:ascii="Arial" w:eastAsia="Calibri" w:hAnsi="Arial" w:cs="Arial"/>
          <w:bCs/>
        </w:rPr>
        <w:t xml:space="preserve"> –</w:t>
      </w:r>
      <w:r w:rsidR="00F83FAA" w:rsidRPr="002400A8">
        <w:rPr>
          <w:rFonts w:ascii="Arial" w:eastAsia="Calibri" w:hAnsi="Arial" w:cs="Arial"/>
          <w:bCs/>
        </w:rPr>
        <w:t xml:space="preserve"> </w:t>
      </w:r>
      <w:r w:rsidR="009A4D65" w:rsidRPr="002400A8">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2400A8">
        <w:rPr>
          <w:rFonts w:ascii="Arial" w:eastAsia="Calibri" w:hAnsi="Arial" w:cs="Arial"/>
        </w:rPr>
        <w:t>su kuriuo Pirkėjas sudarys šio Pirkimo</w:t>
      </w:r>
      <w:r w:rsidRPr="002400A8">
        <w:rPr>
          <w:rFonts w:ascii="Arial" w:eastAsia="Calibri" w:hAnsi="Arial" w:cs="Arial"/>
        </w:rPr>
        <w:t xml:space="preserve"> sutartį.</w:t>
      </w:r>
      <w:r w:rsidR="009A4D65" w:rsidRPr="002400A8">
        <w:rPr>
          <w:rFonts w:ascii="Arial" w:hAnsi="Arial" w:cs="Arial"/>
          <w:color w:val="000000"/>
        </w:rPr>
        <w:t xml:space="preserve"> </w:t>
      </w:r>
    </w:p>
    <w:p w14:paraId="0064A2D8" w14:textId="3173046F" w:rsidR="002C4223"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2400A8">
        <w:rPr>
          <w:rFonts w:ascii="Arial" w:eastAsia="Calibri" w:hAnsi="Arial" w:cs="Arial"/>
          <w:b/>
        </w:rPr>
        <w:t>Sutartis</w:t>
      </w:r>
      <w:r w:rsidRPr="002400A8">
        <w:rPr>
          <w:rFonts w:ascii="Arial" w:eastAsia="Calibri" w:hAnsi="Arial" w:cs="Arial"/>
        </w:rPr>
        <w:t xml:space="preserve"> – </w:t>
      </w:r>
      <w:r w:rsidR="009A4D65" w:rsidRPr="002400A8">
        <w:rPr>
          <w:rFonts w:ascii="Arial" w:eastAsia="Calibri" w:hAnsi="Arial" w:cs="Arial"/>
        </w:rPr>
        <w:t>P</w:t>
      </w:r>
      <w:r w:rsidRPr="002400A8">
        <w:rPr>
          <w:rFonts w:ascii="Arial" w:eastAsia="Calibri" w:hAnsi="Arial" w:cs="Arial"/>
        </w:rPr>
        <w:t>irkimo sutartis, sudaroma tarp Tiekėjo ir Pirkėjo dėl šio Pirkimo objekto.</w:t>
      </w:r>
    </w:p>
    <w:p w14:paraId="1442B024" w14:textId="1F0F3EFC" w:rsidR="00830F97" w:rsidRPr="002400A8" w:rsidRDefault="00830F97" w:rsidP="002C4223">
      <w:pPr>
        <w:numPr>
          <w:ilvl w:val="1"/>
          <w:numId w:val="1"/>
        </w:numPr>
        <w:tabs>
          <w:tab w:val="left" w:pos="567"/>
          <w:tab w:val="left" w:pos="851"/>
        </w:tabs>
        <w:spacing w:after="0" w:line="240" w:lineRule="auto"/>
        <w:ind w:left="0" w:firstLine="0"/>
        <w:jc w:val="both"/>
        <w:rPr>
          <w:rFonts w:ascii="Arial" w:eastAsia="Calibri" w:hAnsi="Arial" w:cs="Arial"/>
        </w:rPr>
      </w:pPr>
      <w:r w:rsidRPr="00830F97">
        <w:rPr>
          <w:rFonts w:ascii="Arial" w:eastAsia="Calibri" w:hAnsi="Arial" w:cs="Arial"/>
          <w:b/>
          <w:bCs/>
        </w:rPr>
        <w:t>Projektas</w:t>
      </w:r>
      <w:r w:rsidRPr="00830F97">
        <w:rPr>
          <w:rFonts w:ascii="Arial" w:eastAsia="Calibri" w:hAnsi="Arial" w:cs="Arial"/>
        </w:rPr>
        <w:t xml:space="preserve"> – Vilniaus universitetas, siekdamas įgyvendinti projektą, Nr. 10-064-P-0001 „Specializuotos žvaigždžių laboratorijos Vilniaus metodiniame STEAM centre plėtra“, numato įsigyti toliau įvardintas prekes.</w:t>
      </w:r>
    </w:p>
    <w:p w14:paraId="2FC7E4C1" w14:textId="77777777" w:rsidR="004A0C48" w:rsidRPr="002400A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400A8">
        <w:rPr>
          <w:rFonts w:ascii="Arial" w:eastAsia="Calibri" w:hAnsi="Arial" w:cs="Arial"/>
          <w:b/>
          <w:shd w:val="clear" w:color="auto" w:fill="D9D9D9" w:themeFill="background1" w:themeFillShade="D9"/>
        </w:rPr>
        <w:t>PIRKIMO OBJEKTAS</w:t>
      </w:r>
    </w:p>
    <w:p w14:paraId="229F8101" w14:textId="29BF3CF3" w:rsidR="004A0C48" w:rsidRPr="002400A8"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2400A8">
        <w:rPr>
          <w:rFonts w:ascii="Arial" w:hAnsi="Arial" w:cs="Arial"/>
        </w:rPr>
        <w:t>Pirkimo objektas –</w:t>
      </w:r>
      <w:r w:rsidR="002C30E7">
        <w:rPr>
          <w:rFonts w:ascii="Arial" w:hAnsi="Arial" w:cs="Arial"/>
        </w:rPr>
        <w:t xml:space="preserve"> </w:t>
      </w:r>
      <w:r w:rsidR="00830F97" w:rsidRPr="00830F97">
        <w:rPr>
          <w:rFonts w:ascii="Arial" w:hAnsi="Arial" w:cs="Arial"/>
        </w:rPr>
        <w:t>operatoriaus darbo stalas su spintele</w:t>
      </w:r>
      <w:r w:rsidR="009A680B" w:rsidRPr="002400A8">
        <w:rPr>
          <w:rFonts w:ascii="Arial" w:hAnsi="Arial" w:cs="Arial"/>
        </w:rPr>
        <w:t xml:space="preserve"> </w:t>
      </w:r>
      <w:r w:rsidRPr="002400A8">
        <w:rPr>
          <w:rFonts w:ascii="Arial" w:hAnsi="Arial" w:cs="Arial"/>
        </w:rPr>
        <w:t>(toliau – prekės).</w:t>
      </w:r>
    </w:p>
    <w:p w14:paraId="5C24D0C3" w14:textId="03C2E8D8" w:rsidR="004A0C48" w:rsidRPr="002400A8"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2400A8">
        <w:rPr>
          <w:rFonts w:ascii="Arial" w:hAnsi="Arial" w:cs="Arial"/>
        </w:rPr>
        <w:t>Pirkimo objektas į pirkimo objekto dalis neskaidomas</w:t>
      </w:r>
      <w:r w:rsidR="00212FAB" w:rsidRPr="002400A8">
        <w:rPr>
          <w:rFonts w:ascii="Arial" w:hAnsi="Arial" w:cs="Arial"/>
        </w:rPr>
        <w:t>, todėl Tiekėjas privalo teikti pasiūlymą visai žemiau nurodytai pirkimo objekto apimčiai</w:t>
      </w:r>
      <w:r w:rsidR="002275B0">
        <w:rPr>
          <w:rFonts w:ascii="Arial" w:hAnsi="Arial" w:cs="Arial"/>
        </w:rPr>
        <w:t xml:space="preserve"> ir (ar) kiekiui</w:t>
      </w:r>
      <w:r w:rsidR="00212FAB" w:rsidRPr="002400A8">
        <w:rPr>
          <w:rFonts w:ascii="Arial" w:hAnsi="Arial" w:cs="Arial"/>
        </w:rPr>
        <w:t>.</w:t>
      </w:r>
    </w:p>
    <w:p w14:paraId="46337BFD" w14:textId="2A001495" w:rsidR="003D4EE1" w:rsidRPr="002400A8" w:rsidRDefault="00C73886" w:rsidP="007143F0">
      <w:pPr>
        <w:pStyle w:val="ListParagraph"/>
        <w:numPr>
          <w:ilvl w:val="1"/>
          <w:numId w:val="3"/>
        </w:numPr>
        <w:tabs>
          <w:tab w:val="left" w:pos="426"/>
        </w:tabs>
        <w:spacing w:after="0" w:line="240" w:lineRule="auto"/>
        <w:ind w:left="0" w:firstLine="0"/>
        <w:jc w:val="both"/>
        <w:rPr>
          <w:rFonts w:ascii="Arial" w:hAnsi="Arial" w:cs="Arial"/>
        </w:rPr>
      </w:pPr>
      <w:r w:rsidRPr="002400A8">
        <w:rPr>
          <w:rFonts w:ascii="Arial" w:hAnsi="Arial" w:cs="Arial"/>
        </w:rPr>
        <w:t>Prekių pristatymo</w:t>
      </w:r>
      <w:r w:rsidR="003D4EE1" w:rsidRPr="002400A8">
        <w:rPr>
          <w:rFonts w:ascii="Arial" w:hAnsi="Arial" w:cs="Arial"/>
        </w:rPr>
        <w:t xml:space="preserve"> vieta</w:t>
      </w:r>
      <w:r w:rsidR="004352AE" w:rsidRPr="002400A8">
        <w:rPr>
          <w:rFonts w:ascii="Arial" w:hAnsi="Arial" w:cs="Arial"/>
        </w:rPr>
        <w:t>:</w:t>
      </w:r>
      <w:r w:rsidR="001D1A00" w:rsidRPr="002400A8">
        <w:rPr>
          <w:rFonts w:ascii="Arial" w:hAnsi="Arial" w:cs="Arial"/>
        </w:rPr>
        <w:t xml:space="preserve"> </w:t>
      </w:r>
      <w:r w:rsidR="002C30E7" w:rsidRPr="002C30E7">
        <w:rPr>
          <w:rFonts w:ascii="Arial" w:hAnsi="Arial" w:cs="Arial"/>
        </w:rPr>
        <w:t>Vilniaus universiteto Metodinis STEAM ugdymo centras</w:t>
      </w:r>
      <w:r w:rsidR="007143F0" w:rsidRPr="002400A8">
        <w:rPr>
          <w:rFonts w:ascii="Arial" w:hAnsi="Arial" w:cs="Arial"/>
        </w:rPr>
        <w:t xml:space="preserve">, </w:t>
      </w:r>
      <w:r w:rsidR="002C30E7" w:rsidRPr="002C30E7">
        <w:rPr>
          <w:rFonts w:ascii="Arial" w:hAnsi="Arial" w:cs="Arial"/>
        </w:rPr>
        <w:t>Konstitucijos pr. 12A</w:t>
      </w:r>
      <w:r w:rsidR="007143F0" w:rsidRPr="002400A8">
        <w:rPr>
          <w:rFonts w:ascii="Arial" w:hAnsi="Arial" w:cs="Arial"/>
        </w:rPr>
        <w:t>, LT-</w:t>
      </w:r>
      <w:r w:rsidR="002C30E7" w:rsidRPr="002C30E7">
        <w:t xml:space="preserve"> </w:t>
      </w:r>
      <w:r w:rsidR="002C30E7" w:rsidRPr="002C30E7">
        <w:rPr>
          <w:rFonts w:ascii="Arial" w:hAnsi="Arial" w:cs="Arial"/>
        </w:rPr>
        <w:t xml:space="preserve">09309 </w:t>
      </w:r>
      <w:r w:rsidR="007143F0" w:rsidRPr="002400A8">
        <w:rPr>
          <w:rFonts w:ascii="Arial" w:hAnsi="Arial" w:cs="Arial"/>
        </w:rPr>
        <w:t>Vilnius.</w:t>
      </w:r>
    </w:p>
    <w:p w14:paraId="6AD560C6" w14:textId="53719783" w:rsidR="00046A16" w:rsidRPr="002400A8" w:rsidRDefault="00DC79E6" w:rsidP="004A0C48">
      <w:pPr>
        <w:pStyle w:val="ListParagraph"/>
        <w:numPr>
          <w:ilvl w:val="1"/>
          <w:numId w:val="3"/>
        </w:numPr>
        <w:tabs>
          <w:tab w:val="left" w:pos="426"/>
        </w:tabs>
        <w:spacing w:after="0" w:line="240" w:lineRule="auto"/>
        <w:ind w:left="0" w:firstLine="0"/>
        <w:jc w:val="both"/>
        <w:rPr>
          <w:rFonts w:ascii="Arial" w:hAnsi="Arial" w:cs="Arial"/>
          <w:i/>
          <w:color w:val="FF0000"/>
        </w:rPr>
      </w:pPr>
      <w:r w:rsidRPr="002400A8">
        <w:rPr>
          <w:rFonts w:ascii="Arial" w:hAnsi="Arial" w:cs="Arial"/>
        </w:rPr>
        <w:t xml:space="preserve"> Prekių</w:t>
      </w:r>
      <w:r w:rsidR="00245CBF" w:rsidRPr="002400A8">
        <w:rPr>
          <w:rFonts w:ascii="Arial" w:hAnsi="Arial" w:cs="Arial"/>
        </w:rPr>
        <w:t xml:space="preserve"> kiekiai</w:t>
      </w:r>
      <w:r w:rsidR="003646F5">
        <w:rPr>
          <w:rFonts w:ascii="Arial" w:hAnsi="Arial" w:cs="Arial"/>
        </w:rPr>
        <w:t xml:space="preserve"> ir (ar) apimtys</w:t>
      </w:r>
      <w:r w:rsidR="00A06E84" w:rsidRPr="002400A8">
        <w:rPr>
          <w:rFonts w:ascii="Arial" w:hAnsi="Arial" w:cs="Arial"/>
        </w:rPr>
        <w:t>:</w:t>
      </w:r>
    </w:p>
    <w:p w14:paraId="555B0A83" w14:textId="77777777" w:rsidR="004A0C48" w:rsidRPr="002400A8" w:rsidRDefault="00CC3B99" w:rsidP="004A0C48">
      <w:pPr>
        <w:spacing w:after="0" w:line="240" w:lineRule="auto"/>
        <w:jc w:val="right"/>
        <w:rPr>
          <w:rFonts w:ascii="Arial" w:hAnsi="Arial" w:cs="Arial"/>
          <w:b/>
        </w:rPr>
      </w:pPr>
      <w:r w:rsidRPr="002400A8">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8"/>
        <w:gridCol w:w="2527"/>
        <w:gridCol w:w="1527"/>
        <w:gridCol w:w="1378"/>
        <w:gridCol w:w="1329"/>
        <w:gridCol w:w="1659"/>
      </w:tblGrid>
      <w:tr w:rsidR="0043073D" w:rsidRPr="002400A8" w14:paraId="6DB4DB1C" w14:textId="77777777" w:rsidTr="1924CA17">
        <w:trPr>
          <w:trHeight w:val="20"/>
          <w:jc w:val="center"/>
        </w:trPr>
        <w:tc>
          <w:tcPr>
            <w:tcW w:w="1208" w:type="dxa"/>
            <w:vMerge w:val="restart"/>
            <w:vAlign w:val="center"/>
          </w:tcPr>
          <w:p w14:paraId="20AF3209" w14:textId="77777777" w:rsidR="004D7ECA" w:rsidRPr="002400A8" w:rsidRDefault="004D7ECA" w:rsidP="00890D1D">
            <w:pPr>
              <w:jc w:val="center"/>
              <w:rPr>
                <w:rFonts w:ascii="Arial" w:hAnsi="Arial" w:cs="Arial"/>
                <w:b/>
                <w:sz w:val="22"/>
                <w:szCs w:val="22"/>
              </w:rPr>
            </w:pPr>
            <w:r w:rsidRPr="002400A8">
              <w:rPr>
                <w:rFonts w:ascii="Arial" w:hAnsi="Arial" w:cs="Arial"/>
                <w:b/>
                <w:sz w:val="22"/>
                <w:szCs w:val="22"/>
              </w:rPr>
              <w:t>Eil. Nr.</w:t>
            </w:r>
          </w:p>
        </w:tc>
        <w:tc>
          <w:tcPr>
            <w:tcW w:w="2527" w:type="dxa"/>
            <w:vMerge w:val="restart"/>
            <w:vAlign w:val="center"/>
          </w:tcPr>
          <w:p w14:paraId="7C1F5311" w14:textId="77777777" w:rsidR="004D7ECA" w:rsidRPr="002400A8" w:rsidRDefault="004D7ECA" w:rsidP="00890D1D">
            <w:pPr>
              <w:jc w:val="center"/>
              <w:rPr>
                <w:rFonts w:ascii="Arial" w:hAnsi="Arial" w:cs="Arial"/>
                <w:b/>
                <w:sz w:val="22"/>
                <w:szCs w:val="22"/>
              </w:rPr>
            </w:pPr>
            <w:r w:rsidRPr="002400A8">
              <w:rPr>
                <w:rFonts w:ascii="Arial" w:hAnsi="Arial" w:cs="Arial"/>
                <w:b/>
                <w:sz w:val="22"/>
                <w:szCs w:val="22"/>
              </w:rPr>
              <w:t>Prekės pavadinimas</w:t>
            </w:r>
          </w:p>
        </w:tc>
        <w:tc>
          <w:tcPr>
            <w:tcW w:w="1527" w:type="dxa"/>
            <w:vMerge w:val="restart"/>
            <w:vAlign w:val="center"/>
          </w:tcPr>
          <w:p w14:paraId="58C29E2C" w14:textId="17D98C45" w:rsidR="004D7ECA" w:rsidRPr="002400A8" w:rsidRDefault="004D7ECA" w:rsidP="00890D1D">
            <w:pPr>
              <w:jc w:val="center"/>
              <w:rPr>
                <w:rFonts w:ascii="Arial" w:hAnsi="Arial" w:cs="Arial"/>
                <w:b/>
                <w:sz w:val="22"/>
                <w:szCs w:val="22"/>
              </w:rPr>
            </w:pPr>
            <w:r w:rsidRPr="002400A8">
              <w:rPr>
                <w:rFonts w:ascii="Arial" w:hAnsi="Arial" w:cs="Arial"/>
                <w:b/>
                <w:sz w:val="22"/>
                <w:szCs w:val="22"/>
              </w:rPr>
              <w:t xml:space="preserve">Prekių </w:t>
            </w:r>
            <w:r w:rsidR="004A5BDE" w:rsidRPr="002400A8">
              <w:rPr>
                <w:rFonts w:ascii="Arial" w:hAnsi="Arial" w:cs="Arial"/>
                <w:b/>
                <w:sz w:val="22"/>
                <w:szCs w:val="22"/>
              </w:rPr>
              <w:t xml:space="preserve">kiekis </w:t>
            </w:r>
            <w:r w:rsidR="00F03619" w:rsidRPr="002400A8">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2400A8" w:rsidRDefault="004D7ECA" w:rsidP="00890D1D">
            <w:pPr>
              <w:jc w:val="center"/>
              <w:rPr>
                <w:rFonts w:ascii="Arial" w:hAnsi="Arial" w:cs="Arial"/>
                <w:b/>
                <w:sz w:val="22"/>
                <w:szCs w:val="22"/>
              </w:rPr>
            </w:pPr>
            <w:r w:rsidRPr="002400A8">
              <w:rPr>
                <w:rFonts w:ascii="Arial" w:hAnsi="Arial" w:cs="Arial"/>
                <w:b/>
                <w:sz w:val="22"/>
                <w:szCs w:val="22"/>
              </w:rPr>
              <w:t>Užsakymų teikimas</w:t>
            </w:r>
          </w:p>
        </w:tc>
        <w:tc>
          <w:tcPr>
            <w:tcW w:w="1659" w:type="dxa"/>
            <w:vMerge w:val="restart"/>
            <w:vAlign w:val="center"/>
          </w:tcPr>
          <w:p w14:paraId="17A9F1FB" w14:textId="4FC2B66B" w:rsidR="004D7ECA" w:rsidRPr="002400A8" w:rsidRDefault="004D7ECA" w:rsidP="00890D1D">
            <w:pPr>
              <w:jc w:val="center"/>
              <w:rPr>
                <w:rFonts w:ascii="Arial" w:hAnsi="Arial" w:cs="Arial"/>
                <w:b/>
                <w:sz w:val="22"/>
                <w:szCs w:val="22"/>
              </w:rPr>
            </w:pPr>
            <w:r w:rsidRPr="002400A8">
              <w:rPr>
                <w:rFonts w:ascii="Arial" w:hAnsi="Arial" w:cs="Arial"/>
                <w:b/>
                <w:sz w:val="22"/>
                <w:szCs w:val="22"/>
              </w:rPr>
              <w:t>Prekių pristatymo terminas nuo Sutarties įsigaliojimo (k.</w:t>
            </w:r>
            <w:r w:rsidR="00F16255" w:rsidRPr="002400A8">
              <w:rPr>
                <w:rFonts w:ascii="Arial" w:hAnsi="Arial" w:cs="Arial"/>
                <w:b/>
                <w:sz w:val="22"/>
                <w:szCs w:val="22"/>
              </w:rPr>
              <w:t xml:space="preserve"> </w:t>
            </w:r>
            <w:r w:rsidRPr="002400A8">
              <w:rPr>
                <w:rFonts w:ascii="Arial" w:hAnsi="Arial" w:cs="Arial"/>
                <w:b/>
                <w:sz w:val="22"/>
                <w:szCs w:val="22"/>
              </w:rPr>
              <w:t>d.)</w:t>
            </w:r>
          </w:p>
        </w:tc>
      </w:tr>
      <w:tr w:rsidR="0043073D" w:rsidRPr="002400A8" w14:paraId="05E1D5A6" w14:textId="77777777" w:rsidTr="1924CA17">
        <w:trPr>
          <w:trHeight w:val="2044"/>
          <w:jc w:val="center"/>
        </w:trPr>
        <w:tc>
          <w:tcPr>
            <w:tcW w:w="1208" w:type="dxa"/>
            <w:vMerge/>
            <w:vAlign w:val="center"/>
          </w:tcPr>
          <w:p w14:paraId="4E46B277" w14:textId="77777777" w:rsidR="004D7ECA" w:rsidRPr="002400A8" w:rsidRDefault="004D7ECA" w:rsidP="00890D1D">
            <w:pPr>
              <w:jc w:val="center"/>
              <w:rPr>
                <w:rFonts w:ascii="Arial" w:hAnsi="Arial" w:cs="Arial"/>
                <w:sz w:val="22"/>
                <w:szCs w:val="22"/>
              </w:rPr>
            </w:pPr>
          </w:p>
        </w:tc>
        <w:tc>
          <w:tcPr>
            <w:tcW w:w="2527" w:type="dxa"/>
            <w:vMerge/>
            <w:vAlign w:val="center"/>
          </w:tcPr>
          <w:p w14:paraId="09394B49" w14:textId="77777777" w:rsidR="004D7ECA" w:rsidRPr="002400A8" w:rsidRDefault="004D7ECA" w:rsidP="00890D1D">
            <w:pPr>
              <w:jc w:val="center"/>
              <w:rPr>
                <w:rFonts w:ascii="Arial" w:hAnsi="Arial" w:cs="Arial"/>
                <w:sz w:val="22"/>
                <w:szCs w:val="22"/>
              </w:rPr>
            </w:pPr>
          </w:p>
        </w:tc>
        <w:tc>
          <w:tcPr>
            <w:tcW w:w="1527" w:type="dxa"/>
            <w:vMerge/>
            <w:vAlign w:val="center"/>
          </w:tcPr>
          <w:p w14:paraId="7609F101" w14:textId="77777777" w:rsidR="004D7ECA" w:rsidRPr="002400A8"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6BAFD269" w:rsidR="004D7ECA" w:rsidRPr="002400A8" w:rsidRDefault="004D7ECA" w:rsidP="00DC79E6">
            <w:pPr>
              <w:jc w:val="center"/>
              <w:rPr>
                <w:rFonts w:ascii="Arial" w:hAnsi="Arial" w:cs="Arial"/>
                <w:b/>
                <w:sz w:val="22"/>
                <w:szCs w:val="22"/>
              </w:rPr>
            </w:pPr>
            <w:r w:rsidRPr="002400A8">
              <w:rPr>
                <w:rFonts w:ascii="Arial" w:hAnsi="Arial" w:cs="Arial"/>
                <w:b/>
              </w:rPr>
              <w:t>Taip</w:t>
            </w:r>
            <w:r w:rsidR="00094A35" w:rsidRPr="002400A8">
              <w:rPr>
                <w:rFonts w:ascii="Arial" w:hAnsi="Arial" w:cs="Arial"/>
                <w:b/>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5328043F" w:rsidR="004D7ECA" w:rsidRPr="002400A8" w:rsidRDefault="004D7ECA" w:rsidP="00094A35">
            <w:pPr>
              <w:jc w:val="center"/>
              <w:rPr>
                <w:rFonts w:ascii="Arial" w:hAnsi="Arial" w:cs="Arial"/>
                <w:b/>
                <w:sz w:val="22"/>
                <w:szCs w:val="22"/>
              </w:rPr>
            </w:pPr>
            <w:r w:rsidRPr="002400A8">
              <w:rPr>
                <w:rFonts w:ascii="Arial" w:hAnsi="Arial" w:cs="Arial"/>
                <w:b/>
              </w:rPr>
              <w:t>Ne</w:t>
            </w:r>
            <w:r w:rsidR="00094A35" w:rsidRPr="002400A8">
              <w:rPr>
                <w:rFonts w:ascii="Arial" w:hAnsi="Arial" w:cs="Arial"/>
                <w:b/>
              </w:rPr>
              <w:t xml:space="preserve"> (žymėti, jei </w:t>
            </w:r>
            <w:r w:rsidR="0043073D" w:rsidRPr="002400A8">
              <w:rPr>
                <w:rFonts w:ascii="Arial" w:hAnsi="Arial" w:cs="Arial"/>
                <w:b/>
              </w:rPr>
              <w:t>nurodytu laiku bus pristatytas visas perkamas prekių kiekis</w:t>
            </w:r>
            <w:r w:rsidR="00094A35" w:rsidRPr="002400A8">
              <w:rPr>
                <w:rFonts w:ascii="Arial" w:hAnsi="Arial" w:cs="Arial"/>
                <w:b/>
              </w:rPr>
              <w:t>)</w:t>
            </w:r>
          </w:p>
        </w:tc>
        <w:tc>
          <w:tcPr>
            <w:tcW w:w="1659" w:type="dxa"/>
            <w:vMerge/>
            <w:vAlign w:val="center"/>
          </w:tcPr>
          <w:p w14:paraId="52A45871" w14:textId="77777777" w:rsidR="004D7ECA" w:rsidRPr="002400A8" w:rsidRDefault="004D7ECA" w:rsidP="00890D1D">
            <w:pPr>
              <w:jc w:val="center"/>
              <w:rPr>
                <w:rFonts w:ascii="Arial" w:hAnsi="Arial" w:cs="Arial"/>
                <w:sz w:val="22"/>
                <w:szCs w:val="22"/>
              </w:rPr>
            </w:pPr>
          </w:p>
        </w:tc>
      </w:tr>
      <w:tr w:rsidR="0043073D" w:rsidRPr="002400A8" w14:paraId="2DF177F6" w14:textId="77777777" w:rsidTr="1924CA17">
        <w:trPr>
          <w:trHeight w:val="20"/>
          <w:jc w:val="center"/>
        </w:trPr>
        <w:tc>
          <w:tcPr>
            <w:tcW w:w="1208" w:type="dxa"/>
          </w:tcPr>
          <w:p w14:paraId="43CDF8AD" w14:textId="77777777" w:rsidR="004D7ECA" w:rsidRPr="002400A8" w:rsidRDefault="004D7ECA" w:rsidP="00890D1D">
            <w:pPr>
              <w:ind w:firstLine="313"/>
              <w:rPr>
                <w:rFonts w:ascii="Arial" w:hAnsi="Arial" w:cs="Arial"/>
                <w:sz w:val="22"/>
                <w:szCs w:val="22"/>
              </w:rPr>
            </w:pPr>
            <w:r w:rsidRPr="002400A8">
              <w:rPr>
                <w:rFonts w:ascii="Arial" w:hAnsi="Arial" w:cs="Arial"/>
              </w:rPr>
              <w:t>1.</w:t>
            </w:r>
          </w:p>
        </w:tc>
        <w:tc>
          <w:tcPr>
            <w:tcW w:w="2527" w:type="dxa"/>
            <w:vAlign w:val="center"/>
          </w:tcPr>
          <w:p w14:paraId="4FC9E79A" w14:textId="02E92ED9" w:rsidR="004D7ECA" w:rsidRPr="002400A8" w:rsidRDefault="00830F97" w:rsidP="00736515">
            <w:pPr>
              <w:ind w:hanging="38"/>
              <w:jc w:val="center"/>
              <w:rPr>
                <w:rFonts w:ascii="Arial" w:hAnsi="Arial" w:cs="Arial"/>
                <w:sz w:val="22"/>
                <w:szCs w:val="22"/>
              </w:rPr>
            </w:pPr>
            <w:r w:rsidRPr="00C45ADF">
              <w:rPr>
                <w:rFonts w:ascii="Arial" w:hAnsi="Arial" w:cs="Arial"/>
              </w:rPr>
              <w:t>Nestandartinis operatoriaus darbo stalas su spintele</w:t>
            </w:r>
          </w:p>
        </w:tc>
        <w:tc>
          <w:tcPr>
            <w:tcW w:w="1527" w:type="dxa"/>
            <w:vAlign w:val="center"/>
          </w:tcPr>
          <w:p w14:paraId="0FC6E839" w14:textId="7C667144" w:rsidR="004D7ECA" w:rsidRPr="002400A8" w:rsidRDefault="6838C0A4" w:rsidP="00736515">
            <w:pPr>
              <w:ind w:hanging="16"/>
              <w:jc w:val="center"/>
              <w:rPr>
                <w:rFonts w:ascii="Arial" w:hAnsi="Arial" w:cs="Arial"/>
                <w:sz w:val="22"/>
                <w:szCs w:val="22"/>
              </w:rPr>
            </w:pPr>
            <w:r w:rsidRPr="002400A8">
              <w:rPr>
                <w:rFonts w:ascii="Arial" w:hAnsi="Arial" w:cs="Arial"/>
              </w:rPr>
              <w:t xml:space="preserve"> 1 kompl.*</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5EAE1D28" w:rsidR="004D7ECA" w:rsidRPr="002400A8" w:rsidRDefault="005F4D06" w:rsidP="004D7ECA">
                <w:pPr>
                  <w:jc w:val="center"/>
                  <w:rPr>
                    <w:rFonts w:ascii="Arial" w:hAnsi="Arial" w:cs="Arial"/>
                    <w:sz w:val="22"/>
                    <w:szCs w:val="22"/>
                  </w:rPr>
                </w:pPr>
                <w:r w:rsidRPr="002400A8">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07DD7AF4" w:rsidR="004D7ECA" w:rsidRPr="002400A8" w:rsidRDefault="007143F0" w:rsidP="004D7ECA">
                <w:pPr>
                  <w:jc w:val="center"/>
                  <w:rPr>
                    <w:rFonts w:ascii="Arial" w:hAnsi="Arial" w:cs="Arial"/>
                    <w:sz w:val="22"/>
                    <w:szCs w:val="22"/>
                  </w:rPr>
                </w:pPr>
                <w:r w:rsidRPr="00F12271">
                  <w:rPr>
                    <w:rFonts w:ascii="Segoe UI Symbol" w:eastAsia="MS Gothic" w:hAnsi="Segoe UI Symbol" w:cs="Segoe UI Symbol"/>
                  </w:rPr>
                  <w:t>☒</w:t>
                </w:r>
              </w:p>
            </w:tc>
          </w:sdtContent>
        </w:sdt>
        <w:tc>
          <w:tcPr>
            <w:tcW w:w="1659" w:type="dxa"/>
            <w:vAlign w:val="center"/>
          </w:tcPr>
          <w:p w14:paraId="3F80094C" w14:textId="17670590" w:rsidR="004D7ECA" w:rsidRPr="002400A8" w:rsidRDefault="00830F97" w:rsidP="007143F0">
            <w:pPr>
              <w:ind w:hanging="16"/>
              <w:jc w:val="center"/>
              <w:rPr>
                <w:rFonts w:ascii="Arial" w:hAnsi="Arial" w:cs="Arial"/>
                <w:i/>
                <w:iCs/>
                <w:sz w:val="22"/>
                <w:szCs w:val="22"/>
              </w:rPr>
            </w:pPr>
            <w:r>
              <w:rPr>
                <w:rFonts w:ascii="Arial" w:hAnsi="Arial" w:cs="Arial"/>
                <w:i/>
                <w:iCs/>
                <w:lang w:val="en-US"/>
              </w:rPr>
              <w:t>6</w:t>
            </w:r>
            <w:r w:rsidR="007143F0" w:rsidRPr="002400A8">
              <w:rPr>
                <w:rFonts w:ascii="Arial" w:hAnsi="Arial" w:cs="Arial"/>
                <w:i/>
                <w:iCs/>
              </w:rPr>
              <w:t xml:space="preserve">0 </w:t>
            </w:r>
            <w:r w:rsidR="006E1D1A" w:rsidRPr="002400A8">
              <w:rPr>
                <w:rFonts w:ascii="Arial" w:hAnsi="Arial" w:cs="Arial"/>
                <w:i/>
                <w:iCs/>
              </w:rPr>
              <w:t>k.</w:t>
            </w:r>
            <w:r w:rsidR="0051621D" w:rsidRPr="002400A8">
              <w:rPr>
                <w:rFonts w:ascii="Arial" w:hAnsi="Arial" w:cs="Arial"/>
                <w:i/>
                <w:iCs/>
              </w:rPr>
              <w:t xml:space="preserve"> </w:t>
            </w:r>
            <w:r w:rsidR="006E1D1A" w:rsidRPr="002400A8">
              <w:rPr>
                <w:rFonts w:ascii="Arial" w:hAnsi="Arial" w:cs="Arial"/>
                <w:i/>
                <w:iCs/>
              </w:rPr>
              <w:t>d.</w:t>
            </w:r>
          </w:p>
        </w:tc>
      </w:tr>
    </w:tbl>
    <w:p w14:paraId="69B8FEFB" w14:textId="433BAC7E" w:rsidR="004A0C48" w:rsidRPr="002400A8" w:rsidRDefault="746048B9" w:rsidP="003E0E2F">
      <w:pPr>
        <w:spacing w:after="0" w:line="240" w:lineRule="auto"/>
        <w:jc w:val="both"/>
        <w:rPr>
          <w:rFonts w:ascii="Arial" w:hAnsi="Arial" w:cs="Arial"/>
        </w:rPr>
      </w:pPr>
      <w:r w:rsidRPr="002400A8">
        <w:rPr>
          <w:rFonts w:ascii="Arial" w:hAnsi="Arial" w:cs="Arial"/>
        </w:rPr>
        <w:t>*</w:t>
      </w:r>
      <w:r w:rsidRPr="00F12271">
        <w:rPr>
          <w:rFonts w:ascii="Arial" w:hAnsi="Arial" w:cs="Arial"/>
        </w:rPr>
        <w:t>detalus prekių aprašymas</w:t>
      </w:r>
      <w:r w:rsidR="00143363" w:rsidRPr="00F12271">
        <w:rPr>
          <w:rFonts w:ascii="Arial" w:hAnsi="Arial" w:cs="Arial"/>
        </w:rPr>
        <w:t xml:space="preserve"> ir kiekiai</w:t>
      </w:r>
      <w:r w:rsidRPr="00F12271">
        <w:rPr>
          <w:rFonts w:ascii="Arial" w:hAnsi="Arial" w:cs="Arial"/>
        </w:rPr>
        <w:t xml:space="preserve"> 2 lentelėje</w:t>
      </w:r>
    </w:p>
    <w:p w14:paraId="6A69B391" w14:textId="77777777" w:rsidR="003E0E2F" w:rsidRPr="002400A8" w:rsidRDefault="003E0E2F" w:rsidP="003E0E2F">
      <w:pPr>
        <w:spacing w:after="0" w:line="240" w:lineRule="auto"/>
        <w:jc w:val="both"/>
        <w:rPr>
          <w:rFonts w:ascii="Arial" w:hAnsi="Arial" w:cs="Arial"/>
        </w:rPr>
      </w:pPr>
    </w:p>
    <w:p w14:paraId="4A9163BF" w14:textId="2D4CD5FA" w:rsidR="004A0C48" w:rsidRPr="002400A8" w:rsidRDefault="004A0C48" w:rsidP="001F17B7">
      <w:pPr>
        <w:pStyle w:val="ListParagraph"/>
        <w:numPr>
          <w:ilvl w:val="1"/>
          <w:numId w:val="3"/>
        </w:numPr>
        <w:tabs>
          <w:tab w:val="left" w:pos="426"/>
        </w:tabs>
        <w:spacing w:after="0" w:line="240" w:lineRule="auto"/>
        <w:ind w:left="0" w:firstLine="0"/>
        <w:jc w:val="both"/>
        <w:rPr>
          <w:rFonts w:ascii="Arial" w:hAnsi="Arial" w:cs="Arial"/>
        </w:rPr>
      </w:pPr>
      <w:r w:rsidRPr="002400A8">
        <w:rPr>
          <w:rFonts w:ascii="Arial" w:hAnsi="Arial" w:cs="Arial"/>
        </w:rPr>
        <w:t>Aukščiau esančioje lentelėje nurodytas prekių kiekis</w:t>
      </w:r>
      <w:r w:rsidR="001019DE">
        <w:rPr>
          <w:rFonts w:ascii="Arial" w:hAnsi="Arial" w:cs="Arial"/>
        </w:rPr>
        <w:t xml:space="preserve"> ir (ar) apimtis</w:t>
      </w:r>
      <w:r w:rsidRPr="002400A8">
        <w:rPr>
          <w:rFonts w:ascii="Arial" w:hAnsi="Arial" w:cs="Arial"/>
        </w:rPr>
        <w:t xml:space="preserve"> yra tikslus</w:t>
      </w:r>
      <w:r w:rsidR="001019DE">
        <w:rPr>
          <w:rFonts w:ascii="Arial" w:hAnsi="Arial" w:cs="Arial"/>
        </w:rPr>
        <w:t xml:space="preserve"> (-i)</w:t>
      </w:r>
      <w:r w:rsidRPr="002400A8">
        <w:rPr>
          <w:rFonts w:ascii="Arial" w:hAnsi="Arial" w:cs="Arial"/>
        </w:rPr>
        <w:t xml:space="preserve"> ir vykdant Sutartį nesikeis.</w:t>
      </w:r>
    </w:p>
    <w:p w14:paraId="46AC6EA7" w14:textId="1B8D9C24" w:rsidR="004B55FF" w:rsidRPr="002400A8" w:rsidRDefault="00314040" w:rsidP="00F16255">
      <w:pPr>
        <w:pStyle w:val="ListParagraph"/>
        <w:numPr>
          <w:ilvl w:val="1"/>
          <w:numId w:val="10"/>
        </w:numPr>
        <w:tabs>
          <w:tab w:val="left" w:pos="426"/>
        </w:tabs>
        <w:spacing w:after="0" w:line="240" w:lineRule="auto"/>
        <w:ind w:left="0" w:firstLine="0"/>
        <w:jc w:val="both"/>
        <w:rPr>
          <w:rFonts w:ascii="Arial" w:hAnsi="Arial" w:cs="Arial"/>
        </w:rPr>
      </w:pPr>
      <w:r w:rsidRPr="002400A8">
        <w:rPr>
          <w:rFonts w:ascii="Arial" w:hAnsi="Arial" w:cs="Arial"/>
        </w:rPr>
        <w:t>Užsakymų teikimo tvarka</w:t>
      </w:r>
      <w:r w:rsidR="004B55FF" w:rsidRPr="002400A8">
        <w:rPr>
          <w:rFonts w:ascii="Arial" w:hAnsi="Arial" w:cs="Arial"/>
        </w:rPr>
        <w:t>:</w:t>
      </w:r>
    </w:p>
    <w:p w14:paraId="601DD575" w14:textId="62D35C9E" w:rsidR="00314040" w:rsidRPr="002400A8" w:rsidRDefault="004B55FF" w:rsidP="0070330A">
      <w:pPr>
        <w:pStyle w:val="ListParagraph"/>
        <w:numPr>
          <w:ilvl w:val="2"/>
          <w:numId w:val="10"/>
        </w:numPr>
        <w:tabs>
          <w:tab w:val="left" w:pos="567"/>
        </w:tabs>
        <w:spacing w:after="0" w:line="240" w:lineRule="auto"/>
        <w:ind w:left="0" w:firstLine="0"/>
        <w:jc w:val="both"/>
        <w:rPr>
          <w:rFonts w:ascii="Arial" w:hAnsi="Arial" w:cs="Arial"/>
        </w:rPr>
      </w:pPr>
      <w:r w:rsidRPr="002400A8">
        <w:rPr>
          <w:rFonts w:ascii="Arial" w:hAnsi="Arial" w:cs="Arial"/>
        </w:rPr>
        <w:t>u</w:t>
      </w:r>
      <w:r w:rsidR="00314040" w:rsidRPr="002400A8">
        <w:rPr>
          <w:rFonts w:ascii="Arial" w:hAnsi="Arial" w:cs="Arial"/>
        </w:rPr>
        <w:t>žsakymai Sutarties galiojimo laikotarpi</w:t>
      </w:r>
      <w:r w:rsidR="00E30CF3" w:rsidRPr="002400A8">
        <w:rPr>
          <w:rFonts w:ascii="Arial" w:hAnsi="Arial" w:cs="Arial"/>
        </w:rPr>
        <w:t>u</w:t>
      </w:r>
      <w:r w:rsidR="00314040" w:rsidRPr="002400A8">
        <w:rPr>
          <w:rFonts w:ascii="Arial" w:hAnsi="Arial" w:cs="Arial"/>
        </w:rPr>
        <w:t xml:space="preserve"> </w:t>
      </w:r>
      <w:r w:rsidR="00314040" w:rsidRPr="002400A8">
        <w:rPr>
          <w:rFonts w:ascii="Arial" w:hAnsi="Arial" w:cs="Arial"/>
          <w:u w:val="single"/>
        </w:rPr>
        <w:t>neteikiami</w:t>
      </w:r>
      <w:r w:rsidR="00314040" w:rsidRPr="002400A8">
        <w:rPr>
          <w:rFonts w:ascii="Arial" w:hAnsi="Arial" w:cs="Arial"/>
        </w:rPr>
        <w:t xml:space="preserve">. </w:t>
      </w:r>
      <w:r w:rsidR="00E30CF3" w:rsidRPr="002400A8">
        <w:rPr>
          <w:rFonts w:ascii="Arial" w:hAnsi="Arial" w:cs="Arial"/>
        </w:rPr>
        <w:t xml:space="preserve">Prekės turi būti pristatomos </w:t>
      </w:r>
      <w:r w:rsidR="00A7651F" w:rsidRPr="002400A8">
        <w:rPr>
          <w:rFonts w:ascii="Arial" w:hAnsi="Arial" w:cs="Arial"/>
        </w:rPr>
        <w:t xml:space="preserve">nedelsiant po Sutarties įsigaliojimo dienos per </w:t>
      </w:r>
      <w:r w:rsidR="00285F0C" w:rsidRPr="002400A8">
        <w:rPr>
          <w:rFonts w:ascii="Arial" w:hAnsi="Arial" w:cs="Arial"/>
        </w:rPr>
        <w:t>1 lentelėje</w:t>
      </w:r>
      <w:r w:rsidR="00A7651F" w:rsidRPr="002400A8">
        <w:rPr>
          <w:rFonts w:ascii="Arial" w:hAnsi="Arial" w:cs="Arial"/>
        </w:rPr>
        <w:t xml:space="preserve"> nustatytą terminą</w:t>
      </w:r>
      <w:r w:rsidR="00E30CF3" w:rsidRPr="002400A8">
        <w:rPr>
          <w:rFonts w:ascii="Arial" w:hAnsi="Arial" w:cs="Arial"/>
        </w:rPr>
        <w:t>.</w:t>
      </w:r>
    </w:p>
    <w:p w14:paraId="03A44C80" w14:textId="7883AC9B" w:rsidR="004F4C03" w:rsidRPr="002400A8" w:rsidRDefault="004F4C03" w:rsidP="004F4C03">
      <w:pPr>
        <w:pStyle w:val="ListParagraph"/>
        <w:tabs>
          <w:tab w:val="left" w:pos="567"/>
        </w:tabs>
        <w:spacing w:after="0" w:line="240" w:lineRule="auto"/>
        <w:ind w:left="0"/>
        <w:jc w:val="both"/>
        <w:rPr>
          <w:rFonts w:ascii="Arial" w:hAnsi="Arial" w:cs="Arial"/>
        </w:rPr>
      </w:pPr>
      <w:r w:rsidRPr="002400A8">
        <w:rPr>
          <w:rFonts w:ascii="Arial" w:hAnsi="Arial" w:cs="Arial"/>
        </w:rPr>
        <w:t>2.</w:t>
      </w:r>
      <w:r w:rsidR="00830F97">
        <w:rPr>
          <w:rFonts w:ascii="Arial" w:hAnsi="Arial" w:cs="Arial"/>
        </w:rPr>
        <w:t>6</w:t>
      </w:r>
      <w:r w:rsidRPr="002400A8">
        <w:rPr>
          <w:rFonts w:ascii="Arial" w:hAnsi="Arial" w:cs="Arial"/>
        </w:rPr>
        <w:t xml:space="preserve">. </w:t>
      </w:r>
      <w:r w:rsidR="002C30E7" w:rsidRPr="002C30E7">
        <w:rPr>
          <w:rFonts w:ascii="Arial" w:hAnsi="Arial" w:cs="Arial"/>
        </w:rPr>
        <w:t xml:space="preserve">Prekes </w:t>
      </w:r>
      <w:r w:rsidR="00C522F2">
        <w:rPr>
          <w:rFonts w:ascii="Arial" w:hAnsi="Arial" w:cs="Arial"/>
        </w:rPr>
        <w:t>T</w:t>
      </w:r>
      <w:r w:rsidR="002C30E7" w:rsidRPr="002C30E7">
        <w:rPr>
          <w:rFonts w:ascii="Arial" w:hAnsi="Arial" w:cs="Arial"/>
        </w:rPr>
        <w:t>iekėjas Perkančiajai organizacijai pristato savo transportu ir sąskaita. Į prekių kainą  įskaičiuojamas prekių projektavimas, atvežimas, užnešimas, sumontavimas, pakuočių atliekų išvežimas, trūkumų (jeigu tokių bus) pašalinimas.</w:t>
      </w:r>
    </w:p>
    <w:p w14:paraId="6A9DFA4A" w14:textId="77777777" w:rsidR="004A0C48" w:rsidRPr="002400A8"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2400A8"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400A8">
        <w:rPr>
          <w:rFonts w:ascii="Arial" w:eastAsia="Calibri" w:hAnsi="Arial" w:cs="Arial"/>
          <w:b/>
        </w:rPr>
        <w:t>REIKALAVIMAI PREKĖMS</w:t>
      </w:r>
    </w:p>
    <w:p w14:paraId="67672113" w14:textId="7EEA5F33" w:rsidR="00571C2E" w:rsidRPr="002400A8" w:rsidRDefault="002D5BBD" w:rsidP="007143F0">
      <w:pPr>
        <w:spacing w:after="0" w:line="240" w:lineRule="auto"/>
        <w:jc w:val="both"/>
        <w:rPr>
          <w:rFonts w:ascii="Arial" w:eastAsia="Calibri" w:hAnsi="Arial" w:cs="Arial"/>
        </w:rPr>
      </w:pPr>
      <w:r w:rsidRPr="002400A8">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2400A8">
        <w:rPr>
          <w:rStyle w:val="FootnoteReference"/>
          <w:rFonts w:ascii="Arial" w:eastAsia="Calibri" w:hAnsi="Arial" w:cs="Arial"/>
        </w:rPr>
        <w:footnoteReference w:id="2"/>
      </w:r>
    </w:p>
    <w:p w14:paraId="637B9013" w14:textId="1B3550BD" w:rsidR="004A0C48" w:rsidRPr="002400A8" w:rsidRDefault="00CC3B99" w:rsidP="004A0C48">
      <w:pPr>
        <w:spacing w:after="0" w:line="240" w:lineRule="auto"/>
        <w:ind w:firstLine="851"/>
        <w:jc w:val="right"/>
        <w:rPr>
          <w:rFonts w:ascii="Arial" w:eastAsia="Calibri" w:hAnsi="Arial" w:cs="Arial"/>
          <w:b/>
        </w:rPr>
      </w:pPr>
      <w:r w:rsidRPr="002400A8">
        <w:rPr>
          <w:rFonts w:ascii="Arial" w:eastAsia="Calibri" w:hAnsi="Arial" w:cs="Arial"/>
          <w:b/>
        </w:rPr>
        <w:lastRenderedPageBreak/>
        <w:t>2 lentelė</w:t>
      </w:r>
      <w:r w:rsidR="00DB7B5F" w:rsidRPr="002400A8">
        <w:rPr>
          <w:rFonts w:ascii="Arial" w:eastAsia="Calibri" w:hAnsi="Arial" w:cs="Arial"/>
          <w:b/>
        </w:rPr>
        <w:t>.</w:t>
      </w:r>
    </w:p>
    <w:p w14:paraId="54209513" w14:textId="77777777" w:rsidR="0063790F" w:rsidRPr="002400A8" w:rsidRDefault="0063790F" w:rsidP="00F908B5">
      <w:pPr>
        <w:pBdr>
          <w:top w:val="single" w:sz="8" w:space="1" w:color="auto"/>
          <w:bottom w:val="single" w:sz="8" w:space="1" w:color="auto"/>
        </w:pBdr>
        <w:shd w:val="clear" w:color="auto" w:fill="D9D9D9" w:themeFill="background1" w:themeFillShade="D9"/>
        <w:tabs>
          <w:tab w:val="left" w:pos="284"/>
          <w:tab w:val="left" w:pos="851"/>
        </w:tabs>
        <w:spacing w:after="0" w:line="240" w:lineRule="auto"/>
        <w:jc w:val="center"/>
        <w:rPr>
          <w:rFonts w:ascii="Arial" w:eastAsia="Calibri" w:hAnsi="Arial" w:cs="Arial"/>
          <w:b/>
        </w:rPr>
      </w:pPr>
      <w:r w:rsidRPr="002400A8">
        <w:rPr>
          <w:rFonts w:ascii="Arial" w:eastAsia="Calibri" w:hAnsi="Arial" w:cs="Arial"/>
          <w:b/>
        </w:rPr>
        <w:t>3.  REIKALAVIMAI PREKEI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270"/>
        <w:gridCol w:w="3145"/>
        <w:gridCol w:w="3507"/>
      </w:tblGrid>
      <w:tr w:rsidR="0063790F" w:rsidRPr="002400A8" w14:paraId="69B0DFA4" w14:textId="77777777" w:rsidTr="1924CA17">
        <w:trPr>
          <w:trHeight w:val="687"/>
        </w:trPr>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3E68D" w14:textId="77777777" w:rsidR="0063790F" w:rsidRPr="002400A8" w:rsidRDefault="0063790F" w:rsidP="004A68D1">
            <w:pPr>
              <w:jc w:val="center"/>
              <w:rPr>
                <w:rFonts w:ascii="Arial" w:hAnsi="Arial" w:cs="Arial"/>
                <w:b/>
                <w:color w:val="000000"/>
              </w:rPr>
            </w:pPr>
            <w:r w:rsidRPr="002400A8">
              <w:rPr>
                <w:rFonts w:ascii="Arial" w:hAnsi="Arial" w:cs="Arial"/>
                <w:b/>
                <w:color w:val="000000"/>
              </w:rPr>
              <w:t>Eil.</w:t>
            </w:r>
          </w:p>
          <w:p w14:paraId="0DB0713D" w14:textId="77777777" w:rsidR="0063790F" w:rsidRPr="002400A8" w:rsidRDefault="0063790F" w:rsidP="004A68D1">
            <w:pPr>
              <w:tabs>
                <w:tab w:val="left" w:pos="567"/>
              </w:tabs>
              <w:jc w:val="center"/>
              <w:rPr>
                <w:rFonts w:ascii="Arial" w:hAnsi="Arial" w:cs="Arial"/>
                <w:b/>
                <w:color w:val="000000"/>
              </w:rPr>
            </w:pPr>
            <w:r w:rsidRPr="002400A8">
              <w:rPr>
                <w:rFonts w:ascii="Arial" w:hAnsi="Arial" w:cs="Arial"/>
                <w:b/>
                <w:color w:val="000000"/>
              </w:rPr>
              <w:t>Nr.</w:t>
            </w:r>
          </w:p>
        </w:tc>
        <w:tc>
          <w:tcPr>
            <w:tcW w:w="11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4E59C" w14:textId="0E6CE592" w:rsidR="0063790F" w:rsidRPr="002400A8" w:rsidRDefault="0063790F" w:rsidP="004A68D1">
            <w:pPr>
              <w:jc w:val="center"/>
              <w:rPr>
                <w:rFonts w:ascii="Arial" w:hAnsi="Arial" w:cs="Arial"/>
                <w:b/>
                <w:color w:val="000000"/>
              </w:rPr>
            </w:pPr>
            <w:r w:rsidRPr="002400A8">
              <w:rPr>
                <w:rFonts w:ascii="Arial" w:hAnsi="Arial" w:cs="Arial"/>
                <w:b/>
                <w:color w:val="000000"/>
              </w:rPr>
              <w:t>Parametras</w:t>
            </w:r>
            <w:r w:rsidR="00830F97">
              <w:rPr>
                <w:rFonts w:ascii="Arial" w:hAnsi="Arial" w:cs="Arial"/>
                <w:b/>
                <w:color w:val="000000"/>
              </w:rPr>
              <w:t>*</w:t>
            </w:r>
          </w:p>
        </w:tc>
        <w:tc>
          <w:tcPr>
            <w:tcW w:w="16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97CB6" w14:textId="4BC561C2" w:rsidR="0063790F" w:rsidRPr="002400A8" w:rsidRDefault="0063790F" w:rsidP="004A68D1">
            <w:pPr>
              <w:spacing w:after="0" w:line="240" w:lineRule="auto"/>
              <w:jc w:val="center"/>
              <w:rPr>
                <w:rFonts w:ascii="Arial" w:hAnsi="Arial" w:cs="Arial"/>
                <w:b/>
                <w:color w:val="000000"/>
              </w:rPr>
            </w:pPr>
            <w:r w:rsidRPr="002400A8">
              <w:rPr>
                <w:rFonts w:ascii="Arial" w:hAnsi="Arial" w:cs="Arial"/>
                <w:b/>
                <w:color w:val="000000"/>
              </w:rPr>
              <w:t>Reikalaujama reikšmė</w:t>
            </w:r>
            <w:r w:rsidR="00D22F4B" w:rsidRPr="002400A8">
              <w:rPr>
                <w:rFonts w:ascii="Arial" w:hAnsi="Arial" w:cs="Arial"/>
                <w:b/>
                <w:color w:val="000000"/>
              </w:rPr>
              <w:t>*</w:t>
            </w:r>
            <w:r w:rsidRPr="002400A8">
              <w:rPr>
                <w:rFonts w:ascii="Arial" w:hAnsi="Arial" w:cs="Arial"/>
                <w:bCs/>
                <w:i/>
                <w:iCs/>
                <w:color w:val="000000"/>
              </w:rPr>
              <w:t xml:space="preserve"> </w:t>
            </w:r>
          </w:p>
        </w:tc>
        <w:tc>
          <w:tcPr>
            <w:tcW w:w="18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2049F" w14:textId="77777777" w:rsidR="0063790F" w:rsidRPr="002400A8" w:rsidRDefault="0063790F" w:rsidP="004A68D1">
            <w:pPr>
              <w:spacing w:after="0" w:line="240" w:lineRule="auto"/>
              <w:jc w:val="center"/>
              <w:rPr>
                <w:rFonts w:ascii="Arial" w:hAnsi="Arial" w:cs="Arial"/>
                <w:b/>
                <w:color w:val="000000"/>
              </w:rPr>
            </w:pPr>
            <w:r w:rsidRPr="002400A8">
              <w:rPr>
                <w:rFonts w:ascii="Arial" w:hAnsi="Arial" w:cs="Arial"/>
                <w:b/>
                <w:color w:val="000000"/>
              </w:rPr>
              <w:t>Reikalaujamos reikšmės atitikimas</w:t>
            </w:r>
          </w:p>
          <w:p w14:paraId="0D4CAE58" w14:textId="77777777" w:rsidR="00BE36B7" w:rsidRPr="002400A8" w:rsidRDefault="00396F75" w:rsidP="000E13E1">
            <w:pPr>
              <w:suppressAutoHyphens/>
              <w:snapToGrid w:val="0"/>
              <w:contextualSpacing/>
              <w:jc w:val="center"/>
              <w:rPr>
                <w:rFonts w:ascii="Arial" w:eastAsia="AR PL KaitiM GB" w:hAnsi="Arial" w:cs="Arial"/>
                <w:bCs/>
                <w:i/>
                <w:iCs/>
                <w:lang w:eastAsia="zh-CN" w:bidi="hi-IN"/>
              </w:rPr>
            </w:pPr>
            <w:r w:rsidRPr="002400A8">
              <w:rPr>
                <w:rFonts w:ascii="Arial" w:eastAsia="AR PL KaitiM GB" w:hAnsi="Arial" w:cs="Arial"/>
                <w:bCs/>
                <w:i/>
                <w:iCs/>
                <w:lang w:eastAsia="zh-CN" w:bidi="hi-IN"/>
              </w:rPr>
              <w:t>Privaloma išsamiai aprašyti siūlomą parametrą</w:t>
            </w:r>
          </w:p>
          <w:p w14:paraId="62080B93" w14:textId="5A8DCF0B" w:rsidR="0063790F" w:rsidRPr="002400A8" w:rsidRDefault="0063790F" w:rsidP="000E13E1">
            <w:pPr>
              <w:suppressAutoHyphens/>
              <w:snapToGrid w:val="0"/>
              <w:contextualSpacing/>
              <w:jc w:val="center"/>
              <w:rPr>
                <w:rFonts w:ascii="Arial" w:hAnsi="Arial" w:cs="Arial"/>
                <w:bCs/>
                <w:i/>
                <w:iCs/>
                <w:color w:val="FF0000"/>
              </w:rPr>
            </w:pPr>
            <w:r w:rsidRPr="002400A8">
              <w:rPr>
                <w:rFonts w:ascii="Arial" w:hAnsi="Arial" w:cs="Arial"/>
                <w:bCs/>
                <w:i/>
                <w:iCs/>
                <w:color w:val="FF0000"/>
              </w:rPr>
              <w:t>(pildo Tiekėjas)</w:t>
            </w:r>
          </w:p>
        </w:tc>
      </w:tr>
      <w:tr w:rsidR="002409F1" w:rsidRPr="002400A8" w14:paraId="696DA2F8" w14:textId="77777777" w:rsidTr="1924CA17">
        <w:trPr>
          <w:trHeight w:val="687"/>
        </w:trPr>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5C300" w14:textId="15FCF943" w:rsidR="002409F1" w:rsidRPr="002400A8" w:rsidRDefault="002409F1" w:rsidP="004A68D1">
            <w:pPr>
              <w:jc w:val="center"/>
              <w:rPr>
                <w:rFonts w:ascii="Arial" w:hAnsi="Arial" w:cs="Arial"/>
                <w:b/>
                <w:color w:val="000000"/>
              </w:rPr>
            </w:pPr>
            <w:r w:rsidRPr="002400A8">
              <w:rPr>
                <w:rFonts w:ascii="Arial" w:hAnsi="Arial" w:cs="Arial"/>
                <w:b/>
                <w:color w:val="000000"/>
              </w:rPr>
              <w:t>1.</w:t>
            </w:r>
          </w:p>
        </w:tc>
        <w:tc>
          <w:tcPr>
            <w:tcW w:w="463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88E08" w14:textId="36FDEF63" w:rsidR="002409F1" w:rsidRPr="002400A8" w:rsidRDefault="0069017B" w:rsidP="1924CA17">
            <w:pPr>
              <w:spacing w:after="0" w:line="240" w:lineRule="auto"/>
              <w:jc w:val="center"/>
              <w:rPr>
                <w:rFonts w:ascii="Arial" w:hAnsi="Arial" w:cs="Arial"/>
                <w:b/>
                <w:bCs/>
                <w:color w:val="000000"/>
              </w:rPr>
            </w:pPr>
            <w:r>
              <w:rPr>
                <w:rFonts w:ascii="Arial" w:hAnsi="Arial" w:cs="Arial"/>
                <w:b/>
                <w:bCs/>
              </w:rPr>
              <w:t>O</w:t>
            </w:r>
            <w:r w:rsidR="00830F97" w:rsidRPr="00830F97">
              <w:rPr>
                <w:rFonts w:ascii="Arial" w:hAnsi="Arial" w:cs="Arial"/>
                <w:b/>
                <w:bCs/>
              </w:rPr>
              <w:t>peratoriaus darbo stalas su spintele</w:t>
            </w:r>
            <w:r w:rsidR="00830F97">
              <w:rPr>
                <w:rFonts w:ascii="Arial" w:hAnsi="Arial" w:cs="Arial"/>
                <w:b/>
                <w:bCs/>
              </w:rPr>
              <w:t xml:space="preserve"> (1 kompl.)</w:t>
            </w:r>
          </w:p>
        </w:tc>
      </w:tr>
      <w:tr w:rsidR="0063790F" w:rsidRPr="002400A8" w14:paraId="5825CCE7" w14:textId="77777777" w:rsidTr="1924CA17">
        <w:tc>
          <w:tcPr>
            <w:tcW w:w="367" w:type="pct"/>
            <w:tcBorders>
              <w:top w:val="single" w:sz="4" w:space="0" w:color="auto"/>
              <w:left w:val="single" w:sz="4" w:space="0" w:color="auto"/>
              <w:bottom w:val="single" w:sz="4" w:space="0" w:color="auto"/>
              <w:right w:val="single" w:sz="4" w:space="0" w:color="auto"/>
            </w:tcBorders>
          </w:tcPr>
          <w:p w14:paraId="36898B31" w14:textId="1FA99C58" w:rsidR="0063790F" w:rsidRPr="002400A8" w:rsidRDefault="0063790F" w:rsidP="004A68D1">
            <w:pPr>
              <w:jc w:val="center"/>
              <w:rPr>
                <w:rFonts w:ascii="Arial" w:hAnsi="Arial" w:cs="Arial"/>
                <w:color w:val="000000"/>
              </w:rPr>
            </w:pPr>
            <w:r w:rsidRPr="002400A8">
              <w:rPr>
                <w:rFonts w:ascii="Arial" w:hAnsi="Arial" w:cs="Arial"/>
              </w:rPr>
              <w:t>1.</w:t>
            </w:r>
            <w:r w:rsidR="002409F1" w:rsidRPr="002400A8">
              <w:rPr>
                <w:rFonts w:ascii="Arial" w:hAnsi="Arial" w:cs="Arial"/>
              </w:rPr>
              <w:t>1.</w:t>
            </w:r>
          </w:p>
        </w:tc>
        <w:tc>
          <w:tcPr>
            <w:tcW w:w="1179" w:type="pct"/>
            <w:tcBorders>
              <w:top w:val="single" w:sz="4" w:space="0" w:color="auto"/>
              <w:left w:val="single" w:sz="4" w:space="0" w:color="auto"/>
              <w:bottom w:val="single" w:sz="4" w:space="0" w:color="auto"/>
              <w:right w:val="single" w:sz="4" w:space="0" w:color="auto"/>
            </w:tcBorders>
          </w:tcPr>
          <w:p w14:paraId="55AD985D" w14:textId="09E5B38D" w:rsidR="0063790F" w:rsidRPr="002400A8" w:rsidRDefault="00830F97" w:rsidP="004A68D1">
            <w:pPr>
              <w:rPr>
                <w:rFonts w:ascii="Arial" w:hAnsi="Arial" w:cs="Arial"/>
                <w:i/>
                <w:iCs/>
                <w:color w:val="FF0000"/>
                <w:lang w:eastAsia="lt-LT"/>
              </w:rPr>
            </w:pPr>
            <w:r w:rsidRPr="00830F97">
              <w:rPr>
                <w:rFonts w:ascii="Arial" w:eastAsia="Batang" w:hAnsi="Arial" w:cs="Arial"/>
                <w:noProof/>
                <w:lang w:eastAsia="ar-SA"/>
              </w:rPr>
              <w:t>Stalo matmenys:</w:t>
            </w:r>
          </w:p>
        </w:tc>
        <w:tc>
          <w:tcPr>
            <w:tcW w:w="1633" w:type="pct"/>
            <w:tcBorders>
              <w:top w:val="single" w:sz="4" w:space="0" w:color="auto"/>
              <w:left w:val="single" w:sz="4" w:space="0" w:color="auto"/>
              <w:bottom w:val="single" w:sz="4" w:space="0" w:color="auto"/>
              <w:right w:val="single" w:sz="4" w:space="0" w:color="auto"/>
            </w:tcBorders>
          </w:tcPr>
          <w:p w14:paraId="00FD5CA2" w14:textId="481CB28F" w:rsidR="0063790F" w:rsidRPr="00830F97" w:rsidRDefault="00155471" w:rsidP="00830F97">
            <w:pPr>
              <w:pStyle w:val="ListParagraph"/>
              <w:numPr>
                <w:ilvl w:val="2"/>
                <w:numId w:val="30"/>
              </w:numPr>
              <w:suppressAutoHyphens/>
              <w:jc w:val="both"/>
              <w:rPr>
                <w:rFonts w:ascii="Arial" w:eastAsia="Times New Roman" w:hAnsi="Arial" w:cs="Arial"/>
                <w:color w:val="000000" w:themeColor="text1"/>
              </w:rPr>
            </w:pPr>
            <w:r>
              <w:rPr>
                <w:rFonts w:ascii="Arial" w:eastAsia="Times New Roman" w:hAnsi="Arial" w:cs="Arial"/>
                <w:color w:val="000000" w:themeColor="text1"/>
              </w:rPr>
              <w:t xml:space="preserve">Plotis - </w:t>
            </w:r>
            <w:r w:rsidR="00830F97" w:rsidRPr="00830F97">
              <w:rPr>
                <w:rFonts w:ascii="Arial" w:eastAsia="Times New Roman" w:hAnsi="Arial" w:cs="Arial"/>
                <w:color w:val="000000" w:themeColor="text1"/>
              </w:rPr>
              <w:t>2000 mm (± 5 %);</w:t>
            </w:r>
          </w:p>
          <w:p w14:paraId="6E6F8E61" w14:textId="56A1B2C3" w:rsidR="00830F97" w:rsidRPr="00830F97" w:rsidRDefault="00155471" w:rsidP="00830F97">
            <w:pPr>
              <w:pStyle w:val="ListParagraph"/>
              <w:numPr>
                <w:ilvl w:val="2"/>
                <w:numId w:val="30"/>
              </w:numPr>
              <w:suppressAutoHyphens/>
              <w:jc w:val="both"/>
              <w:rPr>
                <w:rFonts w:ascii="Arial" w:hAnsi="Arial" w:cs="Arial"/>
                <w:color w:val="000000" w:themeColor="text1"/>
                <w:lang w:eastAsia="lt-LT"/>
              </w:rPr>
            </w:pPr>
            <w:r>
              <w:rPr>
                <w:rFonts w:ascii="Arial" w:hAnsi="Arial" w:cs="Arial"/>
                <w:color w:val="000000" w:themeColor="text1"/>
                <w:lang w:eastAsia="lt-LT"/>
              </w:rPr>
              <w:t xml:space="preserve">Gylis - </w:t>
            </w:r>
            <w:r w:rsidR="00830F97" w:rsidRPr="00830F97">
              <w:rPr>
                <w:rFonts w:ascii="Arial" w:hAnsi="Arial" w:cs="Arial"/>
                <w:color w:val="000000" w:themeColor="text1"/>
                <w:lang w:eastAsia="lt-LT"/>
              </w:rPr>
              <w:t>800 mm (± 5 %);</w:t>
            </w:r>
          </w:p>
          <w:p w14:paraId="43DB4D11" w14:textId="48958EEF" w:rsidR="00830F97" w:rsidRPr="00830F97" w:rsidRDefault="00155471" w:rsidP="00830F97">
            <w:pPr>
              <w:pStyle w:val="ListParagraph"/>
              <w:numPr>
                <w:ilvl w:val="2"/>
                <w:numId w:val="30"/>
              </w:numPr>
              <w:suppressAutoHyphens/>
              <w:jc w:val="both"/>
              <w:rPr>
                <w:rFonts w:ascii="Arial" w:hAnsi="Arial" w:cs="Arial"/>
                <w:color w:val="0070C0"/>
                <w:lang w:eastAsia="lt-LT"/>
              </w:rPr>
            </w:pPr>
            <w:r>
              <w:rPr>
                <w:rFonts w:ascii="Arial" w:hAnsi="Arial" w:cs="Arial"/>
                <w:color w:val="000000" w:themeColor="text1"/>
                <w:lang w:eastAsia="lt-LT"/>
              </w:rPr>
              <w:t xml:space="preserve">Aukštis - </w:t>
            </w:r>
            <w:r w:rsidR="00830F97" w:rsidRPr="00830F97">
              <w:rPr>
                <w:rFonts w:ascii="Arial" w:hAnsi="Arial" w:cs="Arial"/>
                <w:color w:val="000000" w:themeColor="text1"/>
                <w:lang w:eastAsia="lt-LT"/>
              </w:rPr>
              <w:t>760 mm (± 5 %).</w:t>
            </w:r>
          </w:p>
        </w:tc>
        <w:tc>
          <w:tcPr>
            <w:tcW w:w="1821" w:type="pct"/>
            <w:tcBorders>
              <w:top w:val="single" w:sz="4" w:space="0" w:color="auto"/>
              <w:left w:val="single" w:sz="4" w:space="0" w:color="auto"/>
              <w:bottom w:val="single" w:sz="4" w:space="0" w:color="auto"/>
              <w:right w:val="single" w:sz="4" w:space="0" w:color="auto"/>
            </w:tcBorders>
          </w:tcPr>
          <w:p w14:paraId="4F284D2E" w14:textId="77777777" w:rsidR="0063790F" w:rsidRPr="002400A8" w:rsidRDefault="0063790F" w:rsidP="004A68D1">
            <w:pPr>
              <w:rPr>
                <w:rFonts w:ascii="Arial" w:hAnsi="Arial" w:cs="Arial"/>
                <w:color w:val="000000"/>
                <w:lang w:eastAsia="lt-LT"/>
              </w:rPr>
            </w:pPr>
          </w:p>
        </w:tc>
      </w:tr>
      <w:tr w:rsidR="00E1679E" w:rsidRPr="002400A8" w14:paraId="2B94BA8D" w14:textId="77777777" w:rsidTr="1924CA17">
        <w:tc>
          <w:tcPr>
            <w:tcW w:w="367" w:type="pct"/>
            <w:tcBorders>
              <w:top w:val="single" w:sz="4" w:space="0" w:color="auto"/>
              <w:left w:val="single" w:sz="4" w:space="0" w:color="auto"/>
              <w:bottom w:val="single" w:sz="4" w:space="0" w:color="auto"/>
              <w:right w:val="single" w:sz="4" w:space="0" w:color="auto"/>
            </w:tcBorders>
          </w:tcPr>
          <w:p w14:paraId="281ED7FD" w14:textId="44E7CA91" w:rsidR="00E1679E" w:rsidRPr="002400A8" w:rsidRDefault="002409F1" w:rsidP="004A68D1">
            <w:pPr>
              <w:jc w:val="center"/>
              <w:rPr>
                <w:rFonts w:ascii="Arial" w:hAnsi="Arial" w:cs="Arial"/>
              </w:rPr>
            </w:pPr>
            <w:r w:rsidRPr="002400A8">
              <w:rPr>
                <w:rFonts w:ascii="Arial" w:hAnsi="Arial" w:cs="Arial"/>
              </w:rPr>
              <w:t>1.</w:t>
            </w:r>
            <w:r w:rsidR="00E1679E" w:rsidRPr="002400A8">
              <w:rPr>
                <w:rFonts w:ascii="Arial" w:hAnsi="Arial" w:cs="Arial"/>
              </w:rPr>
              <w:t>2.</w:t>
            </w:r>
          </w:p>
        </w:tc>
        <w:tc>
          <w:tcPr>
            <w:tcW w:w="1179" w:type="pct"/>
            <w:tcBorders>
              <w:top w:val="single" w:sz="4" w:space="0" w:color="auto"/>
              <w:left w:val="single" w:sz="4" w:space="0" w:color="auto"/>
              <w:bottom w:val="single" w:sz="4" w:space="0" w:color="auto"/>
              <w:right w:val="single" w:sz="4" w:space="0" w:color="auto"/>
            </w:tcBorders>
          </w:tcPr>
          <w:p w14:paraId="4250C905" w14:textId="5ECA7354" w:rsidR="00E1679E" w:rsidRPr="002400A8" w:rsidRDefault="00830F97" w:rsidP="004A68D1">
            <w:pPr>
              <w:rPr>
                <w:rFonts w:ascii="Arial" w:eastAsia="Batang" w:hAnsi="Arial" w:cs="Arial"/>
                <w:noProof/>
                <w:lang w:eastAsia="ar-SA"/>
              </w:rPr>
            </w:pPr>
            <w:r w:rsidRPr="00830F97">
              <w:rPr>
                <w:rFonts w:ascii="Arial" w:eastAsia="Batang" w:hAnsi="Arial" w:cs="Arial"/>
                <w:noProof/>
                <w:lang w:eastAsia="ar-SA"/>
              </w:rPr>
              <w:t>Stalo konstrukcija</w:t>
            </w:r>
          </w:p>
        </w:tc>
        <w:tc>
          <w:tcPr>
            <w:tcW w:w="1633" w:type="pct"/>
            <w:tcBorders>
              <w:top w:val="single" w:sz="4" w:space="0" w:color="auto"/>
              <w:left w:val="single" w:sz="4" w:space="0" w:color="auto"/>
              <w:bottom w:val="single" w:sz="4" w:space="0" w:color="auto"/>
              <w:right w:val="single" w:sz="4" w:space="0" w:color="auto"/>
            </w:tcBorders>
          </w:tcPr>
          <w:p w14:paraId="7C9BC02E" w14:textId="0603777B" w:rsidR="00D36DFE" w:rsidRDefault="00830F97" w:rsidP="00830F97">
            <w:pPr>
              <w:pStyle w:val="ListParagraph"/>
              <w:numPr>
                <w:ilvl w:val="2"/>
                <w:numId w:val="32"/>
              </w:numPr>
              <w:tabs>
                <w:tab w:val="left" w:pos="734"/>
              </w:tabs>
              <w:ind w:left="0" w:firstLine="0"/>
              <w:jc w:val="both"/>
              <w:rPr>
                <w:rFonts w:ascii="Arial" w:eastAsia="Times New Roman" w:hAnsi="Arial" w:cs="Arial"/>
                <w:color w:val="000000" w:themeColor="text1"/>
              </w:rPr>
            </w:pPr>
            <w:r w:rsidRPr="00830F97">
              <w:rPr>
                <w:rFonts w:ascii="Arial" w:eastAsia="Times New Roman" w:hAnsi="Arial" w:cs="Arial"/>
                <w:color w:val="000000" w:themeColor="text1"/>
              </w:rPr>
              <w:t>Turi būti sudaryta iš ištisinio metalinio rėmo su dviem išilginėmis sijomis, ant kurių tvirtinamas stalviršis, ir keturiomis atraminėmis kojomis kampuose</w:t>
            </w:r>
            <w:r w:rsidR="009A680B" w:rsidRPr="00830F97">
              <w:rPr>
                <w:rFonts w:ascii="Arial" w:eastAsia="Times New Roman" w:hAnsi="Arial" w:cs="Arial"/>
                <w:color w:val="000000" w:themeColor="text1"/>
              </w:rPr>
              <w:t>;</w:t>
            </w:r>
          </w:p>
          <w:p w14:paraId="5642A25E" w14:textId="3A2942A8" w:rsidR="00830F97" w:rsidRDefault="00830F97" w:rsidP="00830F97">
            <w:pPr>
              <w:pStyle w:val="ListParagraph"/>
              <w:numPr>
                <w:ilvl w:val="2"/>
                <w:numId w:val="32"/>
              </w:numPr>
              <w:tabs>
                <w:tab w:val="left" w:pos="734"/>
              </w:tabs>
              <w:ind w:left="0" w:firstLine="0"/>
              <w:jc w:val="both"/>
              <w:rPr>
                <w:rFonts w:ascii="Arial" w:eastAsia="Times New Roman" w:hAnsi="Arial" w:cs="Arial"/>
                <w:color w:val="000000" w:themeColor="text1"/>
              </w:rPr>
            </w:pPr>
            <w:r w:rsidRPr="00830F97">
              <w:rPr>
                <w:rFonts w:ascii="Arial" w:eastAsia="Times New Roman" w:hAnsi="Arial" w:cs="Arial"/>
                <w:color w:val="000000" w:themeColor="text1"/>
              </w:rPr>
              <w:t>Rėmas ir išilginės sijos turi būti pagamintos iš stačiakampio arba kvadratinio plieninio (ar lygiaverčio metalo) profilio vamzdžių: ne mažesnio kaip 50×20 mm profilio, metalo storis ≥1,5 mm</w:t>
            </w:r>
            <w:r>
              <w:rPr>
                <w:rFonts w:ascii="Arial" w:eastAsia="Times New Roman" w:hAnsi="Arial" w:cs="Arial"/>
                <w:color w:val="000000" w:themeColor="text1"/>
              </w:rPr>
              <w:t>;</w:t>
            </w:r>
          </w:p>
          <w:p w14:paraId="78CDD607" w14:textId="4AA0DB30" w:rsidR="00830F97" w:rsidRDefault="00830F97" w:rsidP="00830F97">
            <w:pPr>
              <w:pStyle w:val="ListParagraph"/>
              <w:numPr>
                <w:ilvl w:val="2"/>
                <w:numId w:val="32"/>
              </w:numPr>
              <w:tabs>
                <w:tab w:val="left" w:pos="734"/>
              </w:tabs>
              <w:ind w:left="0" w:firstLine="0"/>
              <w:jc w:val="both"/>
              <w:rPr>
                <w:rFonts w:ascii="Arial" w:eastAsia="Times New Roman" w:hAnsi="Arial" w:cs="Arial"/>
                <w:color w:val="000000" w:themeColor="text1"/>
              </w:rPr>
            </w:pPr>
            <w:r w:rsidRPr="00830F97">
              <w:rPr>
                <w:rFonts w:ascii="Arial" w:eastAsia="Times New Roman" w:hAnsi="Arial" w:cs="Arial"/>
                <w:color w:val="000000" w:themeColor="text1"/>
              </w:rPr>
              <w:t xml:space="preserve">Stalo kojos </w:t>
            </w:r>
            <w:r w:rsidR="000E13E1" w:rsidRPr="000E13E1">
              <w:rPr>
                <w:rFonts w:ascii="Arial" w:eastAsia="Times New Roman" w:hAnsi="Arial" w:cs="Arial"/>
                <w:color w:val="000000" w:themeColor="text1"/>
              </w:rPr>
              <w:t xml:space="preserve">turi būti pagamintos iš </w:t>
            </w:r>
            <w:r w:rsidRPr="00830F97">
              <w:rPr>
                <w:rFonts w:ascii="Arial" w:eastAsia="Times New Roman" w:hAnsi="Arial" w:cs="Arial"/>
                <w:color w:val="000000" w:themeColor="text1"/>
              </w:rPr>
              <w:t>ne mažesnio kaip 50×50 mm stačiakampio arba kvadratinio plieninio (ar lygiaverčio metalo) profilio vamzdžių, arba ≥60 mm diametro apvalaus plieninio (ar lygiaverčio metalo) profilio vamzdžių; metalo storis ≥1,5 mm</w:t>
            </w:r>
            <w:r>
              <w:rPr>
                <w:rFonts w:ascii="Arial" w:eastAsia="Times New Roman" w:hAnsi="Arial" w:cs="Arial"/>
                <w:color w:val="000000" w:themeColor="text1"/>
              </w:rPr>
              <w:t>;</w:t>
            </w:r>
          </w:p>
          <w:p w14:paraId="67F2CA54" w14:textId="1C6F3AEC" w:rsidR="00830F97" w:rsidRDefault="00830F97" w:rsidP="00830F97">
            <w:pPr>
              <w:pStyle w:val="ListParagraph"/>
              <w:numPr>
                <w:ilvl w:val="2"/>
                <w:numId w:val="32"/>
              </w:numPr>
              <w:tabs>
                <w:tab w:val="left" w:pos="734"/>
              </w:tabs>
              <w:ind w:left="0" w:firstLine="0"/>
              <w:jc w:val="both"/>
              <w:rPr>
                <w:rFonts w:ascii="Arial" w:eastAsia="Times New Roman" w:hAnsi="Arial" w:cs="Arial"/>
                <w:color w:val="000000" w:themeColor="text1"/>
              </w:rPr>
            </w:pPr>
            <w:r w:rsidRPr="00830F97">
              <w:rPr>
                <w:rFonts w:ascii="Arial" w:eastAsia="Times New Roman" w:hAnsi="Arial" w:cs="Arial"/>
                <w:color w:val="000000" w:themeColor="text1"/>
              </w:rPr>
              <w:t xml:space="preserve">Sujungimai turi būti mechaniniai (varžtai, sriegiai </w:t>
            </w:r>
            <w:r w:rsidR="00C4020E">
              <w:rPr>
                <w:rFonts w:ascii="Arial" w:eastAsia="Times New Roman" w:hAnsi="Arial" w:cs="Arial"/>
                <w:color w:val="000000" w:themeColor="text1"/>
              </w:rPr>
              <w:t>ir (</w:t>
            </w:r>
            <w:r w:rsidRPr="00830F97">
              <w:rPr>
                <w:rFonts w:ascii="Arial" w:eastAsia="Times New Roman" w:hAnsi="Arial" w:cs="Arial"/>
                <w:color w:val="000000" w:themeColor="text1"/>
              </w:rPr>
              <w:t>ar</w:t>
            </w:r>
            <w:r w:rsidR="00C4020E">
              <w:rPr>
                <w:rFonts w:ascii="Arial" w:eastAsia="Times New Roman" w:hAnsi="Arial" w:cs="Arial"/>
                <w:color w:val="000000" w:themeColor="text1"/>
              </w:rPr>
              <w:t>)</w:t>
            </w:r>
            <w:r w:rsidRPr="00830F97">
              <w:rPr>
                <w:rFonts w:ascii="Arial" w:eastAsia="Times New Roman" w:hAnsi="Arial" w:cs="Arial"/>
                <w:color w:val="000000" w:themeColor="text1"/>
              </w:rPr>
              <w:t xml:space="preserve"> suvirinimas), užtikrinantys konstrukcijos stabilumą ir standumą</w:t>
            </w:r>
            <w:r>
              <w:rPr>
                <w:rFonts w:ascii="Arial" w:eastAsia="Times New Roman" w:hAnsi="Arial" w:cs="Arial"/>
                <w:color w:val="000000" w:themeColor="text1"/>
              </w:rPr>
              <w:t>;</w:t>
            </w:r>
          </w:p>
          <w:p w14:paraId="488EB0B6" w14:textId="7940D007" w:rsidR="00ED25B1" w:rsidRDefault="00ED25B1" w:rsidP="00830F97">
            <w:pPr>
              <w:pStyle w:val="ListParagraph"/>
              <w:numPr>
                <w:ilvl w:val="2"/>
                <w:numId w:val="32"/>
              </w:numPr>
              <w:tabs>
                <w:tab w:val="left" w:pos="734"/>
              </w:tabs>
              <w:ind w:left="0" w:firstLine="0"/>
              <w:jc w:val="both"/>
              <w:rPr>
                <w:rFonts w:ascii="Arial" w:eastAsia="Times New Roman" w:hAnsi="Arial" w:cs="Arial"/>
                <w:color w:val="000000" w:themeColor="text1"/>
              </w:rPr>
            </w:pPr>
            <w:r w:rsidRPr="00ED25B1">
              <w:rPr>
                <w:rFonts w:ascii="Arial" w:eastAsia="Times New Roman" w:hAnsi="Arial" w:cs="Arial"/>
                <w:color w:val="000000" w:themeColor="text1"/>
              </w:rPr>
              <w:t xml:space="preserve">Visi rėmo elementai turi būti lygiai apdirbti, be aštrių briaunų, paviršiai – </w:t>
            </w:r>
            <w:r w:rsidRPr="00ED25B1">
              <w:rPr>
                <w:rFonts w:ascii="Arial" w:eastAsia="Times New Roman" w:hAnsi="Arial" w:cs="Arial"/>
                <w:color w:val="000000" w:themeColor="text1"/>
              </w:rPr>
              <w:lastRenderedPageBreak/>
              <w:t>atsparūs įbrėžimams, korozijai ir valymo priemonėms</w:t>
            </w:r>
            <w:r>
              <w:rPr>
                <w:rFonts w:ascii="Arial" w:eastAsia="Times New Roman" w:hAnsi="Arial" w:cs="Arial"/>
                <w:color w:val="000000" w:themeColor="text1"/>
              </w:rPr>
              <w:t>;</w:t>
            </w:r>
          </w:p>
          <w:p w14:paraId="46B46FFC" w14:textId="31421142" w:rsidR="00ED25B1" w:rsidRDefault="00ED25B1" w:rsidP="00830F97">
            <w:pPr>
              <w:pStyle w:val="ListParagraph"/>
              <w:numPr>
                <w:ilvl w:val="2"/>
                <w:numId w:val="32"/>
              </w:numPr>
              <w:tabs>
                <w:tab w:val="left" w:pos="734"/>
              </w:tabs>
              <w:ind w:left="0" w:firstLine="0"/>
              <w:jc w:val="both"/>
              <w:rPr>
                <w:rFonts w:ascii="Arial" w:eastAsia="Times New Roman" w:hAnsi="Arial" w:cs="Arial"/>
                <w:color w:val="000000" w:themeColor="text1"/>
              </w:rPr>
            </w:pPr>
            <w:r w:rsidRPr="00ED25B1">
              <w:rPr>
                <w:rFonts w:ascii="Arial" w:eastAsia="Times New Roman" w:hAnsi="Arial" w:cs="Arial"/>
                <w:color w:val="000000" w:themeColor="text1"/>
              </w:rPr>
              <w:t xml:space="preserve">Stalo kojos </w:t>
            </w:r>
            <w:r w:rsidR="005F6225">
              <w:rPr>
                <w:rFonts w:ascii="Arial" w:eastAsia="Times New Roman" w:hAnsi="Arial" w:cs="Arial"/>
                <w:color w:val="000000" w:themeColor="text1"/>
              </w:rPr>
              <w:t xml:space="preserve">turi būti </w:t>
            </w:r>
            <w:r w:rsidRPr="00ED25B1">
              <w:rPr>
                <w:rFonts w:ascii="Arial" w:eastAsia="Times New Roman" w:hAnsi="Arial" w:cs="Arial"/>
                <w:color w:val="000000" w:themeColor="text1"/>
              </w:rPr>
              <w:t>reguliuojamo aukščio grindų nelygumams išlyginti</w:t>
            </w:r>
            <w:r>
              <w:rPr>
                <w:rFonts w:ascii="Arial" w:eastAsia="Times New Roman" w:hAnsi="Arial" w:cs="Arial"/>
                <w:color w:val="000000" w:themeColor="text1"/>
              </w:rPr>
              <w:t>;</w:t>
            </w:r>
          </w:p>
          <w:p w14:paraId="41BBC18D" w14:textId="1C0ABF49" w:rsidR="00ED25B1" w:rsidRDefault="00ED25B1" w:rsidP="00830F97">
            <w:pPr>
              <w:pStyle w:val="ListParagraph"/>
              <w:numPr>
                <w:ilvl w:val="2"/>
                <w:numId w:val="32"/>
              </w:numPr>
              <w:tabs>
                <w:tab w:val="left" w:pos="734"/>
              </w:tabs>
              <w:ind w:left="0" w:firstLine="0"/>
              <w:jc w:val="both"/>
              <w:rPr>
                <w:rFonts w:ascii="Arial" w:eastAsia="Times New Roman" w:hAnsi="Arial" w:cs="Arial"/>
                <w:color w:val="000000" w:themeColor="text1"/>
              </w:rPr>
            </w:pPr>
            <w:r w:rsidRPr="00ED25B1">
              <w:rPr>
                <w:rFonts w:ascii="Arial" w:eastAsia="Times New Roman" w:hAnsi="Arial" w:cs="Arial"/>
                <w:color w:val="000000" w:themeColor="text1"/>
              </w:rPr>
              <w:t>Turi turėti paminkštinimus ar apsaugas, kurie užtikrintų, kad baldas negadintų grindų dangos</w:t>
            </w:r>
            <w:r>
              <w:rPr>
                <w:rFonts w:ascii="Arial" w:eastAsia="Times New Roman" w:hAnsi="Arial" w:cs="Arial"/>
                <w:color w:val="000000" w:themeColor="text1"/>
              </w:rPr>
              <w:t>;</w:t>
            </w:r>
          </w:p>
          <w:p w14:paraId="303CA2ED" w14:textId="3A55E880" w:rsidR="00830F97" w:rsidRPr="00ED25B1" w:rsidRDefault="00ED25B1" w:rsidP="003B74B7">
            <w:pPr>
              <w:pStyle w:val="ListParagraph"/>
              <w:numPr>
                <w:ilvl w:val="2"/>
                <w:numId w:val="32"/>
              </w:numPr>
              <w:tabs>
                <w:tab w:val="left" w:pos="734"/>
              </w:tabs>
              <w:ind w:left="0" w:firstLine="0"/>
              <w:jc w:val="both"/>
              <w:rPr>
                <w:rFonts w:ascii="Arial" w:eastAsia="Times New Roman" w:hAnsi="Arial" w:cs="Arial"/>
                <w:color w:val="000000" w:themeColor="text1"/>
              </w:rPr>
            </w:pPr>
            <w:r w:rsidRPr="00ED25B1">
              <w:rPr>
                <w:rFonts w:ascii="Arial" w:eastAsia="Times New Roman" w:hAnsi="Arial" w:cs="Arial"/>
                <w:color w:val="000000" w:themeColor="text1"/>
              </w:rPr>
              <w:t>Metalinės dalys turi būti dažytos milteliniu būdu, juodos matinės spalvos; konkretus RAL spalvos kodas derinamas su Pirkėju Sutarties vykdymo metu</w:t>
            </w:r>
            <w:r>
              <w:rPr>
                <w:rFonts w:ascii="Arial" w:eastAsia="Times New Roman" w:hAnsi="Arial" w:cs="Arial"/>
                <w:color w:val="000000" w:themeColor="text1"/>
              </w:rPr>
              <w:t>.</w:t>
            </w:r>
          </w:p>
        </w:tc>
        <w:tc>
          <w:tcPr>
            <w:tcW w:w="1821" w:type="pct"/>
            <w:tcBorders>
              <w:top w:val="single" w:sz="4" w:space="0" w:color="auto"/>
              <w:left w:val="single" w:sz="4" w:space="0" w:color="auto"/>
              <w:bottom w:val="single" w:sz="4" w:space="0" w:color="auto"/>
              <w:right w:val="single" w:sz="4" w:space="0" w:color="auto"/>
            </w:tcBorders>
          </w:tcPr>
          <w:p w14:paraId="21433D55" w14:textId="77777777" w:rsidR="00E1679E" w:rsidRPr="002400A8" w:rsidRDefault="00E1679E" w:rsidP="004A68D1">
            <w:pPr>
              <w:rPr>
                <w:rFonts w:ascii="Arial" w:hAnsi="Arial" w:cs="Arial"/>
                <w:color w:val="000000"/>
                <w:lang w:eastAsia="lt-LT"/>
              </w:rPr>
            </w:pPr>
          </w:p>
        </w:tc>
      </w:tr>
      <w:tr w:rsidR="0063790F" w:rsidRPr="002400A8" w14:paraId="3C38816B" w14:textId="77777777" w:rsidTr="1924CA17">
        <w:tc>
          <w:tcPr>
            <w:tcW w:w="367" w:type="pct"/>
            <w:tcBorders>
              <w:top w:val="single" w:sz="4" w:space="0" w:color="auto"/>
              <w:left w:val="single" w:sz="4" w:space="0" w:color="auto"/>
              <w:bottom w:val="single" w:sz="4" w:space="0" w:color="auto"/>
              <w:right w:val="single" w:sz="4" w:space="0" w:color="auto"/>
            </w:tcBorders>
          </w:tcPr>
          <w:p w14:paraId="3D32A90A" w14:textId="0957B12A" w:rsidR="0063790F" w:rsidRPr="002400A8" w:rsidRDefault="002409F1" w:rsidP="004A68D1">
            <w:pPr>
              <w:jc w:val="center"/>
              <w:rPr>
                <w:rFonts w:ascii="Arial" w:hAnsi="Arial" w:cs="Arial"/>
                <w:color w:val="000000"/>
              </w:rPr>
            </w:pPr>
            <w:r w:rsidRPr="002400A8">
              <w:rPr>
                <w:rFonts w:ascii="Arial" w:hAnsi="Arial" w:cs="Arial"/>
              </w:rPr>
              <w:t>1.</w:t>
            </w:r>
            <w:r w:rsidR="00E1679E" w:rsidRPr="002400A8">
              <w:rPr>
                <w:rFonts w:ascii="Arial" w:hAnsi="Arial" w:cs="Arial"/>
              </w:rPr>
              <w:t>3</w:t>
            </w:r>
            <w:r w:rsidR="0063790F" w:rsidRPr="002400A8">
              <w:rPr>
                <w:rFonts w:ascii="Arial" w:hAnsi="Arial" w:cs="Arial"/>
              </w:rPr>
              <w:t>.</w:t>
            </w:r>
          </w:p>
        </w:tc>
        <w:tc>
          <w:tcPr>
            <w:tcW w:w="1179" w:type="pct"/>
            <w:tcBorders>
              <w:top w:val="single" w:sz="4" w:space="0" w:color="auto"/>
              <w:left w:val="single" w:sz="4" w:space="0" w:color="auto"/>
              <w:bottom w:val="single" w:sz="4" w:space="0" w:color="auto"/>
              <w:right w:val="single" w:sz="4" w:space="0" w:color="auto"/>
            </w:tcBorders>
          </w:tcPr>
          <w:p w14:paraId="5B8BA66B" w14:textId="36DAC722" w:rsidR="0063790F" w:rsidRPr="002400A8" w:rsidRDefault="00ED25B1" w:rsidP="004A68D1">
            <w:pPr>
              <w:rPr>
                <w:rFonts w:ascii="Arial" w:hAnsi="Arial" w:cs="Arial"/>
                <w:i/>
                <w:iCs/>
                <w:color w:val="FF0000"/>
              </w:rPr>
            </w:pPr>
            <w:r w:rsidRPr="00ED25B1">
              <w:rPr>
                <w:rFonts w:ascii="Arial" w:eastAsia="Batang" w:hAnsi="Arial" w:cs="Arial"/>
                <w:noProof/>
                <w:snapToGrid w:val="0"/>
                <w:lang w:eastAsia="ar-SA"/>
              </w:rPr>
              <w:t>Stalviršis</w:t>
            </w:r>
          </w:p>
        </w:tc>
        <w:tc>
          <w:tcPr>
            <w:tcW w:w="1633" w:type="pct"/>
            <w:tcBorders>
              <w:top w:val="single" w:sz="4" w:space="0" w:color="auto"/>
              <w:left w:val="single" w:sz="4" w:space="0" w:color="auto"/>
              <w:bottom w:val="single" w:sz="4" w:space="0" w:color="auto"/>
              <w:right w:val="single" w:sz="4" w:space="0" w:color="auto"/>
            </w:tcBorders>
          </w:tcPr>
          <w:p w14:paraId="666BD4F4" w14:textId="620EE34D" w:rsidR="0063790F" w:rsidRDefault="00ED25B1" w:rsidP="00ED25B1">
            <w:pPr>
              <w:pStyle w:val="ListParagraph"/>
              <w:numPr>
                <w:ilvl w:val="2"/>
                <w:numId w:val="33"/>
              </w:numPr>
              <w:tabs>
                <w:tab w:val="left" w:pos="734"/>
              </w:tabs>
              <w:suppressAutoHyphens/>
              <w:ind w:left="25" w:hanging="25"/>
              <w:rPr>
                <w:rFonts w:ascii="Arial" w:eastAsia="Batang" w:hAnsi="Arial" w:cs="Arial"/>
                <w:lang w:eastAsia="ar-SA"/>
              </w:rPr>
            </w:pPr>
            <w:r w:rsidRPr="00ED25B1">
              <w:rPr>
                <w:rFonts w:ascii="Arial" w:eastAsia="Batang" w:hAnsi="Arial" w:cs="Arial"/>
                <w:lang w:eastAsia="ar-SA"/>
              </w:rPr>
              <w:t>≥25 mm storio LMDP plokštė</w:t>
            </w:r>
            <w:r w:rsidR="005E5978" w:rsidRPr="00ED25B1">
              <w:rPr>
                <w:rFonts w:ascii="Arial" w:eastAsia="Batang" w:hAnsi="Arial" w:cs="Arial"/>
                <w:lang w:eastAsia="ar-SA"/>
              </w:rPr>
              <w:t>;</w:t>
            </w:r>
          </w:p>
          <w:p w14:paraId="5FAE578B" w14:textId="36D13D74" w:rsidR="00ED25B1" w:rsidRDefault="00ED25B1" w:rsidP="00ED25B1">
            <w:pPr>
              <w:pStyle w:val="ListParagraph"/>
              <w:numPr>
                <w:ilvl w:val="2"/>
                <w:numId w:val="33"/>
              </w:numPr>
              <w:tabs>
                <w:tab w:val="left" w:pos="734"/>
              </w:tabs>
              <w:suppressAutoHyphens/>
              <w:ind w:left="25" w:hanging="25"/>
              <w:jc w:val="both"/>
              <w:rPr>
                <w:rFonts w:ascii="Arial" w:eastAsia="Batang" w:hAnsi="Arial" w:cs="Arial"/>
                <w:lang w:eastAsia="ar-SA"/>
              </w:rPr>
            </w:pPr>
            <w:r w:rsidRPr="00ED25B1">
              <w:rPr>
                <w:rFonts w:ascii="Arial" w:eastAsia="Batang" w:hAnsi="Arial" w:cs="Arial"/>
                <w:lang w:eastAsia="ar-SA"/>
              </w:rPr>
              <w:t>Ne mažiau kaip 4 kiaurymės su plastikiniais dangteliais kabeliams (žr. 1 priedą) ir kabelių dėklas, pritvirtintas po stalviršiu</w:t>
            </w:r>
            <w:r>
              <w:rPr>
                <w:rFonts w:ascii="Arial" w:eastAsia="Batang" w:hAnsi="Arial" w:cs="Arial"/>
                <w:lang w:eastAsia="ar-SA"/>
              </w:rPr>
              <w:t>;</w:t>
            </w:r>
          </w:p>
          <w:p w14:paraId="3313007B" w14:textId="43725584" w:rsidR="00ED25B1" w:rsidRPr="00ED25B1" w:rsidRDefault="00ED25B1" w:rsidP="005E5978">
            <w:pPr>
              <w:pStyle w:val="ListParagraph"/>
              <w:numPr>
                <w:ilvl w:val="2"/>
                <w:numId w:val="33"/>
              </w:numPr>
              <w:tabs>
                <w:tab w:val="left" w:pos="734"/>
              </w:tabs>
              <w:suppressAutoHyphens/>
              <w:ind w:left="25" w:hanging="25"/>
              <w:jc w:val="both"/>
              <w:rPr>
                <w:rFonts w:ascii="Arial" w:eastAsia="Batang" w:hAnsi="Arial" w:cs="Arial"/>
                <w:lang w:eastAsia="ar-SA"/>
              </w:rPr>
            </w:pPr>
            <w:r w:rsidRPr="00ED25B1">
              <w:rPr>
                <w:rFonts w:ascii="Arial" w:eastAsia="Batang" w:hAnsi="Arial" w:cs="Arial"/>
                <w:lang w:eastAsia="ar-SA"/>
              </w:rPr>
              <w:t>Juoda matinė spalva (konkretus spalvos kodas pagal RAL derinamas su Pirkėju Sutarties vykdymo metu)</w:t>
            </w:r>
            <w:r>
              <w:rPr>
                <w:rFonts w:ascii="Arial" w:eastAsia="Batang" w:hAnsi="Arial" w:cs="Arial"/>
                <w:lang w:eastAsia="ar-SA"/>
              </w:rPr>
              <w:t>.</w:t>
            </w:r>
          </w:p>
        </w:tc>
        <w:tc>
          <w:tcPr>
            <w:tcW w:w="1821" w:type="pct"/>
            <w:tcBorders>
              <w:top w:val="single" w:sz="4" w:space="0" w:color="auto"/>
              <w:left w:val="single" w:sz="4" w:space="0" w:color="auto"/>
              <w:bottom w:val="single" w:sz="4" w:space="0" w:color="auto"/>
              <w:right w:val="single" w:sz="4" w:space="0" w:color="auto"/>
            </w:tcBorders>
          </w:tcPr>
          <w:p w14:paraId="7B065003" w14:textId="77777777" w:rsidR="0063790F" w:rsidRPr="002400A8" w:rsidRDefault="0063790F" w:rsidP="004A68D1">
            <w:pPr>
              <w:rPr>
                <w:rFonts w:ascii="Arial" w:hAnsi="Arial" w:cs="Arial"/>
                <w:color w:val="000000"/>
              </w:rPr>
            </w:pPr>
          </w:p>
        </w:tc>
      </w:tr>
      <w:tr w:rsidR="00B174F3" w:rsidRPr="002400A8" w14:paraId="117E40A4" w14:textId="77777777" w:rsidTr="1924CA17">
        <w:tc>
          <w:tcPr>
            <w:tcW w:w="367" w:type="pct"/>
            <w:tcBorders>
              <w:top w:val="single" w:sz="4" w:space="0" w:color="auto"/>
              <w:left w:val="single" w:sz="4" w:space="0" w:color="auto"/>
              <w:bottom w:val="single" w:sz="4" w:space="0" w:color="auto"/>
              <w:right w:val="single" w:sz="4" w:space="0" w:color="auto"/>
            </w:tcBorders>
          </w:tcPr>
          <w:p w14:paraId="781313DF" w14:textId="6316D651" w:rsidR="00B174F3" w:rsidRPr="002400A8" w:rsidRDefault="002409F1" w:rsidP="00B174F3">
            <w:pPr>
              <w:jc w:val="center"/>
              <w:rPr>
                <w:rFonts w:ascii="Arial" w:hAnsi="Arial" w:cs="Arial"/>
              </w:rPr>
            </w:pPr>
            <w:r w:rsidRPr="002400A8">
              <w:rPr>
                <w:rFonts w:ascii="Arial" w:hAnsi="Arial" w:cs="Arial"/>
              </w:rPr>
              <w:t>1.</w:t>
            </w:r>
            <w:r w:rsidR="00B174F3" w:rsidRPr="002400A8">
              <w:rPr>
                <w:rFonts w:ascii="Arial" w:hAnsi="Arial" w:cs="Arial"/>
              </w:rPr>
              <w:t>4.</w:t>
            </w:r>
          </w:p>
        </w:tc>
        <w:tc>
          <w:tcPr>
            <w:tcW w:w="1179" w:type="pct"/>
            <w:tcBorders>
              <w:top w:val="single" w:sz="4" w:space="0" w:color="auto"/>
              <w:left w:val="single" w:sz="4" w:space="0" w:color="auto"/>
              <w:bottom w:val="single" w:sz="4" w:space="0" w:color="auto"/>
              <w:right w:val="single" w:sz="4" w:space="0" w:color="auto"/>
            </w:tcBorders>
          </w:tcPr>
          <w:p w14:paraId="0EEE4960" w14:textId="22C3BDFA" w:rsidR="00B174F3" w:rsidRPr="002400A8" w:rsidRDefault="00ED25B1" w:rsidP="00ED25B1">
            <w:pPr>
              <w:jc w:val="both"/>
              <w:rPr>
                <w:rFonts w:ascii="Arial" w:eastAsia="Batang" w:hAnsi="Arial" w:cs="Arial"/>
                <w:noProof/>
                <w:snapToGrid w:val="0"/>
                <w:lang w:eastAsia="ar-SA"/>
              </w:rPr>
            </w:pPr>
            <w:r w:rsidRPr="00ED25B1">
              <w:rPr>
                <w:rFonts w:ascii="Arial" w:eastAsia="Batang" w:hAnsi="Arial" w:cs="Arial"/>
                <w:noProof/>
                <w:snapToGrid w:val="0"/>
                <w:lang w:eastAsia="ar-SA"/>
              </w:rPr>
              <w:t>Stalo priekį ir šonus dengiančios plokštės (akustinės pertvaros) (žr.1 priedą)</w:t>
            </w:r>
          </w:p>
        </w:tc>
        <w:tc>
          <w:tcPr>
            <w:tcW w:w="1633" w:type="pct"/>
            <w:tcBorders>
              <w:top w:val="single" w:sz="4" w:space="0" w:color="auto"/>
              <w:left w:val="single" w:sz="4" w:space="0" w:color="auto"/>
              <w:bottom w:val="single" w:sz="4" w:space="0" w:color="auto"/>
              <w:right w:val="single" w:sz="4" w:space="0" w:color="auto"/>
            </w:tcBorders>
          </w:tcPr>
          <w:p w14:paraId="0A4CB3FF" w14:textId="22986445" w:rsidR="007143F0" w:rsidRDefault="00ED25B1" w:rsidP="00ED25B1">
            <w:pPr>
              <w:pStyle w:val="ListParagraph"/>
              <w:numPr>
                <w:ilvl w:val="2"/>
                <w:numId w:val="1"/>
              </w:numPr>
              <w:tabs>
                <w:tab w:val="left" w:pos="592"/>
              </w:tabs>
              <w:suppressAutoHyphens/>
              <w:ind w:left="0" w:firstLine="0"/>
              <w:jc w:val="both"/>
              <w:rPr>
                <w:rFonts w:ascii="Arial" w:eastAsia="Batang" w:hAnsi="Arial" w:cs="Arial"/>
                <w:lang w:eastAsia="ar-SA"/>
              </w:rPr>
            </w:pPr>
            <w:r w:rsidRPr="00ED25B1">
              <w:rPr>
                <w:rFonts w:ascii="Arial" w:eastAsia="Batang" w:hAnsi="Arial" w:cs="Arial"/>
                <w:lang w:eastAsia="ar-SA"/>
              </w:rPr>
              <w:t>Stalo priekį ir šonus dengiančios plokštės (akustinės pertvaros) (toliau – Pertvaros) turi visiškai uždengti stalo priekinę ir šonines puses iki grindų lygio, kad iš žiūrovų ar lankytojų pusės nebūtų matoma operatoriaus darbo vietos įranga ir stalo konstrukcija</w:t>
            </w:r>
            <w:r w:rsidR="007143F0" w:rsidRPr="00ED25B1">
              <w:rPr>
                <w:rFonts w:ascii="Arial" w:eastAsia="Batang" w:hAnsi="Arial" w:cs="Arial"/>
                <w:lang w:eastAsia="ar-SA"/>
              </w:rPr>
              <w:t>;</w:t>
            </w:r>
          </w:p>
          <w:p w14:paraId="31EB0B42" w14:textId="1074E86C" w:rsidR="00ED25B1" w:rsidRDefault="00ED25B1" w:rsidP="007143F0">
            <w:pPr>
              <w:pStyle w:val="ListParagraph"/>
              <w:numPr>
                <w:ilvl w:val="2"/>
                <w:numId w:val="1"/>
              </w:numPr>
              <w:tabs>
                <w:tab w:val="left" w:pos="592"/>
              </w:tabs>
              <w:suppressAutoHyphens/>
              <w:ind w:left="0" w:firstLine="0"/>
              <w:jc w:val="both"/>
              <w:rPr>
                <w:rFonts w:ascii="Arial" w:eastAsia="Batang" w:hAnsi="Arial" w:cs="Arial"/>
                <w:lang w:eastAsia="ar-SA"/>
              </w:rPr>
            </w:pPr>
            <w:r w:rsidRPr="00ED25B1">
              <w:rPr>
                <w:rFonts w:ascii="Arial" w:eastAsia="Batang" w:hAnsi="Arial" w:cs="Arial"/>
                <w:lang w:eastAsia="ar-SA"/>
              </w:rPr>
              <w:t xml:space="preserve">Turi būti pagamintos iš ≥16 mm storio LMDP plokščių, apdengtų akustiniu parolonu. </w:t>
            </w:r>
            <w:r w:rsidR="002C30E7" w:rsidRPr="002C30E7">
              <w:rPr>
                <w:rFonts w:ascii="Arial" w:eastAsia="Batang" w:hAnsi="Arial" w:cs="Arial"/>
                <w:lang w:eastAsia="ar-SA"/>
              </w:rPr>
              <w:t>Pertvaros turi būti gaminamos iš ≥16 mm storio LMDP plokščių, apdengtų akustiniu parolonu. Sertifikuota garso sugerties klasė – ne žemesnė kaip C</w:t>
            </w:r>
            <w:r>
              <w:rPr>
                <w:rFonts w:ascii="Arial" w:eastAsia="Batang" w:hAnsi="Arial" w:cs="Arial"/>
                <w:lang w:eastAsia="ar-SA"/>
              </w:rPr>
              <w:t>;</w:t>
            </w:r>
          </w:p>
          <w:p w14:paraId="22CCFEB1" w14:textId="5B833225" w:rsidR="00ED25B1" w:rsidRPr="00ED25B1" w:rsidRDefault="00ED25B1" w:rsidP="00ED25B1">
            <w:pPr>
              <w:pStyle w:val="ListParagraph"/>
              <w:numPr>
                <w:ilvl w:val="2"/>
                <w:numId w:val="1"/>
              </w:numPr>
              <w:tabs>
                <w:tab w:val="left" w:pos="592"/>
              </w:tabs>
              <w:suppressAutoHyphens/>
              <w:ind w:left="0" w:firstLine="0"/>
              <w:jc w:val="both"/>
              <w:rPr>
                <w:rFonts w:ascii="Arial" w:eastAsia="Batang" w:hAnsi="Arial" w:cs="Arial"/>
                <w:lang w:eastAsia="ar-SA"/>
              </w:rPr>
            </w:pPr>
            <w:r w:rsidRPr="00ED25B1">
              <w:rPr>
                <w:rFonts w:ascii="Arial" w:hAnsi="Arial" w:cs="Arial"/>
              </w:rPr>
              <w:t xml:space="preserve">Pertvaros turi būti aptrauktos gobelenu. Gobeleno sudėtis turi būti ne mažiau 100% poliesteris, kurio svoris yra ne mažiau 320 </w:t>
            </w:r>
            <w:r w:rsidRPr="00ED25B1">
              <w:rPr>
                <w:rFonts w:ascii="Arial" w:hAnsi="Arial" w:cs="Arial"/>
              </w:rPr>
              <w:lastRenderedPageBreak/>
              <w:t>g/m</w:t>
            </w:r>
            <w:r w:rsidRPr="00ED25B1">
              <w:rPr>
                <w:rFonts w:ascii="Arial" w:hAnsi="Arial" w:cs="Arial"/>
                <w:vertAlign w:val="superscript"/>
              </w:rPr>
              <w:t>2</w:t>
            </w:r>
            <w:r w:rsidRPr="00ED25B1">
              <w:rPr>
                <w:rFonts w:ascii="Arial" w:hAnsi="Arial" w:cs="Arial"/>
              </w:rPr>
              <w:t>, tvirtumas ne mažiau 100 000 ciklų pagal Martindeilo skalę, atsparumo ugniai atitiktis EN 1021/1&amp;2 (cigarečių ir degtukų testas)</w:t>
            </w:r>
            <w:r w:rsidR="00616EBA">
              <w:rPr>
                <w:rFonts w:ascii="Arial" w:hAnsi="Arial" w:cs="Arial"/>
              </w:rPr>
              <w:t xml:space="preserve"> arba lygiavertis</w:t>
            </w:r>
            <w:r w:rsidRPr="00ED25B1">
              <w:rPr>
                <w:rFonts w:ascii="Arial" w:hAnsi="Arial" w:cs="Arial"/>
              </w:rPr>
              <w:t>, spalvos atsparumas: ne mažiau 6 (EN ISO 105B 02</w:t>
            </w:r>
            <w:r w:rsidR="00616EBA">
              <w:rPr>
                <w:rFonts w:ascii="Arial" w:hAnsi="Arial" w:cs="Arial"/>
              </w:rPr>
              <w:t xml:space="preserve"> arba lygiavertis</w:t>
            </w:r>
            <w:r w:rsidRPr="00ED25B1">
              <w:rPr>
                <w:rFonts w:ascii="Arial" w:hAnsi="Arial" w:cs="Arial"/>
              </w:rPr>
              <w:t>), pilingavimas: ne mažiau nei 4 (ISO 105 – X12</w:t>
            </w:r>
            <w:r w:rsidR="00616EBA">
              <w:rPr>
                <w:rFonts w:ascii="Arial" w:hAnsi="Arial" w:cs="Arial"/>
              </w:rPr>
              <w:t xml:space="preserve"> arba lygiavertis</w:t>
            </w:r>
            <w:r w:rsidRPr="00ED25B1">
              <w:rPr>
                <w:rFonts w:ascii="Arial" w:hAnsi="Arial" w:cs="Arial"/>
              </w:rPr>
              <w:t>)</w:t>
            </w:r>
            <w:r>
              <w:rPr>
                <w:rFonts w:ascii="Arial" w:hAnsi="Arial" w:cs="Arial"/>
              </w:rPr>
              <w:t>;</w:t>
            </w:r>
          </w:p>
          <w:p w14:paraId="5EC6A025" w14:textId="77777777" w:rsidR="00ED25B1" w:rsidRPr="00ED25B1" w:rsidRDefault="00ED25B1" w:rsidP="00ED25B1">
            <w:pPr>
              <w:pStyle w:val="ListParagraph"/>
              <w:numPr>
                <w:ilvl w:val="2"/>
                <w:numId w:val="1"/>
              </w:numPr>
              <w:tabs>
                <w:tab w:val="left" w:pos="592"/>
              </w:tabs>
              <w:suppressAutoHyphens/>
              <w:ind w:left="0" w:firstLine="0"/>
              <w:jc w:val="both"/>
              <w:rPr>
                <w:rFonts w:ascii="Arial" w:eastAsia="Batang" w:hAnsi="Arial" w:cs="Arial"/>
                <w:lang w:eastAsia="ar-SA"/>
              </w:rPr>
            </w:pPr>
            <w:r w:rsidRPr="00ED25B1">
              <w:rPr>
                <w:rFonts w:ascii="Arial" w:hAnsi="Arial" w:cs="Arial"/>
              </w:rPr>
              <w:t>Orientacinis aukštis:</w:t>
            </w:r>
          </w:p>
          <w:p w14:paraId="5F3E2155" w14:textId="77777777" w:rsidR="00ED25B1" w:rsidRPr="00ED25B1" w:rsidRDefault="00ED25B1" w:rsidP="00ED25B1">
            <w:pPr>
              <w:pStyle w:val="ListParagraph"/>
              <w:numPr>
                <w:ilvl w:val="1"/>
                <w:numId w:val="35"/>
              </w:numPr>
              <w:tabs>
                <w:tab w:val="left" w:pos="450"/>
              </w:tabs>
              <w:spacing w:after="120" w:line="240" w:lineRule="auto"/>
              <w:ind w:left="25" w:firstLine="0"/>
              <w:contextualSpacing w:val="0"/>
              <w:jc w:val="both"/>
              <w:rPr>
                <w:rFonts w:ascii="Arial" w:hAnsi="Arial" w:cs="Arial"/>
              </w:rPr>
            </w:pPr>
            <w:r w:rsidRPr="00ED25B1">
              <w:rPr>
                <w:rFonts w:ascii="Arial" w:hAnsi="Arial" w:cs="Arial"/>
              </w:rPr>
              <w:t xml:space="preserve">1140 mm (+400 mm aukščiau nei stalviršis) </w:t>
            </w:r>
            <w:r w:rsidRPr="00ED25B1">
              <w:rPr>
                <w:rFonts w:ascii="Arial" w:hAnsi="Arial" w:cs="Arial"/>
                <w:lang w:eastAsia="lt-LT"/>
              </w:rPr>
              <w:t>(± 5 %);</w:t>
            </w:r>
          </w:p>
          <w:p w14:paraId="0C1246C1" w14:textId="77777777" w:rsidR="00ED25B1" w:rsidRPr="00155471" w:rsidRDefault="00ED25B1" w:rsidP="00ED25B1">
            <w:pPr>
              <w:pStyle w:val="ListParagraph"/>
              <w:numPr>
                <w:ilvl w:val="1"/>
                <w:numId w:val="35"/>
              </w:numPr>
              <w:tabs>
                <w:tab w:val="left" w:pos="450"/>
              </w:tabs>
              <w:spacing w:after="120" w:line="240" w:lineRule="auto"/>
              <w:ind w:left="25" w:firstLine="0"/>
              <w:contextualSpacing w:val="0"/>
              <w:jc w:val="both"/>
              <w:rPr>
                <w:rFonts w:ascii="Arial" w:hAnsi="Arial" w:cs="Arial"/>
                <w:sz w:val="18"/>
                <w:szCs w:val="18"/>
              </w:rPr>
            </w:pPr>
            <w:r w:rsidRPr="00ED25B1">
              <w:rPr>
                <w:rFonts w:ascii="Arial" w:hAnsi="Arial" w:cs="Arial"/>
              </w:rPr>
              <w:t>Šonus dengiančių pertvarų forma – trapecinė (su nuolydžiu, pavyzdį žr. 1 priedą), kai viena Pertvaros dalis yra žemesnė, o kita – aukštesnė, sudarant vientisą vizualinį perėjimą į priekį dengiančią Pertvarą. Aukštis ir nuolydis tarp aukštesnės ir žemesnės dalies derinamas su Pirkėju Sutarties vykdymo metu).</w:t>
            </w:r>
          </w:p>
          <w:p w14:paraId="4F3C8BCC" w14:textId="31EEE052" w:rsidR="00155471" w:rsidRPr="00155471" w:rsidRDefault="00155471" w:rsidP="00155471">
            <w:pPr>
              <w:pStyle w:val="ListParagraph"/>
              <w:numPr>
                <w:ilvl w:val="2"/>
                <w:numId w:val="1"/>
              </w:numPr>
              <w:tabs>
                <w:tab w:val="left" w:pos="734"/>
              </w:tabs>
              <w:spacing w:after="120" w:line="240" w:lineRule="auto"/>
              <w:ind w:left="0" w:firstLine="25"/>
              <w:jc w:val="both"/>
              <w:rPr>
                <w:rFonts w:ascii="Arial" w:hAnsi="Arial" w:cs="Arial"/>
                <w:lang w:val="en-US"/>
              </w:rPr>
            </w:pPr>
            <w:r w:rsidRPr="00155471">
              <w:rPr>
                <w:rFonts w:ascii="Arial" w:hAnsi="Arial" w:cs="Arial"/>
              </w:rPr>
              <w:t>Pertvaros turi būti tvirtai pritvirtintos prie stalo rėmo ar konstrukcijos, užtikrinant stabilumą, kad nebūtų vibracijos ar klibėjimo. Turi būti tvirtinama metaliniais laikikliais. Laikikliai turi būti dažyti milteliniu būdu (spalva identiška kitų metalinių detalių spalvai)</w:t>
            </w:r>
            <w:r>
              <w:rPr>
                <w:rFonts w:ascii="Arial" w:hAnsi="Arial" w:cs="Arial"/>
              </w:rPr>
              <w:t>;</w:t>
            </w:r>
          </w:p>
          <w:p w14:paraId="6681A8FC" w14:textId="5439368F" w:rsidR="00155471" w:rsidRPr="00155471" w:rsidRDefault="00155471" w:rsidP="00155471">
            <w:pPr>
              <w:pStyle w:val="ListParagraph"/>
              <w:numPr>
                <w:ilvl w:val="2"/>
                <w:numId w:val="1"/>
              </w:numPr>
              <w:tabs>
                <w:tab w:val="left" w:pos="734"/>
              </w:tabs>
              <w:spacing w:after="120" w:line="240" w:lineRule="auto"/>
              <w:ind w:left="0" w:firstLine="25"/>
              <w:jc w:val="both"/>
              <w:rPr>
                <w:rFonts w:ascii="Arial" w:hAnsi="Arial" w:cs="Arial"/>
              </w:rPr>
            </w:pPr>
            <w:r w:rsidRPr="00155471">
              <w:rPr>
                <w:rFonts w:ascii="Arial" w:hAnsi="Arial" w:cs="Arial"/>
              </w:rPr>
              <w:t>Spalva – juoda matinė, konkretus RAL spalvos kodas derinamas su Perkančiąja organizacija Sutarties vykdymo metu.</w:t>
            </w:r>
          </w:p>
        </w:tc>
        <w:tc>
          <w:tcPr>
            <w:tcW w:w="1821" w:type="pct"/>
            <w:tcBorders>
              <w:top w:val="single" w:sz="4" w:space="0" w:color="auto"/>
              <w:left w:val="single" w:sz="4" w:space="0" w:color="auto"/>
              <w:bottom w:val="single" w:sz="4" w:space="0" w:color="auto"/>
              <w:right w:val="single" w:sz="4" w:space="0" w:color="auto"/>
            </w:tcBorders>
          </w:tcPr>
          <w:p w14:paraId="173CC5D5" w14:textId="77777777" w:rsidR="00B174F3" w:rsidRPr="002400A8" w:rsidRDefault="00B174F3" w:rsidP="00B174F3">
            <w:pPr>
              <w:rPr>
                <w:rFonts w:ascii="Arial" w:hAnsi="Arial" w:cs="Arial"/>
                <w:color w:val="000000"/>
              </w:rPr>
            </w:pPr>
          </w:p>
        </w:tc>
      </w:tr>
      <w:tr w:rsidR="00155471" w:rsidRPr="002400A8" w14:paraId="5FB5299B" w14:textId="77777777" w:rsidTr="1924CA17">
        <w:tc>
          <w:tcPr>
            <w:tcW w:w="367" w:type="pct"/>
            <w:tcBorders>
              <w:top w:val="single" w:sz="4" w:space="0" w:color="auto"/>
              <w:left w:val="single" w:sz="4" w:space="0" w:color="auto"/>
              <w:bottom w:val="single" w:sz="4" w:space="0" w:color="auto"/>
              <w:right w:val="single" w:sz="4" w:space="0" w:color="auto"/>
            </w:tcBorders>
          </w:tcPr>
          <w:p w14:paraId="5C69F4D7" w14:textId="7BF9D2AE" w:rsidR="00155471" w:rsidRPr="002400A8" w:rsidRDefault="00155471" w:rsidP="00B174F3">
            <w:pPr>
              <w:jc w:val="center"/>
              <w:rPr>
                <w:rFonts w:ascii="Arial" w:hAnsi="Arial" w:cs="Arial"/>
              </w:rPr>
            </w:pPr>
            <w:r>
              <w:rPr>
                <w:rFonts w:ascii="Arial" w:hAnsi="Arial" w:cs="Arial"/>
              </w:rPr>
              <w:t>1.5.</w:t>
            </w:r>
          </w:p>
        </w:tc>
        <w:tc>
          <w:tcPr>
            <w:tcW w:w="1179" w:type="pct"/>
            <w:tcBorders>
              <w:top w:val="single" w:sz="4" w:space="0" w:color="auto"/>
              <w:left w:val="single" w:sz="4" w:space="0" w:color="auto"/>
              <w:bottom w:val="single" w:sz="4" w:space="0" w:color="auto"/>
              <w:right w:val="single" w:sz="4" w:space="0" w:color="auto"/>
            </w:tcBorders>
          </w:tcPr>
          <w:p w14:paraId="67E2CDB2" w14:textId="2B0D75C5" w:rsidR="00155471" w:rsidRPr="00ED25B1" w:rsidRDefault="00155471" w:rsidP="00ED25B1">
            <w:pPr>
              <w:jc w:val="both"/>
              <w:rPr>
                <w:rFonts w:ascii="Arial" w:eastAsia="Batang" w:hAnsi="Arial" w:cs="Arial"/>
                <w:noProof/>
                <w:snapToGrid w:val="0"/>
                <w:lang w:eastAsia="ar-SA"/>
              </w:rPr>
            </w:pPr>
            <w:r w:rsidRPr="00155471">
              <w:rPr>
                <w:rFonts w:ascii="Arial" w:eastAsia="Batang" w:hAnsi="Arial" w:cs="Arial"/>
                <w:noProof/>
                <w:snapToGrid w:val="0"/>
                <w:lang w:eastAsia="ar-SA"/>
              </w:rPr>
              <w:t>Spintelės matmenys:</w:t>
            </w:r>
          </w:p>
        </w:tc>
        <w:tc>
          <w:tcPr>
            <w:tcW w:w="1633" w:type="pct"/>
            <w:tcBorders>
              <w:top w:val="single" w:sz="4" w:space="0" w:color="auto"/>
              <w:left w:val="single" w:sz="4" w:space="0" w:color="auto"/>
              <w:bottom w:val="single" w:sz="4" w:space="0" w:color="auto"/>
              <w:right w:val="single" w:sz="4" w:space="0" w:color="auto"/>
            </w:tcBorders>
          </w:tcPr>
          <w:p w14:paraId="41CA3D01" w14:textId="1CCF96EE" w:rsidR="00155471" w:rsidRDefault="00155471" w:rsidP="00155471">
            <w:pPr>
              <w:pStyle w:val="ListParagraph"/>
              <w:numPr>
                <w:ilvl w:val="2"/>
                <w:numId w:val="36"/>
              </w:numPr>
              <w:tabs>
                <w:tab w:val="left" w:pos="592"/>
              </w:tabs>
              <w:suppressAutoHyphens/>
              <w:ind w:left="25" w:hanging="25"/>
              <w:jc w:val="both"/>
              <w:rPr>
                <w:rFonts w:ascii="Arial" w:eastAsia="Batang" w:hAnsi="Arial" w:cs="Arial"/>
                <w:lang w:val="en-US" w:eastAsia="ar-SA"/>
              </w:rPr>
            </w:pPr>
            <w:r>
              <w:rPr>
                <w:rFonts w:ascii="Arial" w:eastAsia="Batang" w:hAnsi="Arial" w:cs="Arial"/>
                <w:lang w:val="en-US" w:eastAsia="ar-SA"/>
              </w:rPr>
              <w:t xml:space="preserve">Plotis - </w:t>
            </w:r>
            <w:r w:rsidRPr="00155471">
              <w:rPr>
                <w:rFonts w:ascii="Arial" w:eastAsia="Batang" w:hAnsi="Arial" w:cs="Arial"/>
                <w:lang w:val="en-US" w:eastAsia="ar-SA"/>
              </w:rPr>
              <w:t>600 mm (± 5 %)</w:t>
            </w:r>
            <w:r>
              <w:rPr>
                <w:rFonts w:ascii="Arial" w:eastAsia="Batang" w:hAnsi="Arial" w:cs="Arial"/>
                <w:lang w:val="en-US" w:eastAsia="ar-SA"/>
              </w:rPr>
              <w:t>;</w:t>
            </w:r>
          </w:p>
          <w:p w14:paraId="45FC0888" w14:textId="77777777" w:rsidR="00155471" w:rsidRPr="00155471" w:rsidRDefault="00155471" w:rsidP="00155471">
            <w:pPr>
              <w:pStyle w:val="ListParagraph"/>
              <w:numPr>
                <w:ilvl w:val="2"/>
                <w:numId w:val="36"/>
              </w:numPr>
              <w:tabs>
                <w:tab w:val="left" w:pos="592"/>
              </w:tabs>
              <w:suppressAutoHyphens/>
              <w:ind w:left="25" w:hanging="25"/>
              <w:jc w:val="both"/>
              <w:rPr>
                <w:rFonts w:ascii="Arial" w:eastAsia="Batang" w:hAnsi="Arial" w:cs="Arial"/>
                <w:lang w:val="en-US" w:eastAsia="ar-SA"/>
              </w:rPr>
            </w:pPr>
            <w:r w:rsidRPr="00155471">
              <w:rPr>
                <w:rFonts w:ascii="Arial" w:eastAsia="Batang" w:hAnsi="Arial" w:cs="Arial"/>
                <w:lang w:val="en-US" w:eastAsia="ar-SA"/>
              </w:rPr>
              <w:t xml:space="preserve">Gylis - </w:t>
            </w:r>
            <w:r w:rsidRPr="00155471">
              <w:rPr>
                <w:rFonts w:ascii="Arial" w:hAnsi="Arial" w:cs="Arial"/>
              </w:rPr>
              <w:t xml:space="preserve">750 mm </w:t>
            </w:r>
            <w:r w:rsidRPr="00155471">
              <w:rPr>
                <w:rFonts w:ascii="Arial" w:hAnsi="Arial" w:cs="Arial"/>
                <w:lang w:eastAsia="lt-LT"/>
              </w:rPr>
              <w:t>(± 5 %)</w:t>
            </w:r>
          </w:p>
          <w:p w14:paraId="51FDAC8C" w14:textId="33FC72CC" w:rsidR="00155471" w:rsidRDefault="00155471" w:rsidP="00155471">
            <w:pPr>
              <w:pStyle w:val="ListParagraph"/>
              <w:tabs>
                <w:tab w:val="left" w:pos="592"/>
              </w:tabs>
              <w:suppressAutoHyphens/>
              <w:ind w:left="1080" w:hanging="1055"/>
              <w:jc w:val="both"/>
              <w:rPr>
                <w:rFonts w:ascii="Arial" w:eastAsia="Batang" w:hAnsi="Arial" w:cs="Arial"/>
                <w:lang w:val="en-US" w:eastAsia="ar-SA"/>
              </w:rPr>
            </w:pPr>
            <w:r w:rsidRPr="007A1283">
              <w:rPr>
                <w:rFonts w:ascii="Arial" w:hAnsi="Arial" w:cs="Arial"/>
                <w:i/>
                <w:iCs/>
                <w:sz w:val="18"/>
                <w:szCs w:val="18"/>
                <w:lang w:eastAsia="lt-LT"/>
              </w:rPr>
              <w:t>Pastaba: turi tilpti po stalviršiu</w:t>
            </w:r>
            <w:r>
              <w:rPr>
                <w:rFonts w:ascii="Arial" w:hAnsi="Arial" w:cs="Arial"/>
                <w:i/>
                <w:iCs/>
                <w:sz w:val="18"/>
                <w:szCs w:val="18"/>
                <w:lang w:eastAsia="lt-LT"/>
              </w:rPr>
              <w:t>;</w:t>
            </w:r>
          </w:p>
          <w:p w14:paraId="64A397DB" w14:textId="77777777" w:rsidR="00155471" w:rsidRDefault="00155471" w:rsidP="00155471">
            <w:pPr>
              <w:pStyle w:val="ListParagraph"/>
              <w:numPr>
                <w:ilvl w:val="2"/>
                <w:numId w:val="36"/>
              </w:numPr>
              <w:tabs>
                <w:tab w:val="left" w:pos="592"/>
              </w:tabs>
              <w:suppressAutoHyphens/>
              <w:ind w:left="0" w:firstLine="0"/>
              <w:jc w:val="both"/>
              <w:rPr>
                <w:rFonts w:ascii="Arial" w:eastAsia="Batang" w:hAnsi="Arial" w:cs="Arial"/>
                <w:lang w:val="en-US" w:eastAsia="ar-SA"/>
              </w:rPr>
            </w:pPr>
            <w:r>
              <w:rPr>
                <w:rFonts w:ascii="Arial" w:eastAsia="Batang" w:hAnsi="Arial" w:cs="Arial"/>
                <w:lang w:val="en-US" w:eastAsia="ar-SA"/>
              </w:rPr>
              <w:t xml:space="preserve">Aukštis - </w:t>
            </w:r>
            <w:r w:rsidRPr="00155471">
              <w:rPr>
                <w:rFonts w:ascii="Arial" w:eastAsia="Batang" w:hAnsi="Arial" w:cs="Arial"/>
                <w:lang w:val="en-US" w:eastAsia="ar-SA"/>
              </w:rPr>
              <w:t>600 mm (± 5 %)</w:t>
            </w:r>
            <w:r>
              <w:rPr>
                <w:rFonts w:ascii="Arial" w:eastAsia="Batang" w:hAnsi="Arial" w:cs="Arial"/>
                <w:lang w:val="en-US" w:eastAsia="ar-SA"/>
              </w:rPr>
              <w:t xml:space="preserve"> </w:t>
            </w:r>
          </w:p>
          <w:p w14:paraId="02FA0D98" w14:textId="17815044" w:rsidR="00155471" w:rsidRPr="00155471" w:rsidRDefault="00155471" w:rsidP="00155471">
            <w:pPr>
              <w:pStyle w:val="ListParagraph"/>
              <w:tabs>
                <w:tab w:val="left" w:pos="592"/>
              </w:tabs>
              <w:suppressAutoHyphens/>
              <w:ind w:left="1080" w:hanging="1055"/>
              <w:jc w:val="both"/>
              <w:rPr>
                <w:rFonts w:ascii="Arial" w:eastAsia="Batang" w:hAnsi="Arial" w:cs="Arial"/>
                <w:lang w:val="en-US" w:eastAsia="ar-SA"/>
              </w:rPr>
            </w:pPr>
            <w:r w:rsidRPr="007A1283">
              <w:rPr>
                <w:rFonts w:ascii="Arial" w:hAnsi="Arial" w:cs="Arial"/>
                <w:i/>
                <w:iCs/>
                <w:sz w:val="18"/>
                <w:szCs w:val="18"/>
                <w:lang w:eastAsia="lt-LT"/>
              </w:rPr>
              <w:t>Pastaba: turi tilpti po stalviršiu</w:t>
            </w:r>
            <w:r>
              <w:rPr>
                <w:rFonts w:ascii="Arial" w:hAnsi="Arial" w:cs="Arial"/>
                <w:i/>
                <w:iCs/>
                <w:sz w:val="18"/>
                <w:szCs w:val="18"/>
                <w:lang w:eastAsia="lt-LT"/>
              </w:rPr>
              <w:t>.</w:t>
            </w:r>
          </w:p>
        </w:tc>
        <w:tc>
          <w:tcPr>
            <w:tcW w:w="1821" w:type="pct"/>
            <w:tcBorders>
              <w:top w:val="single" w:sz="4" w:space="0" w:color="auto"/>
              <w:left w:val="single" w:sz="4" w:space="0" w:color="auto"/>
              <w:bottom w:val="single" w:sz="4" w:space="0" w:color="auto"/>
              <w:right w:val="single" w:sz="4" w:space="0" w:color="auto"/>
            </w:tcBorders>
          </w:tcPr>
          <w:p w14:paraId="4DE83139" w14:textId="77777777" w:rsidR="00155471" w:rsidRPr="002400A8" w:rsidRDefault="00155471" w:rsidP="00B174F3">
            <w:pPr>
              <w:rPr>
                <w:rFonts w:ascii="Arial" w:hAnsi="Arial" w:cs="Arial"/>
                <w:color w:val="000000"/>
              </w:rPr>
            </w:pPr>
          </w:p>
        </w:tc>
      </w:tr>
      <w:tr w:rsidR="00155471" w:rsidRPr="002400A8" w14:paraId="6EA14167" w14:textId="77777777" w:rsidTr="1924CA17">
        <w:tc>
          <w:tcPr>
            <w:tcW w:w="367" w:type="pct"/>
            <w:tcBorders>
              <w:top w:val="single" w:sz="4" w:space="0" w:color="auto"/>
              <w:left w:val="single" w:sz="4" w:space="0" w:color="auto"/>
              <w:bottom w:val="single" w:sz="4" w:space="0" w:color="auto"/>
              <w:right w:val="single" w:sz="4" w:space="0" w:color="auto"/>
            </w:tcBorders>
          </w:tcPr>
          <w:p w14:paraId="744A630C" w14:textId="1886159A" w:rsidR="00155471" w:rsidRPr="00155471" w:rsidRDefault="00155471" w:rsidP="00B174F3">
            <w:pPr>
              <w:jc w:val="center"/>
              <w:rPr>
                <w:rFonts w:ascii="Arial" w:hAnsi="Arial" w:cs="Arial"/>
                <w:lang w:val="en-US"/>
              </w:rPr>
            </w:pPr>
            <w:r>
              <w:rPr>
                <w:rFonts w:ascii="Arial" w:hAnsi="Arial" w:cs="Arial"/>
                <w:lang w:val="en-US"/>
              </w:rPr>
              <w:t>1.6.</w:t>
            </w:r>
          </w:p>
        </w:tc>
        <w:tc>
          <w:tcPr>
            <w:tcW w:w="1179" w:type="pct"/>
            <w:tcBorders>
              <w:top w:val="single" w:sz="4" w:space="0" w:color="auto"/>
              <w:left w:val="single" w:sz="4" w:space="0" w:color="auto"/>
              <w:bottom w:val="single" w:sz="4" w:space="0" w:color="auto"/>
              <w:right w:val="single" w:sz="4" w:space="0" w:color="auto"/>
            </w:tcBorders>
          </w:tcPr>
          <w:p w14:paraId="64C6C9C8" w14:textId="5BB610B2" w:rsidR="00155471" w:rsidRPr="00155471" w:rsidRDefault="00155471" w:rsidP="00ED25B1">
            <w:pPr>
              <w:jc w:val="both"/>
              <w:rPr>
                <w:rFonts w:ascii="Arial" w:eastAsia="Batang" w:hAnsi="Arial" w:cs="Arial"/>
                <w:noProof/>
                <w:snapToGrid w:val="0"/>
                <w:lang w:eastAsia="ar-SA"/>
              </w:rPr>
            </w:pPr>
            <w:r w:rsidRPr="00155471">
              <w:rPr>
                <w:rFonts w:ascii="Arial" w:eastAsia="Batang" w:hAnsi="Arial" w:cs="Arial"/>
                <w:noProof/>
                <w:snapToGrid w:val="0"/>
                <w:lang w:eastAsia="ar-SA"/>
              </w:rPr>
              <w:t>Spintelės plokštės</w:t>
            </w:r>
          </w:p>
        </w:tc>
        <w:tc>
          <w:tcPr>
            <w:tcW w:w="1633" w:type="pct"/>
            <w:tcBorders>
              <w:top w:val="single" w:sz="4" w:space="0" w:color="auto"/>
              <w:left w:val="single" w:sz="4" w:space="0" w:color="auto"/>
              <w:bottom w:val="single" w:sz="4" w:space="0" w:color="auto"/>
              <w:right w:val="single" w:sz="4" w:space="0" w:color="auto"/>
            </w:tcBorders>
          </w:tcPr>
          <w:p w14:paraId="458D3B73" w14:textId="77777777" w:rsidR="00155471" w:rsidRDefault="00155471" w:rsidP="00155471">
            <w:pPr>
              <w:pStyle w:val="ListParagraph"/>
              <w:numPr>
                <w:ilvl w:val="2"/>
                <w:numId w:val="40"/>
              </w:numPr>
              <w:tabs>
                <w:tab w:val="left" w:pos="592"/>
              </w:tabs>
              <w:spacing w:after="120" w:line="240" w:lineRule="auto"/>
              <w:ind w:left="25" w:firstLine="0"/>
              <w:jc w:val="both"/>
              <w:rPr>
                <w:rFonts w:ascii="Arial" w:hAnsi="Arial" w:cs="Arial"/>
              </w:rPr>
            </w:pPr>
            <w:r w:rsidRPr="00155471">
              <w:rPr>
                <w:rFonts w:ascii="Arial" w:hAnsi="Arial" w:cs="Arial"/>
              </w:rPr>
              <w:t>≥18 mm storio LMDP plokštės</w:t>
            </w:r>
            <w:r>
              <w:rPr>
                <w:rFonts w:ascii="Arial" w:hAnsi="Arial" w:cs="Arial"/>
              </w:rPr>
              <w:t>;</w:t>
            </w:r>
          </w:p>
          <w:p w14:paraId="3937DDCA" w14:textId="06095013" w:rsidR="00155471" w:rsidRPr="00155471" w:rsidRDefault="00155471" w:rsidP="00155471">
            <w:pPr>
              <w:pStyle w:val="ListParagraph"/>
              <w:numPr>
                <w:ilvl w:val="2"/>
                <w:numId w:val="40"/>
              </w:numPr>
              <w:tabs>
                <w:tab w:val="left" w:pos="592"/>
              </w:tabs>
              <w:spacing w:after="120" w:line="240" w:lineRule="auto"/>
              <w:ind w:left="25" w:firstLine="0"/>
              <w:jc w:val="both"/>
              <w:rPr>
                <w:rFonts w:ascii="Arial" w:hAnsi="Arial" w:cs="Arial"/>
              </w:rPr>
            </w:pPr>
            <w:r w:rsidRPr="00155471">
              <w:rPr>
                <w:rFonts w:ascii="Arial" w:hAnsi="Arial" w:cs="Arial"/>
              </w:rPr>
              <w:t>Juoda matinė spalva (konkretus spalvos kodas pagal RAL derinamas su Pirkėju Sutarties vykdymo metu)</w:t>
            </w:r>
            <w:r>
              <w:rPr>
                <w:rFonts w:ascii="Arial" w:hAnsi="Arial" w:cs="Arial"/>
              </w:rPr>
              <w:t>.</w:t>
            </w:r>
          </w:p>
        </w:tc>
        <w:tc>
          <w:tcPr>
            <w:tcW w:w="1821" w:type="pct"/>
            <w:tcBorders>
              <w:top w:val="single" w:sz="4" w:space="0" w:color="auto"/>
              <w:left w:val="single" w:sz="4" w:space="0" w:color="auto"/>
              <w:bottom w:val="single" w:sz="4" w:space="0" w:color="auto"/>
              <w:right w:val="single" w:sz="4" w:space="0" w:color="auto"/>
            </w:tcBorders>
          </w:tcPr>
          <w:p w14:paraId="2F4469F2" w14:textId="77777777" w:rsidR="00155471" w:rsidRPr="002400A8" w:rsidRDefault="00155471" w:rsidP="00B174F3">
            <w:pPr>
              <w:rPr>
                <w:rFonts w:ascii="Arial" w:hAnsi="Arial" w:cs="Arial"/>
                <w:color w:val="000000"/>
              </w:rPr>
            </w:pPr>
          </w:p>
        </w:tc>
      </w:tr>
      <w:tr w:rsidR="00155471" w:rsidRPr="002400A8" w14:paraId="48F0255F" w14:textId="77777777" w:rsidTr="1924CA17">
        <w:tc>
          <w:tcPr>
            <w:tcW w:w="367" w:type="pct"/>
            <w:tcBorders>
              <w:top w:val="single" w:sz="4" w:space="0" w:color="auto"/>
              <w:left w:val="single" w:sz="4" w:space="0" w:color="auto"/>
              <w:bottom w:val="single" w:sz="4" w:space="0" w:color="auto"/>
              <w:right w:val="single" w:sz="4" w:space="0" w:color="auto"/>
            </w:tcBorders>
          </w:tcPr>
          <w:p w14:paraId="76889A72" w14:textId="0E4800C5" w:rsidR="00155471" w:rsidRDefault="00155471" w:rsidP="00B174F3">
            <w:pPr>
              <w:jc w:val="center"/>
              <w:rPr>
                <w:rFonts w:ascii="Arial" w:hAnsi="Arial" w:cs="Arial"/>
                <w:lang w:val="en-US"/>
              </w:rPr>
            </w:pPr>
            <w:r>
              <w:rPr>
                <w:rFonts w:ascii="Arial" w:hAnsi="Arial" w:cs="Arial"/>
                <w:lang w:val="en-US"/>
              </w:rPr>
              <w:t>1.7.</w:t>
            </w:r>
          </w:p>
        </w:tc>
        <w:tc>
          <w:tcPr>
            <w:tcW w:w="1179" w:type="pct"/>
            <w:tcBorders>
              <w:top w:val="single" w:sz="4" w:space="0" w:color="auto"/>
              <w:left w:val="single" w:sz="4" w:space="0" w:color="auto"/>
              <w:bottom w:val="single" w:sz="4" w:space="0" w:color="auto"/>
              <w:right w:val="single" w:sz="4" w:space="0" w:color="auto"/>
            </w:tcBorders>
          </w:tcPr>
          <w:p w14:paraId="7199FD33" w14:textId="0E20461B" w:rsidR="00155471" w:rsidRPr="00155471" w:rsidRDefault="00155471" w:rsidP="00ED25B1">
            <w:pPr>
              <w:jc w:val="both"/>
              <w:rPr>
                <w:rFonts w:ascii="Arial" w:eastAsia="Batang" w:hAnsi="Arial" w:cs="Arial"/>
                <w:noProof/>
                <w:snapToGrid w:val="0"/>
                <w:lang w:eastAsia="ar-SA"/>
              </w:rPr>
            </w:pPr>
            <w:r w:rsidRPr="00155471">
              <w:rPr>
                <w:rFonts w:ascii="Arial" w:eastAsia="Batang" w:hAnsi="Arial" w:cs="Arial"/>
                <w:noProof/>
                <w:snapToGrid w:val="0"/>
                <w:lang w:eastAsia="ar-SA"/>
              </w:rPr>
              <w:t>Spintelės durelės</w:t>
            </w:r>
          </w:p>
        </w:tc>
        <w:tc>
          <w:tcPr>
            <w:tcW w:w="1633" w:type="pct"/>
            <w:tcBorders>
              <w:top w:val="single" w:sz="4" w:space="0" w:color="auto"/>
              <w:left w:val="single" w:sz="4" w:space="0" w:color="auto"/>
              <w:bottom w:val="single" w:sz="4" w:space="0" w:color="auto"/>
              <w:right w:val="single" w:sz="4" w:space="0" w:color="auto"/>
            </w:tcBorders>
          </w:tcPr>
          <w:p w14:paraId="58CB79EC" w14:textId="77777777" w:rsidR="00155471" w:rsidRDefault="00A30006" w:rsidP="00A30006">
            <w:pPr>
              <w:pStyle w:val="ListParagraph"/>
              <w:numPr>
                <w:ilvl w:val="2"/>
                <w:numId w:val="42"/>
              </w:numPr>
              <w:tabs>
                <w:tab w:val="left" w:pos="592"/>
              </w:tabs>
              <w:spacing w:after="120" w:line="240" w:lineRule="auto"/>
              <w:jc w:val="both"/>
              <w:rPr>
                <w:rFonts w:ascii="Arial" w:hAnsi="Arial" w:cs="Arial"/>
              </w:rPr>
            </w:pPr>
            <w:r w:rsidRPr="00A30006">
              <w:rPr>
                <w:rFonts w:ascii="Arial" w:hAnsi="Arial" w:cs="Arial"/>
              </w:rPr>
              <w:t>Rakinamos</w:t>
            </w:r>
            <w:r>
              <w:rPr>
                <w:rFonts w:ascii="Arial" w:hAnsi="Arial" w:cs="Arial"/>
              </w:rPr>
              <w:t>;</w:t>
            </w:r>
          </w:p>
          <w:p w14:paraId="1188C9F4" w14:textId="77777777" w:rsidR="00A30006" w:rsidRDefault="00A30006" w:rsidP="00A30006">
            <w:pPr>
              <w:pStyle w:val="ListParagraph"/>
              <w:numPr>
                <w:ilvl w:val="2"/>
                <w:numId w:val="42"/>
              </w:numPr>
              <w:tabs>
                <w:tab w:val="left" w:pos="592"/>
              </w:tabs>
              <w:spacing w:after="120" w:line="240" w:lineRule="auto"/>
              <w:ind w:left="25" w:hanging="25"/>
              <w:jc w:val="both"/>
              <w:rPr>
                <w:rFonts w:ascii="Arial" w:hAnsi="Arial" w:cs="Arial"/>
              </w:rPr>
            </w:pPr>
            <w:r w:rsidRPr="00A30006">
              <w:rPr>
                <w:rFonts w:ascii="Arial" w:hAnsi="Arial" w:cs="Arial"/>
              </w:rPr>
              <w:lastRenderedPageBreak/>
              <w:t>Durelių atidarymo kryptis derinama su Pirkėju Sutarties vykdymo metu</w:t>
            </w:r>
            <w:r>
              <w:rPr>
                <w:rFonts w:ascii="Arial" w:hAnsi="Arial" w:cs="Arial"/>
              </w:rPr>
              <w:t>;</w:t>
            </w:r>
          </w:p>
          <w:p w14:paraId="6A49F692" w14:textId="77777777" w:rsidR="00A30006" w:rsidRDefault="00A30006" w:rsidP="00A30006">
            <w:pPr>
              <w:pStyle w:val="ListParagraph"/>
              <w:numPr>
                <w:ilvl w:val="2"/>
                <w:numId w:val="42"/>
              </w:numPr>
              <w:tabs>
                <w:tab w:val="left" w:pos="592"/>
              </w:tabs>
              <w:spacing w:after="120" w:line="240" w:lineRule="auto"/>
              <w:ind w:left="25" w:hanging="25"/>
              <w:jc w:val="both"/>
              <w:rPr>
                <w:rFonts w:ascii="Arial" w:hAnsi="Arial" w:cs="Arial"/>
              </w:rPr>
            </w:pPr>
            <w:r w:rsidRPr="00A30006">
              <w:rPr>
                <w:rFonts w:ascii="Arial" w:hAnsi="Arial" w:cs="Arial"/>
              </w:rPr>
              <w:t>Durelių atidarymo mechanizmas – ant metalinės baldų furnitūros vyrių, leidžiančių ne mažiau kaip 95° atidarymo kampą, su savaiminio užsidarymo (angl. soft close) funkcija</w:t>
            </w:r>
            <w:r>
              <w:rPr>
                <w:rFonts w:ascii="Arial" w:hAnsi="Arial" w:cs="Arial"/>
              </w:rPr>
              <w:t>;</w:t>
            </w:r>
          </w:p>
          <w:p w14:paraId="3B937C0C" w14:textId="685FEE9F" w:rsidR="00A30006" w:rsidRPr="00A30006" w:rsidRDefault="00A30006" w:rsidP="00A30006">
            <w:pPr>
              <w:pStyle w:val="ListParagraph"/>
              <w:numPr>
                <w:ilvl w:val="2"/>
                <w:numId w:val="42"/>
              </w:numPr>
              <w:tabs>
                <w:tab w:val="left" w:pos="592"/>
              </w:tabs>
              <w:spacing w:after="120" w:line="240" w:lineRule="auto"/>
              <w:ind w:left="25" w:hanging="25"/>
              <w:jc w:val="both"/>
              <w:rPr>
                <w:rFonts w:ascii="Arial" w:hAnsi="Arial" w:cs="Arial"/>
              </w:rPr>
            </w:pPr>
            <w:r w:rsidRPr="00A30006">
              <w:rPr>
                <w:rFonts w:ascii="Arial" w:hAnsi="Arial" w:cs="Arial"/>
              </w:rPr>
              <w:t>Durelių rankenėlės metalinės, derinamos su Pirkėju Sutarties vykdymo metu (juoda matinė spalva, konkretus spalvos kodas pagal RAL derinamas su Pirkėju Sutarties vykdymo metu)</w:t>
            </w:r>
            <w:r>
              <w:rPr>
                <w:rFonts w:ascii="Arial" w:hAnsi="Arial" w:cs="Arial"/>
              </w:rPr>
              <w:t>.</w:t>
            </w:r>
          </w:p>
        </w:tc>
        <w:tc>
          <w:tcPr>
            <w:tcW w:w="1821" w:type="pct"/>
            <w:tcBorders>
              <w:top w:val="single" w:sz="4" w:space="0" w:color="auto"/>
              <w:left w:val="single" w:sz="4" w:space="0" w:color="auto"/>
              <w:bottom w:val="single" w:sz="4" w:space="0" w:color="auto"/>
              <w:right w:val="single" w:sz="4" w:space="0" w:color="auto"/>
            </w:tcBorders>
          </w:tcPr>
          <w:p w14:paraId="240AAF34" w14:textId="77777777" w:rsidR="00155471" w:rsidRPr="002400A8" w:rsidRDefault="00155471" w:rsidP="00B174F3">
            <w:pPr>
              <w:rPr>
                <w:rFonts w:ascii="Arial" w:hAnsi="Arial" w:cs="Arial"/>
                <w:color w:val="000000"/>
              </w:rPr>
            </w:pPr>
          </w:p>
        </w:tc>
      </w:tr>
      <w:tr w:rsidR="00A30006" w:rsidRPr="002400A8" w14:paraId="4F8D330D" w14:textId="77777777" w:rsidTr="1924CA17">
        <w:tc>
          <w:tcPr>
            <w:tcW w:w="367" w:type="pct"/>
            <w:tcBorders>
              <w:top w:val="single" w:sz="4" w:space="0" w:color="auto"/>
              <w:left w:val="single" w:sz="4" w:space="0" w:color="auto"/>
              <w:bottom w:val="single" w:sz="4" w:space="0" w:color="auto"/>
              <w:right w:val="single" w:sz="4" w:space="0" w:color="auto"/>
            </w:tcBorders>
          </w:tcPr>
          <w:p w14:paraId="47DA55E0" w14:textId="367B1128" w:rsidR="00A30006" w:rsidRDefault="00A30006" w:rsidP="00B174F3">
            <w:pPr>
              <w:jc w:val="center"/>
              <w:rPr>
                <w:rFonts w:ascii="Arial" w:hAnsi="Arial" w:cs="Arial"/>
                <w:lang w:val="en-US"/>
              </w:rPr>
            </w:pPr>
            <w:r>
              <w:rPr>
                <w:rFonts w:ascii="Arial" w:hAnsi="Arial" w:cs="Arial"/>
                <w:lang w:val="en-US"/>
              </w:rPr>
              <w:t>1.8.</w:t>
            </w:r>
          </w:p>
        </w:tc>
        <w:tc>
          <w:tcPr>
            <w:tcW w:w="1179" w:type="pct"/>
            <w:tcBorders>
              <w:top w:val="single" w:sz="4" w:space="0" w:color="auto"/>
              <w:left w:val="single" w:sz="4" w:space="0" w:color="auto"/>
              <w:bottom w:val="single" w:sz="4" w:space="0" w:color="auto"/>
              <w:right w:val="single" w:sz="4" w:space="0" w:color="auto"/>
            </w:tcBorders>
          </w:tcPr>
          <w:p w14:paraId="1E1D3B5C" w14:textId="31818768" w:rsidR="00A30006" w:rsidRPr="00155471" w:rsidRDefault="00A30006" w:rsidP="00ED25B1">
            <w:pPr>
              <w:jc w:val="both"/>
              <w:rPr>
                <w:rFonts w:ascii="Arial" w:eastAsia="Batang" w:hAnsi="Arial" w:cs="Arial"/>
                <w:noProof/>
                <w:snapToGrid w:val="0"/>
                <w:lang w:eastAsia="ar-SA"/>
              </w:rPr>
            </w:pPr>
            <w:r w:rsidRPr="00A30006">
              <w:rPr>
                <w:rFonts w:ascii="Arial" w:eastAsia="Batang" w:hAnsi="Arial" w:cs="Arial"/>
                <w:noProof/>
                <w:snapToGrid w:val="0"/>
                <w:lang w:eastAsia="ar-SA"/>
              </w:rPr>
              <w:t>Spintelės lentynos</w:t>
            </w:r>
          </w:p>
        </w:tc>
        <w:tc>
          <w:tcPr>
            <w:tcW w:w="1633" w:type="pct"/>
            <w:tcBorders>
              <w:top w:val="single" w:sz="4" w:space="0" w:color="auto"/>
              <w:left w:val="single" w:sz="4" w:space="0" w:color="auto"/>
              <w:bottom w:val="single" w:sz="4" w:space="0" w:color="auto"/>
              <w:right w:val="single" w:sz="4" w:space="0" w:color="auto"/>
            </w:tcBorders>
          </w:tcPr>
          <w:p w14:paraId="56AA3EF5" w14:textId="3045E517" w:rsidR="00A30006" w:rsidRDefault="00A30006" w:rsidP="00A30006">
            <w:pPr>
              <w:pStyle w:val="ListParagraph"/>
              <w:numPr>
                <w:ilvl w:val="2"/>
                <w:numId w:val="44"/>
              </w:numPr>
              <w:tabs>
                <w:tab w:val="left" w:pos="592"/>
              </w:tabs>
              <w:spacing w:after="120" w:line="240" w:lineRule="auto"/>
              <w:ind w:left="25" w:hanging="25"/>
              <w:jc w:val="both"/>
              <w:rPr>
                <w:rFonts w:ascii="Arial" w:hAnsi="Arial" w:cs="Arial"/>
              </w:rPr>
            </w:pPr>
            <w:r w:rsidRPr="00A30006">
              <w:rPr>
                <w:rFonts w:ascii="Arial" w:hAnsi="Arial" w:cs="Arial"/>
              </w:rPr>
              <w:t>Ne mažiau kaip 2 lentynos;</w:t>
            </w:r>
          </w:p>
          <w:p w14:paraId="25A539C4" w14:textId="43C03A02" w:rsidR="00A30006" w:rsidRDefault="00A30006" w:rsidP="00A30006">
            <w:pPr>
              <w:pStyle w:val="ListParagraph"/>
              <w:numPr>
                <w:ilvl w:val="2"/>
                <w:numId w:val="44"/>
              </w:numPr>
              <w:tabs>
                <w:tab w:val="left" w:pos="592"/>
              </w:tabs>
              <w:spacing w:after="120" w:line="240" w:lineRule="auto"/>
              <w:ind w:left="25" w:hanging="25"/>
              <w:jc w:val="both"/>
              <w:rPr>
                <w:rFonts w:ascii="Arial" w:hAnsi="Arial" w:cs="Arial"/>
              </w:rPr>
            </w:pPr>
            <w:r w:rsidRPr="00A30006">
              <w:rPr>
                <w:rFonts w:ascii="Arial" w:hAnsi="Arial" w:cs="Arial"/>
              </w:rPr>
              <w:t>≥18 mm storio LMDP plokštė</w:t>
            </w:r>
            <w:r>
              <w:rPr>
                <w:rFonts w:ascii="Arial" w:hAnsi="Arial" w:cs="Arial"/>
              </w:rPr>
              <w:t>;</w:t>
            </w:r>
          </w:p>
          <w:p w14:paraId="44E56901" w14:textId="3F85FB7C" w:rsidR="00A30006" w:rsidRDefault="00A30006" w:rsidP="00A30006">
            <w:pPr>
              <w:pStyle w:val="ListParagraph"/>
              <w:numPr>
                <w:ilvl w:val="2"/>
                <w:numId w:val="44"/>
              </w:numPr>
              <w:tabs>
                <w:tab w:val="left" w:pos="592"/>
              </w:tabs>
              <w:spacing w:after="120" w:line="240" w:lineRule="auto"/>
              <w:ind w:left="0" w:firstLine="0"/>
              <w:jc w:val="both"/>
              <w:rPr>
                <w:rFonts w:ascii="Arial" w:hAnsi="Arial" w:cs="Arial"/>
              </w:rPr>
            </w:pPr>
            <w:r w:rsidRPr="00A30006">
              <w:rPr>
                <w:rFonts w:ascii="Arial" w:hAnsi="Arial" w:cs="Arial"/>
              </w:rPr>
              <w:t>Lentynų padėtis turi būti reguliuojama kas 32 mm žingsniu, naudojant perforuotus šoninius bėgelius arba reguliuojamus laikiklius;</w:t>
            </w:r>
          </w:p>
          <w:p w14:paraId="627AE8C0" w14:textId="505AADB5" w:rsidR="00A30006" w:rsidRPr="00A30006" w:rsidRDefault="00A30006" w:rsidP="00A30006">
            <w:pPr>
              <w:pStyle w:val="ListParagraph"/>
              <w:numPr>
                <w:ilvl w:val="2"/>
                <w:numId w:val="44"/>
              </w:numPr>
              <w:tabs>
                <w:tab w:val="left" w:pos="592"/>
              </w:tabs>
              <w:spacing w:after="120" w:line="240" w:lineRule="auto"/>
              <w:ind w:left="0" w:firstLine="0"/>
              <w:jc w:val="both"/>
              <w:rPr>
                <w:rFonts w:ascii="Arial" w:hAnsi="Arial" w:cs="Arial"/>
              </w:rPr>
            </w:pPr>
            <w:r w:rsidRPr="00A30006">
              <w:rPr>
                <w:rFonts w:ascii="Arial" w:hAnsi="Arial" w:cs="Arial"/>
              </w:rPr>
              <w:t>Juoda matinė spalva (konkretus spalvos kodas pagal RAL derinamas su Pirkėju Sutarties vykdymo metu)</w:t>
            </w:r>
            <w:r>
              <w:rPr>
                <w:rFonts w:ascii="Arial" w:hAnsi="Arial" w:cs="Arial"/>
              </w:rPr>
              <w:t>.</w:t>
            </w:r>
          </w:p>
        </w:tc>
        <w:tc>
          <w:tcPr>
            <w:tcW w:w="1821" w:type="pct"/>
            <w:tcBorders>
              <w:top w:val="single" w:sz="4" w:space="0" w:color="auto"/>
              <w:left w:val="single" w:sz="4" w:space="0" w:color="auto"/>
              <w:bottom w:val="single" w:sz="4" w:space="0" w:color="auto"/>
              <w:right w:val="single" w:sz="4" w:space="0" w:color="auto"/>
            </w:tcBorders>
          </w:tcPr>
          <w:p w14:paraId="203FEDA9" w14:textId="77777777" w:rsidR="00A30006" w:rsidRPr="002400A8" w:rsidRDefault="00A30006" w:rsidP="00B174F3">
            <w:pPr>
              <w:rPr>
                <w:rFonts w:ascii="Arial" w:hAnsi="Arial" w:cs="Arial"/>
                <w:color w:val="000000"/>
              </w:rPr>
            </w:pPr>
          </w:p>
        </w:tc>
      </w:tr>
      <w:tr w:rsidR="00A30006" w:rsidRPr="002400A8" w14:paraId="64AA27CF" w14:textId="77777777" w:rsidTr="1924CA17">
        <w:tc>
          <w:tcPr>
            <w:tcW w:w="367" w:type="pct"/>
            <w:tcBorders>
              <w:top w:val="single" w:sz="4" w:space="0" w:color="auto"/>
              <w:left w:val="single" w:sz="4" w:space="0" w:color="auto"/>
              <w:bottom w:val="single" w:sz="4" w:space="0" w:color="auto"/>
              <w:right w:val="single" w:sz="4" w:space="0" w:color="auto"/>
            </w:tcBorders>
          </w:tcPr>
          <w:p w14:paraId="0D4332AE" w14:textId="0A189A41" w:rsidR="00A30006" w:rsidRDefault="00A30006" w:rsidP="00B174F3">
            <w:pPr>
              <w:jc w:val="center"/>
              <w:rPr>
                <w:rFonts w:ascii="Arial" w:hAnsi="Arial" w:cs="Arial"/>
                <w:lang w:val="en-US"/>
              </w:rPr>
            </w:pPr>
            <w:r>
              <w:rPr>
                <w:rFonts w:ascii="Arial" w:hAnsi="Arial" w:cs="Arial"/>
                <w:lang w:val="en-US"/>
              </w:rPr>
              <w:t>1.9.</w:t>
            </w:r>
          </w:p>
        </w:tc>
        <w:tc>
          <w:tcPr>
            <w:tcW w:w="1179" w:type="pct"/>
            <w:tcBorders>
              <w:top w:val="single" w:sz="4" w:space="0" w:color="auto"/>
              <w:left w:val="single" w:sz="4" w:space="0" w:color="auto"/>
              <w:bottom w:val="single" w:sz="4" w:space="0" w:color="auto"/>
              <w:right w:val="single" w:sz="4" w:space="0" w:color="auto"/>
            </w:tcBorders>
          </w:tcPr>
          <w:p w14:paraId="65FC05AA" w14:textId="52F0D9A2" w:rsidR="00A30006" w:rsidRPr="00A30006" w:rsidRDefault="00A30006" w:rsidP="00ED25B1">
            <w:pPr>
              <w:jc w:val="both"/>
              <w:rPr>
                <w:rFonts w:ascii="Arial" w:eastAsia="Batang" w:hAnsi="Arial" w:cs="Arial"/>
                <w:noProof/>
                <w:snapToGrid w:val="0"/>
                <w:lang w:eastAsia="ar-SA"/>
              </w:rPr>
            </w:pPr>
            <w:r w:rsidRPr="00A30006">
              <w:rPr>
                <w:rFonts w:ascii="Arial" w:eastAsia="Batang" w:hAnsi="Arial" w:cs="Arial"/>
                <w:noProof/>
                <w:snapToGrid w:val="0"/>
                <w:lang w:eastAsia="ar-SA"/>
              </w:rPr>
              <w:t>Spintelės kojos</w:t>
            </w:r>
          </w:p>
        </w:tc>
        <w:tc>
          <w:tcPr>
            <w:tcW w:w="1633" w:type="pct"/>
            <w:tcBorders>
              <w:top w:val="single" w:sz="4" w:space="0" w:color="auto"/>
              <w:left w:val="single" w:sz="4" w:space="0" w:color="auto"/>
              <w:bottom w:val="single" w:sz="4" w:space="0" w:color="auto"/>
              <w:right w:val="single" w:sz="4" w:space="0" w:color="auto"/>
            </w:tcBorders>
          </w:tcPr>
          <w:p w14:paraId="1B350F76" w14:textId="32B8D3A4" w:rsidR="00A30006" w:rsidRDefault="00A30006" w:rsidP="00A30006">
            <w:pPr>
              <w:pStyle w:val="ListParagraph"/>
              <w:numPr>
                <w:ilvl w:val="2"/>
                <w:numId w:val="46"/>
              </w:numPr>
              <w:tabs>
                <w:tab w:val="left" w:pos="592"/>
              </w:tabs>
              <w:spacing w:after="120" w:line="240" w:lineRule="auto"/>
              <w:jc w:val="both"/>
              <w:rPr>
                <w:rFonts w:ascii="Arial" w:hAnsi="Arial" w:cs="Arial"/>
              </w:rPr>
            </w:pPr>
            <w:r w:rsidRPr="00A30006">
              <w:rPr>
                <w:rFonts w:ascii="Arial" w:hAnsi="Arial" w:cs="Arial"/>
              </w:rPr>
              <w:t>Aukštis</w:t>
            </w:r>
            <w:r>
              <w:rPr>
                <w:rFonts w:ascii="Arial" w:hAnsi="Arial" w:cs="Arial"/>
              </w:rPr>
              <w:t xml:space="preserve"> -</w:t>
            </w:r>
            <w:r w:rsidRPr="00A30006">
              <w:rPr>
                <w:rFonts w:ascii="Arial" w:hAnsi="Arial" w:cs="Arial"/>
              </w:rPr>
              <w:t xml:space="preserve"> 60 mm (± 5 %)</w:t>
            </w:r>
            <w:r>
              <w:rPr>
                <w:rFonts w:ascii="Arial" w:hAnsi="Arial" w:cs="Arial"/>
              </w:rPr>
              <w:t>;</w:t>
            </w:r>
          </w:p>
          <w:p w14:paraId="0EB87A59" w14:textId="77777777" w:rsidR="00A30006" w:rsidRPr="00A30006" w:rsidRDefault="00A30006" w:rsidP="00A30006">
            <w:pPr>
              <w:pStyle w:val="ListParagraph"/>
              <w:numPr>
                <w:ilvl w:val="2"/>
                <w:numId w:val="46"/>
              </w:numPr>
              <w:tabs>
                <w:tab w:val="left" w:pos="592"/>
              </w:tabs>
              <w:spacing w:after="120" w:line="240" w:lineRule="auto"/>
              <w:ind w:left="25" w:hanging="25"/>
              <w:jc w:val="both"/>
              <w:rPr>
                <w:rFonts w:ascii="Arial" w:hAnsi="Arial" w:cs="Arial"/>
              </w:rPr>
            </w:pPr>
            <w:r w:rsidRPr="00A30006">
              <w:rPr>
                <w:rFonts w:ascii="Arial" w:hAnsi="Arial" w:cs="Arial"/>
              </w:rPr>
              <w:t>Reguliuojamo aukščio grindų nelygumams išlyginti;</w:t>
            </w:r>
          </w:p>
          <w:p w14:paraId="469F90E2" w14:textId="77777777" w:rsidR="00A30006" w:rsidRDefault="00A30006" w:rsidP="00A30006">
            <w:pPr>
              <w:pStyle w:val="ListParagraph"/>
              <w:numPr>
                <w:ilvl w:val="2"/>
                <w:numId w:val="46"/>
              </w:numPr>
              <w:tabs>
                <w:tab w:val="left" w:pos="592"/>
              </w:tabs>
              <w:spacing w:after="120" w:line="240" w:lineRule="auto"/>
              <w:ind w:left="0" w:firstLine="0"/>
              <w:jc w:val="both"/>
              <w:rPr>
                <w:rFonts w:ascii="Arial" w:hAnsi="Arial" w:cs="Arial"/>
              </w:rPr>
            </w:pPr>
            <w:r w:rsidRPr="00A30006">
              <w:rPr>
                <w:rFonts w:ascii="Arial" w:hAnsi="Arial" w:cs="Arial"/>
              </w:rPr>
              <w:t>Turi turėti paminkštinimus ar apsaugas, kurie užtikrintų, kad baldas negadintų grindų dangos</w:t>
            </w:r>
            <w:r>
              <w:rPr>
                <w:rFonts w:ascii="Arial" w:hAnsi="Arial" w:cs="Arial"/>
              </w:rPr>
              <w:t>;</w:t>
            </w:r>
          </w:p>
          <w:p w14:paraId="10723D67" w14:textId="330EEC35" w:rsidR="00A30006" w:rsidRPr="00A30006" w:rsidRDefault="00A30006" w:rsidP="00A30006">
            <w:pPr>
              <w:pStyle w:val="ListParagraph"/>
              <w:numPr>
                <w:ilvl w:val="2"/>
                <w:numId w:val="46"/>
              </w:numPr>
              <w:tabs>
                <w:tab w:val="left" w:pos="592"/>
              </w:tabs>
              <w:spacing w:after="120" w:line="240" w:lineRule="auto"/>
              <w:ind w:left="0" w:firstLine="0"/>
              <w:jc w:val="both"/>
              <w:rPr>
                <w:rFonts w:ascii="Arial" w:hAnsi="Arial" w:cs="Arial"/>
              </w:rPr>
            </w:pPr>
            <w:r w:rsidRPr="00A30006">
              <w:rPr>
                <w:rFonts w:ascii="Arial" w:hAnsi="Arial" w:cs="Arial"/>
              </w:rPr>
              <w:t>Juoda matinė spalva (konkretus spalvos kodas pagal RAL derinamas su Pirkėju Sutarties vykdymo metu)</w:t>
            </w:r>
            <w:r>
              <w:rPr>
                <w:rFonts w:ascii="Arial" w:hAnsi="Arial" w:cs="Arial"/>
              </w:rPr>
              <w:t>.</w:t>
            </w:r>
          </w:p>
        </w:tc>
        <w:tc>
          <w:tcPr>
            <w:tcW w:w="1821" w:type="pct"/>
            <w:tcBorders>
              <w:top w:val="single" w:sz="4" w:space="0" w:color="auto"/>
              <w:left w:val="single" w:sz="4" w:space="0" w:color="auto"/>
              <w:bottom w:val="single" w:sz="4" w:space="0" w:color="auto"/>
              <w:right w:val="single" w:sz="4" w:space="0" w:color="auto"/>
            </w:tcBorders>
          </w:tcPr>
          <w:p w14:paraId="09AA4873" w14:textId="77777777" w:rsidR="00A30006" w:rsidRPr="002400A8" w:rsidRDefault="00A30006" w:rsidP="00B174F3">
            <w:pPr>
              <w:rPr>
                <w:rFonts w:ascii="Arial" w:hAnsi="Arial" w:cs="Arial"/>
                <w:color w:val="000000"/>
              </w:rPr>
            </w:pPr>
          </w:p>
        </w:tc>
      </w:tr>
      <w:tr w:rsidR="00A30006" w:rsidRPr="002400A8" w14:paraId="5AC1F5A3" w14:textId="77777777" w:rsidTr="1924CA17">
        <w:tc>
          <w:tcPr>
            <w:tcW w:w="367" w:type="pct"/>
            <w:tcBorders>
              <w:top w:val="single" w:sz="4" w:space="0" w:color="auto"/>
              <w:left w:val="single" w:sz="4" w:space="0" w:color="auto"/>
              <w:bottom w:val="single" w:sz="4" w:space="0" w:color="auto"/>
              <w:right w:val="single" w:sz="4" w:space="0" w:color="auto"/>
            </w:tcBorders>
          </w:tcPr>
          <w:p w14:paraId="528DF2C9" w14:textId="22C3FB87" w:rsidR="00A30006" w:rsidRDefault="00A30006" w:rsidP="00B174F3">
            <w:pPr>
              <w:jc w:val="center"/>
              <w:rPr>
                <w:rFonts w:ascii="Arial" w:hAnsi="Arial" w:cs="Arial"/>
                <w:lang w:val="en-US"/>
              </w:rPr>
            </w:pPr>
            <w:r>
              <w:rPr>
                <w:rFonts w:ascii="Arial" w:hAnsi="Arial" w:cs="Arial"/>
                <w:lang w:val="en-US"/>
              </w:rPr>
              <w:t>1.10.</w:t>
            </w:r>
          </w:p>
        </w:tc>
        <w:tc>
          <w:tcPr>
            <w:tcW w:w="1179" w:type="pct"/>
            <w:tcBorders>
              <w:top w:val="single" w:sz="4" w:space="0" w:color="auto"/>
              <w:left w:val="single" w:sz="4" w:space="0" w:color="auto"/>
              <w:bottom w:val="single" w:sz="4" w:space="0" w:color="auto"/>
              <w:right w:val="single" w:sz="4" w:space="0" w:color="auto"/>
            </w:tcBorders>
          </w:tcPr>
          <w:p w14:paraId="2AA7E149" w14:textId="0F1DCF75" w:rsidR="00A30006" w:rsidRPr="00A30006" w:rsidRDefault="00A30006" w:rsidP="00ED25B1">
            <w:pPr>
              <w:jc w:val="both"/>
              <w:rPr>
                <w:rFonts w:ascii="Arial" w:eastAsia="Batang" w:hAnsi="Arial" w:cs="Arial"/>
                <w:noProof/>
                <w:snapToGrid w:val="0"/>
                <w:lang w:eastAsia="ar-SA"/>
              </w:rPr>
            </w:pPr>
            <w:r w:rsidRPr="00A30006">
              <w:rPr>
                <w:rFonts w:ascii="Arial" w:eastAsia="Batang" w:hAnsi="Arial" w:cs="Arial"/>
                <w:noProof/>
                <w:snapToGrid w:val="0"/>
                <w:lang w:eastAsia="ar-SA"/>
              </w:rPr>
              <w:t>LMDP plokščių kraštai</w:t>
            </w:r>
          </w:p>
        </w:tc>
        <w:tc>
          <w:tcPr>
            <w:tcW w:w="1633" w:type="pct"/>
            <w:tcBorders>
              <w:top w:val="single" w:sz="4" w:space="0" w:color="auto"/>
              <w:left w:val="single" w:sz="4" w:space="0" w:color="auto"/>
              <w:bottom w:val="single" w:sz="4" w:space="0" w:color="auto"/>
              <w:right w:val="single" w:sz="4" w:space="0" w:color="auto"/>
            </w:tcBorders>
          </w:tcPr>
          <w:p w14:paraId="057A8650" w14:textId="6D9F0E86" w:rsidR="00A30006" w:rsidRPr="00A30006" w:rsidRDefault="00A30006" w:rsidP="00A30006">
            <w:pPr>
              <w:pStyle w:val="ListParagraph"/>
              <w:numPr>
                <w:ilvl w:val="2"/>
                <w:numId w:val="48"/>
              </w:numPr>
              <w:tabs>
                <w:tab w:val="left" w:pos="734"/>
              </w:tabs>
              <w:spacing w:after="120" w:line="240" w:lineRule="auto"/>
              <w:ind w:left="25" w:hanging="25"/>
              <w:jc w:val="both"/>
              <w:rPr>
                <w:rFonts w:ascii="Arial" w:hAnsi="Arial" w:cs="Arial"/>
              </w:rPr>
            </w:pPr>
            <w:r w:rsidRPr="00A30006">
              <w:rPr>
                <w:rFonts w:ascii="Arial" w:hAnsi="Arial" w:cs="Arial"/>
              </w:rPr>
              <w:t>Visi atviri kraštai turi būti briaunuojami 2 mm ABS/PVC briauna, kurios spalva turi sutapti su plokštės laminato spalva</w:t>
            </w:r>
          </w:p>
        </w:tc>
        <w:tc>
          <w:tcPr>
            <w:tcW w:w="1821" w:type="pct"/>
            <w:tcBorders>
              <w:top w:val="single" w:sz="4" w:space="0" w:color="auto"/>
              <w:left w:val="single" w:sz="4" w:space="0" w:color="auto"/>
              <w:bottom w:val="single" w:sz="4" w:space="0" w:color="auto"/>
              <w:right w:val="single" w:sz="4" w:space="0" w:color="auto"/>
            </w:tcBorders>
          </w:tcPr>
          <w:p w14:paraId="487F67E7" w14:textId="77777777" w:rsidR="00A30006" w:rsidRPr="002400A8" w:rsidRDefault="00A30006" w:rsidP="00B174F3">
            <w:pPr>
              <w:rPr>
                <w:rFonts w:ascii="Arial" w:hAnsi="Arial" w:cs="Arial"/>
                <w:color w:val="000000"/>
              </w:rPr>
            </w:pPr>
          </w:p>
        </w:tc>
      </w:tr>
      <w:tr w:rsidR="007143F0" w:rsidRPr="002400A8" w14:paraId="58657F19" w14:textId="77777777" w:rsidTr="1924CA17">
        <w:tc>
          <w:tcPr>
            <w:tcW w:w="367" w:type="pct"/>
            <w:tcBorders>
              <w:top w:val="single" w:sz="4" w:space="0" w:color="auto"/>
              <w:left w:val="single" w:sz="4" w:space="0" w:color="auto"/>
              <w:bottom w:val="single" w:sz="4" w:space="0" w:color="auto"/>
              <w:right w:val="single" w:sz="4" w:space="0" w:color="auto"/>
            </w:tcBorders>
          </w:tcPr>
          <w:p w14:paraId="0BFC745E" w14:textId="328E0DD4" w:rsidR="007143F0" w:rsidRPr="00A30006" w:rsidRDefault="00A30006" w:rsidP="007143F0">
            <w:pPr>
              <w:jc w:val="center"/>
              <w:rPr>
                <w:rFonts w:ascii="Arial" w:hAnsi="Arial" w:cs="Arial"/>
              </w:rPr>
            </w:pPr>
            <w:r w:rsidRPr="00A30006">
              <w:rPr>
                <w:rFonts w:ascii="Arial" w:hAnsi="Arial" w:cs="Arial"/>
              </w:rPr>
              <w:t>1.11.</w:t>
            </w:r>
          </w:p>
        </w:tc>
        <w:tc>
          <w:tcPr>
            <w:tcW w:w="1179" w:type="pct"/>
            <w:tcBorders>
              <w:top w:val="single" w:sz="4" w:space="0" w:color="auto"/>
              <w:left w:val="single" w:sz="4" w:space="0" w:color="auto"/>
              <w:bottom w:val="single" w:sz="4" w:space="0" w:color="auto"/>
              <w:right w:val="single" w:sz="4" w:space="0" w:color="auto"/>
            </w:tcBorders>
          </w:tcPr>
          <w:p w14:paraId="6F08F94F" w14:textId="3A5B701E" w:rsidR="007143F0" w:rsidRPr="002400A8" w:rsidRDefault="007143F0" w:rsidP="007143F0">
            <w:pPr>
              <w:rPr>
                <w:rFonts w:ascii="Arial" w:eastAsia="Batang" w:hAnsi="Arial" w:cs="Arial"/>
                <w:noProof/>
                <w:lang w:eastAsia="ar-SA"/>
              </w:rPr>
            </w:pPr>
            <w:r w:rsidRPr="002400A8">
              <w:rPr>
                <w:rFonts w:ascii="Arial" w:eastAsia="Batang" w:hAnsi="Arial" w:cs="Arial"/>
                <w:noProof/>
                <w:lang w:eastAsia="ar-SA"/>
              </w:rPr>
              <w:t>Garantija visoms prekėms</w:t>
            </w:r>
          </w:p>
        </w:tc>
        <w:tc>
          <w:tcPr>
            <w:tcW w:w="1633" w:type="pct"/>
            <w:tcBorders>
              <w:top w:val="single" w:sz="4" w:space="0" w:color="auto"/>
              <w:left w:val="single" w:sz="4" w:space="0" w:color="auto"/>
              <w:bottom w:val="single" w:sz="4" w:space="0" w:color="auto"/>
              <w:right w:val="single" w:sz="4" w:space="0" w:color="auto"/>
            </w:tcBorders>
          </w:tcPr>
          <w:p w14:paraId="4651509F" w14:textId="1805A66B" w:rsidR="007143F0" w:rsidRPr="002400A8" w:rsidRDefault="000C3BCB" w:rsidP="007143F0">
            <w:pPr>
              <w:suppressAutoHyphens/>
              <w:rPr>
                <w:rFonts w:ascii="Arial" w:hAnsi="Arial" w:cs="Arial"/>
              </w:rPr>
            </w:pPr>
            <w:r>
              <w:rPr>
                <w:rFonts w:ascii="Arial" w:hAnsi="Arial" w:cs="Arial"/>
                <w:lang w:val="en-US"/>
              </w:rPr>
              <w:t>1.11</w:t>
            </w:r>
            <w:r w:rsidR="007143F0" w:rsidRPr="00F12271">
              <w:rPr>
                <w:rFonts w:ascii="Arial" w:hAnsi="Arial" w:cs="Arial"/>
                <w:lang w:val="en-US"/>
              </w:rPr>
              <w:t>.1.</w:t>
            </w:r>
            <w:r w:rsidR="007143F0" w:rsidRPr="002400A8">
              <w:rPr>
                <w:rFonts w:ascii="Arial" w:hAnsi="Arial" w:cs="Arial"/>
                <w:lang w:val="en-US"/>
              </w:rPr>
              <w:t xml:space="preserve"> </w:t>
            </w:r>
            <w:r w:rsidR="007143F0" w:rsidRPr="002400A8">
              <w:rPr>
                <w:rFonts w:ascii="Arial" w:hAnsi="Arial" w:cs="Arial"/>
              </w:rPr>
              <w:t xml:space="preserve">Ne mažiau kaip </w:t>
            </w:r>
            <w:r w:rsidR="007143F0" w:rsidRPr="002400A8">
              <w:rPr>
                <w:rFonts w:ascii="Arial" w:hAnsi="Arial" w:cs="Arial"/>
                <w:lang w:val="en-US"/>
              </w:rPr>
              <w:t>24 m</w:t>
            </w:r>
            <w:r w:rsidR="007143F0" w:rsidRPr="002400A8">
              <w:rPr>
                <w:rFonts w:ascii="Arial" w:hAnsi="Arial" w:cs="Arial"/>
              </w:rPr>
              <w:t xml:space="preserve">ėn. </w:t>
            </w:r>
          </w:p>
        </w:tc>
        <w:tc>
          <w:tcPr>
            <w:tcW w:w="1821" w:type="pct"/>
            <w:tcBorders>
              <w:top w:val="single" w:sz="4" w:space="0" w:color="auto"/>
              <w:left w:val="single" w:sz="4" w:space="0" w:color="auto"/>
              <w:bottom w:val="single" w:sz="4" w:space="0" w:color="auto"/>
              <w:right w:val="single" w:sz="4" w:space="0" w:color="auto"/>
            </w:tcBorders>
          </w:tcPr>
          <w:p w14:paraId="388EC698" w14:textId="77777777" w:rsidR="007143F0" w:rsidRPr="002400A8" w:rsidRDefault="007143F0" w:rsidP="007143F0">
            <w:pPr>
              <w:rPr>
                <w:rFonts w:ascii="Arial" w:hAnsi="Arial" w:cs="Arial"/>
                <w:color w:val="000000"/>
              </w:rPr>
            </w:pPr>
          </w:p>
        </w:tc>
      </w:tr>
    </w:tbl>
    <w:p w14:paraId="1E833272" w14:textId="2BCE1284" w:rsidR="00727B77" w:rsidRPr="00D42220" w:rsidRDefault="00727B77" w:rsidP="00727B77">
      <w:pPr>
        <w:spacing w:after="0"/>
        <w:jc w:val="both"/>
        <w:rPr>
          <w:rFonts w:ascii="Arial" w:hAnsi="Arial" w:cs="Arial"/>
          <w:b/>
          <w:snapToGrid w:val="0"/>
          <w:sz w:val="20"/>
          <w:szCs w:val="20"/>
        </w:rPr>
      </w:pPr>
      <w:r w:rsidRPr="00F9151D">
        <w:rPr>
          <w:rFonts w:ascii="Arial" w:hAnsi="Arial" w:cs="Arial"/>
          <w:sz w:val="20"/>
          <w:szCs w:val="20"/>
        </w:rPr>
        <w:t xml:space="preserve">* </w:t>
      </w:r>
      <w:r>
        <w:rPr>
          <w:rFonts w:ascii="Arial" w:hAnsi="Arial" w:cs="Arial"/>
          <w:sz w:val="20"/>
          <w:szCs w:val="20"/>
        </w:rPr>
        <w:t>A</w:t>
      </w:r>
      <w:r w:rsidRPr="00F9151D">
        <w:rPr>
          <w:rFonts w:ascii="Arial" w:hAnsi="Arial" w:cs="Arial"/>
          <w:snapToGrid w:val="0"/>
          <w:sz w:val="20"/>
          <w:szCs w:val="20"/>
        </w:rPr>
        <w:t>titiktis nurodyt</w:t>
      </w:r>
      <w:r>
        <w:rPr>
          <w:rFonts w:ascii="Arial" w:hAnsi="Arial" w:cs="Arial"/>
          <w:snapToGrid w:val="0"/>
          <w:sz w:val="20"/>
          <w:szCs w:val="20"/>
        </w:rPr>
        <w:t>iems</w:t>
      </w:r>
      <w:r w:rsidRPr="00F9151D">
        <w:rPr>
          <w:rFonts w:ascii="Arial" w:hAnsi="Arial" w:cs="Arial"/>
          <w:snapToGrid w:val="0"/>
          <w:sz w:val="20"/>
          <w:szCs w:val="20"/>
        </w:rPr>
        <w:t xml:space="preserve"> reikalavim</w:t>
      </w:r>
      <w:r>
        <w:rPr>
          <w:rFonts w:ascii="Arial" w:hAnsi="Arial" w:cs="Arial"/>
          <w:snapToGrid w:val="0"/>
          <w:sz w:val="20"/>
          <w:szCs w:val="20"/>
        </w:rPr>
        <w:t>ams</w:t>
      </w:r>
      <w:r w:rsidRPr="00F9151D">
        <w:rPr>
          <w:rFonts w:ascii="Arial" w:hAnsi="Arial" w:cs="Arial"/>
          <w:snapToGrid w:val="0"/>
          <w:sz w:val="20"/>
          <w:szCs w:val="20"/>
        </w:rPr>
        <w:t xml:space="preserve"> bus tikrinama Sutarties vykdymo metu</w:t>
      </w:r>
      <w:r w:rsidR="00E01432">
        <w:rPr>
          <w:rFonts w:ascii="Arial" w:hAnsi="Arial" w:cs="Arial"/>
          <w:snapToGrid w:val="0"/>
          <w:sz w:val="20"/>
          <w:szCs w:val="20"/>
        </w:rPr>
        <w:t>, kartu su pasiūlymu Tiekėjas neturi pateikti atitiktį reikalavimams patvirtinančių dokumentų</w:t>
      </w:r>
    </w:p>
    <w:p w14:paraId="2455E998" w14:textId="77777777" w:rsidR="00F2412D" w:rsidRDefault="00F2412D" w:rsidP="00F2412D">
      <w:pPr>
        <w:spacing w:after="0"/>
        <w:jc w:val="both"/>
        <w:rPr>
          <w:rFonts w:ascii="Arial" w:hAnsi="Arial" w:cs="Arial"/>
          <w:b/>
          <w:snapToGrid w:val="0"/>
        </w:rPr>
      </w:pPr>
    </w:p>
    <w:p w14:paraId="08108A20" w14:textId="77777777" w:rsidR="0069017B" w:rsidRDefault="0069017B" w:rsidP="00F2412D">
      <w:pPr>
        <w:spacing w:after="0"/>
        <w:jc w:val="both"/>
        <w:rPr>
          <w:rFonts w:ascii="Arial" w:hAnsi="Arial" w:cs="Arial"/>
          <w:b/>
          <w:snapToGrid w:val="0"/>
        </w:rPr>
      </w:pPr>
    </w:p>
    <w:p w14:paraId="0838AA3C" w14:textId="77777777" w:rsidR="0069017B" w:rsidRDefault="0069017B" w:rsidP="00F2412D">
      <w:pPr>
        <w:spacing w:after="0"/>
        <w:jc w:val="both"/>
        <w:rPr>
          <w:rFonts w:ascii="Arial" w:hAnsi="Arial" w:cs="Arial"/>
          <w:b/>
          <w:snapToGrid w:val="0"/>
        </w:rPr>
      </w:pPr>
    </w:p>
    <w:p w14:paraId="4C4EFE4E" w14:textId="77777777" w:rsidR="0069017B" w:rsidRDefault="0069017B" w:rsidP="00F2412D">
      <w:pPr>
        <w:spacing w:after="0"/>
        <w:jc w:val="both"/>
        <w:rPr>
          <w:rFonts w:ascii="Arial" w:hAnsi="Arial" w:cs="Arial"/>
          <w:b/>
          <w:snapToGrid w:val="0"/>
        </w:rPr>
      </w:pPr>
    </w:p>
    <w:p w14:paraId="7CEC2CF3" w14:textId="354EB613" w:rsidR="00CD1571" w:rsidRPr="00CD1571" w:rsidRDefault="00CD1571" w:rsidP="0073133A">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hAnsi="Arial" w:cs="Arial"/>
          <w:b/>
          <w:snapToGrid w:val="0"/>
        </w:rPr>
      </w:pPr>
      <w:r>
        <w:rPr>
          <w:rFonts w:ascii="Arial" w:hAnsi="Arial" w:cs="Arial"/>
          <w:b/>
          <w:snapToGrid w:val="0"/>
        </w:rPr>
        <w:t>KITA INFORMACIJA</w:t>
      </w:r>
    </w:p>
    <w:p w14:paraId="760EADC0" w14:textId="1FB73DF4" w:rsidR="00CD1571" w:rsidRDefault="00CD1571" w:rsidP="00CD1571">
      <w:pPr>
        <w:pStyle w:val="ListParagraph"/>
        <w:numPr>
          <w:ilvl w:val="1"/>
          <w:numId w:val="50"/>
        </w:numPr>
        <w:tabs>
          <w:tab w:val="left" w:pos="426"/>
        </w:tabs>
        <w:spacing w:before="60" w:after="60" w:line="240" w:lineRule="auto"/>
        <w:ind w:left="0" w:firstLine="0"/>
        <w:jc w:val="both"/>
        <w:rPr>
          <w:rFonts w:ascii="Arial" w:eastAsia="Calibri" w:hAnsi="Arial" w:cs="Arial"/>
          <w:iCs/>
        </w:rPr>
      </w:pPr>
      <w:r w:rsidRPr="00CD1571">
        <w:rPr>
          <w:rFonts w:ascii="Arial" w:eastAsia="Calibri" w:hAnsi="Arial" w:cs="Arial"/>
          <w:iCs/>
        </w:rPr>
        <w:t>Tiekėjas į bendrą pasiūlymo kainą įsivertina ir prieš baldų gamybą atlieka projektavimą (baldų gamyba pradedama tik susiderinus baldų projektą su Pirkėju). Baldų projektavimas apima visų atskirų perkamų baldų trimačius brėžinius.</w:t>
      </w:r>
    </w:p>
    <w:p w14:paraId="2C2CA7A5" w14:textId="77777777" w:rsidR="00CD1571" w:rsidRDefault="00CD1571" w:rsidP="00CD1571">
      <w:pPr>
        <w:pStyle w:val="ListParagraph"/>
        <w:numPr>
          <w:ilvl w:val="1"/>
          <w:numId w:val="50"/>
        </w:numPr>
        <w:tabs>
          <w:tab w:val="left" w:pos="426"/>
        </w:tabs>
        <w:spacing w:before="60" w:after="60" w:line="240" w:lineRule="auto"/>
        <w:ind w:left="0" w:firstLine="0"/>
        <w:jc w:val="both"/>
        <w:rPr>
          <w:rFonts w:ascii="Arial" w:eastAsia="Calibri" w:hAnsi="Arial" w:cs="Arial"/>
          <w:iCs/>
        </w:rPr>
      </w:pPr>
      <w:r w:rsidRPr="00CD1571">
        <w:rPr>
          <w:rFonts w:ascii="Arial" w:eastAsia="Calibri" w:hAnsi="Arial" w:cs="Arial"/>
          <w:iCs/>
        </w:rPr>
        <w:t>Visi pavojingi baldų kampai turi būti užapvalinti (derinti su Pirkėju atliekant projektavimą).</w:t>
      </w:r>
    </w:p>
    <w:p w14:paraId="5A6A95C8" w14:textId="4A98808E" w:rsidR="00CD1571" w:rsidRPr="00CD1571" w:rsidRDefault="00CD1571" w:rsidP="00CD1571">
      <w:pPr>
        <w:pStyle w:val="ListParagraph"/>
        <w:numPr>
          <w:ilvl w:val="1"/>
          <w:numId w:val="50"/>
        </w:numPr>
        <w:tabs>
          <w:tab w:val="left" w:pos="426"/>
        </w:tabs>
        <w:spacing w:before="60" w:after="60" w:line="240" w:lineRule="auto"/>
        <w:ind w:left="0" w:firstLine="0"/>
        <w:jc w:val="both"/>
        <w:rPr>
          <w:rFonts w:ascii="Arial" w:eastAsia="Calibri" w:hAnsi="Arial" w:cs="Arial"/>
          <w:iCs/>
        </w:rPr>
      </w:pPr>
      <w:r w:rsidRPr="00CD1571">
        <w:rPr>
          <w:rFonts w:ascii="Arial" w:eastAsia="Calibri" w:hAnsi="Arial" w:cs="Arial"/>
          <w:iCs/>
        </w:rPr>
        <w:t>Į kainą turi būti įskaičiuotos visos baldų sumontavimui ir apdailai reikalingos detalės bei paslaugos, įskaitant furnitūrą (vyrius, laikiklius, rankenėles, varžtus ir tvirtinimo elementus), kabelių groteles, dangtelius, grindų apsaugas, reguliuojamas atramas, transportavimą, užnešimą, montavimą bei pakuočių atliekų išvežimą.</w:t>
      </w:r>
    </w:p>
    <w:p w14:paraId="31C01050" w14:textId="77777777" w:rsidR="00CD1571" w:rsidRPr="002400A8" w:rsidRDefault="00CD1571" w:rsidP="00F2412D">
      <w:pPr>
        <w:spacing w:after="0"/>
        <w:jc w:val="both"/>
        <w:rPr>
          <w:rFonts w:ascii="Arial" w:hAnsi="Arial" w:cs="Arial"/>
          <w:b/>
          <w:snapToGrid w:val="0"/>
        </w:rPr>
      </w:pPr>
    </w:p>
    <w:p w14:paraId="5037E2C6" w14:textId="77777777" w:rsidR="00134EB3" w:rsidRPr="002400A8" w:rsidRDefault="007828EC" w:rsidP="00CD1571">
      <w:pPr>
        <w:numPr>
          <w:ilvl w:val="0"/>
          <w:numId w:val="50"/>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400A8">
        <w:rPr>
          <w:rFonts w:ascii="Arial" w:eastAsia="Calibri" w:hAnsi="Arial" w:cs="Arial"/>
          <w:b/>
        </w:rPr>
        <w:t>APLINKOSAUGINIAI</w:t>
      </w:r>
      <w:r w:rsidR="00134EB3" w:rsidRPr="002400A8">
        <w:rPr>
          <w:rFonts w:ascii="Arial" w:eastAsia="Calibri" w:hAnsi="Arial" w:cs="Arial"/>
          <w:b/>
        </w:rPr>
        <w:t xml:space="preserve"> REIKALAVIMAI</w:t>
      </w:r>
    </w:p>
    <w:p w14:paraId="06668267" w14:textId="1BA91BE9" w:rsidR="00CD1571" w:rsidRPr="00CD1571" w:rsidRDefault="00CD1571" w:rsidP="00CD1571">
      <w:pPr>
        <w:pStyle w:val="ListParagraph"/>
        <w:numPr>
          <w:ilvl w:val="1"/>
          <w:numId w:val="50"/>
        </w:numPr>
        <w:tabs>
          <w:tab w:val="left" w:pos="426"/>
        </w:tabs>
        <w:ind w:left="0" w:firstLine="0"/>
        <w:jc w:val="both"/>
        <w:rPr>
          <w:rFonts w:ascii="Arial" w:hAnsi="Arial" w:cs="Arial"/>
        </w:rPr>
      </w:pPr>
      <w:r w:rsidRPr="00CD1571">
        <w:rPr>
          <w:rFonts w:ascii="Arial" w:hAnsi="Arial" w:cs="Arial"/>
        </w:rPr>
        <w:t xml:space="preserve">Pirkimui yra taikomi Aplinkos apsaugos kriterijai, vadovaujantis </w:t>
      </w:r>
      <w:hyperlink r:id="rId11">
        <w:r w:rsidRPr="00CD1571">
          <w:rPr>
            <w:rStyle w:val="normaltextrun"/>
            <w:rFonts w:ascii="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571">
        <w:rPr>
          <w:rStyle w:val="normaltextrun"/>
          <w:rFonts w:ascii="Arial" w:hAnsi="Arial" w:cs="Arial"/>
        </w:rPr>
        <w:t xml:space="preserve">“ patvirtinto </w:t>
      </w:r>
      <w:hyperlink r:id="rId12">
        <w:r w:rsidRPr="00CD1571">
          <w:rPr>
            <w:rStyle w:val="normaltextrun"/>
            <w:rFonts w:ascii="Arial" w:hAnsi="Arial" w:cs="Arial"/>
            <w:u w:val="single"/>
          </w:rPr>
          <w:t>Aplinkos apsaugos kriterijų taikymo, vykdant žaliuosius pirkimus, tvarkos aprašo</w:t>
        </w:r>
      </w:hyperlink>
      <w:r w:rsidRPr="00CD1571">
        <w:rPr>
          <w:rFonts w:ascii="Arial" w:hAnsi="Arial" w:cs="Arial"/>
        </w:rPr>
        <w:t xml:space="preserve"> (toliau – Aprašas) II skyriaus </w:t>
      </w:r>
      <w:r w:rsidRPr="00CD1571">
        <w:rPr>
          <w:rStyle w:val="normaltextrun"/>
          <w:rFonts w:ascii="Arial" w:hAnsi="Arial" w:cs="Arial"/>
        </w:rPr>
        <w:t xml:space="preserve">4.1 punktu, 6 punktu ir Aprašo 2 priedo VII skyriumi „Baldai“ ir II skyriumi „Pakuotės“ </w:t>
      </w:r>
      <w:r w:rsidRPr="00CD1571">
        <w:rPr>
          <w:rStyle w:val="normaltextrun"/>
          <w:rFonts w:ascii="Arial" w:hAnsi="Arial" w:cs="Arial"/>
          <w:b/>
          <w:bCs/>
          <w:i/>
          <w:iCs/>
        </w:rPr>
        <w:t>arba</w:t>
      </w:r>
      <w:r w:rsidRPr="00CD1571">
        <w:rPr>
          <w:rStyle w:val="normaltextrun"/>
          <w:rFonts w:ascii="Arial" w:hAnsi="Arial" w:cs="Arial"/>
          <w:i/>
          <w:iCs/>
        </w:rPr>
        <w:t xml:space="preserve"> </w:t>
      </w:r>
      <w:r w:rsidRPr="00CD1571">
        <w:rPr>
          <w:rStyle w:val="normaltextrun"/>
          <w:rFonts w:ascii="Arial" w:hAnsi="Arial" w:cs="Arial"/>
        </w:rPr>
        <w:t>Aprašo II skyriaus 4.2 punktu</w:t>
      </w:r>
      <w:r w:rsidR="008F0F73">
        <w:rPr>
          <w:rStyle w:val="normaltextrun"/>
          <w:rFonts w:ascii="Arial" w:hAnsi="Arial" w:cs="Arial"/>
        </w:rPr>
        <w:t xml:space="preserve">, </w:t>
      </w:r>
      <w:r w:rsidR="008F0F73" w:rsidRPr="00CD1571">
        <w:rPr>
          <w:rStyle w:val="normaltextrun"/>
          <w:rFonts w:ascii="Arial" w:hAnsi="Arial" w:cs="Arial"/>
        </w:rPr>
        <w:t>6 punktu</w:t>
      </w:r>
      <w:r w:rsidRPr="00CD1571">
        <w:rPr>
          <w:rStyle w:val="normaltextrun"/>
          <w:rFonts w:ascii="Arial" w:hAnsi="Arial" w:cs="Arial"/>
        </w:rPr>
        <w:t xml:space="preserve"> ir Aprašo 2 priedo II skyriumi „Pakuotės“</w:t>
      </w:r>
      <w:r w:rsidRPr="00CD1571">
        <w:rPr>
          <w:rFonts w:ascii="Arial" w:hAnsi="Arial" w:cs="Arial"/>
        </w:rPr>
        <w:t>:</w:t>
      </w:r>
    </w:p>
    <w:tbl>
      <w:tblPr>
        <w:tblStyle w:val="TableGrid"/>
        <w:tblW w:w="9666" w:type="dxa"/>
        <w:tblInd w:w="69"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147"/>
        <w:gridCol w:w="5519"/>
      </w:tblGrid>
      <w:tr w:rsidR="00CD1571" w:rsidRPr="00304795" w14:paraId="0F5123D7" w14:textId="77777777" w:rsidTr="0025685C">
        <w:trPr>
          <w:trHeight w:val="300"/>
        </w:trPr>
        <w:tc>
          <w:tcPr>
            <w:tcW w:w="4147" w:type="dxa"/>
            <w:tcMar>
              <w:left w:w="105" w:type="dxa"/>
              <w:right w:w="105" w:type="dxa"/>
            </w:tcMar>
          </w:tcPr>
          <w:p w14:paraId="25A54C56" w14:textId="77777777" w:rsidR="00CD1571" w:rsidRPr="00304795" w:rsidRDefault="00CD1571" w:rsidP="0025685C">
            <w:pPr>
              <w:ind w:right="-138"/>
              <w:jc w:val="both"/>
              <w:rPr>
                <w:rFonts w:ascii="Arial" w:hAnsi="Arial" w:cs="Arial"/>
                <w:sz w:val="22"/>
                <w:szCs w:val="22"/>
              </w:rPr>
            </w:pPr>
            <w:r w:rsidRPr="00304795">
              <w:rPr>
                <w:rFonts w:ascii="Arial" w:hAnsi="Arial" w:cs="Arial"/>
                <w:b/>
                <w:bCs/>
                <w:sz w:val="22"/>
                <w:szCs w:val="22"/>
              </w:rPr>
              <w:t>Baldai</w:t>
            </w:r>
          </w:p>
        </w:tc>
        <w:tc>
          <w:tcPr>
            <w:tcW w:w="5519" w:type="dxa"/>
            <w:tcMar>
              <w:left w:w="105" w:type="dxa"/>
              <w:right w:w="105" w:type="dxa"/>
            </w:tcMar>
          </w:tcPr>
          <w:p w14:paraId="516E4B72" w14:textId="77777777" w:rsidR="00CD1571" w:rsidRPr="00304795" w:rsidRDefault="00CD1571" w:rsidP="0025685C">
            <w:pPr>
              <w:ind w:right="-138"/>
              <w:jc w:val="both"/>
              <w:rPr>
                <w:rFonts w:ascii="Arial" w:hAnsi="Arial" w:cs="Arial"/>
                <w:sz w:val="22"/>
                <w:szCs w:val="22"/>
              </w:rPr>
            </w:pPr>
            <w:r w:rsidRPr="00304795">
              <w:rPr>
                <w:rFonts w:ascii="Arial" w:hAnsi="Arial" w:cs="Arial"/>
                <w:b/>
                <w:bCs/>
                <w:sz w:val="22"/>
                <w:szCs w:val="22"/>
              </w:rPr>
              <w:t xml:space="preserve">Atitiktį reikalavimams įrodantys dokumentai </w:t>
            </w:r>
          </w:p>
        </w:tc>
      </w:tr>
      <w:tr w:rsidR="00CD1571" w:rsidRPr="00304795" w14:paraId="4847ED68" w14:textId="77777777" w:rsidTr="0025685C">
        <w:trPr>
          <w:trHeight w:val="300"/>
        </w:trPr>
        <w:tc>
          <w:tcPr>
            <w:tcW w:w="4147" w:type="dxa"/>
            <w:tcMar>
              <w:left w:w="105" w:type="dxa"/>
              <w:right w:w="105" w:type="dxa"/>
            </w:tcMar>
          </w:tcPr>
          <w:p w14:paraId="36D8B743" w14:textId="77777777" w:rsidR="00CD1571" w:rsidRPr="00304795" w:rsidRDefault="00CD1571" w:rsidP="0025685C">
            <w:pPr>
              <w:ind w:right="180"/>
              <w:jc w:val="both"/>
              <w:rPr>
                <w:rFonts w:ascii="Arial" w:hAnsi="Arial" w:cs="Arial"/>
                <w:sz w:val="22"/>
                <w:szCs w:val="22"/>
              </w:rPr>
            </w:pPr>
            <w:r w:rsidRPr="00304795">
              <w:rPr>
                <w:rFonts w:ascii="Arial" w:hAnsi="Arial" w:cs="Arial"/>
                <w:sz w:val="22"/>
                <w:szCs w:val="22"/>
              </w:rPr>
              <w:t xml:space="preserve"> 1. ne mažiau kaip 80 proc. balduose naudojamų medienos, medienos medžiagų ir gaminių turi būti iš miškų, sertifikuotų naudojant FSC* ar PEFC** miškų sertifikavimo sistemas arba lygiavertes sertifikavimo sistemas; </w:t>
            </w:r>
          </w:p>
          <w:p w14:paraId="32FB5C1C" w14:textId="77777777" w:rsidR="00CD1571" w:rsidRPr="00304795" w:rsidRDefault="00CD1571" w:rsidP="0025685C">
            <w:pPr>
              <w:ind w:right="180"/>
              <w:jc w:val="both"/>
              <w:rPr>
                <w:rFonts w:ascii="Arial" w:hAnsi="Arial" w:cs="Arial"/>
                <w:sz w:val="22"/>
                <w:szCs w:val="22"/>
              </w:rPr>
            </w:pPr>
          </w:p>
        </w:tc>
        <w:tc>
          <w:tcPr>
            <w:tcW w:w="5519" w:type="dxa"/>
            <w:tcMar>
              <w:left w:w="105" w:type="dxa"/>
              <w:right w:w="105" w:type="dxa"/>
            </w:tcMar>
          </w:tcPr>
          <w:p w14:paraId="70095EAF" w14:textId="77777777" w:rsidR="00CD1571" w:rsidRPr="00304795" w:rsidRDefault="00CD1571" w:rsidP="00CD1571">
            <w:pPr>
              <w:pStyle w:val="Default"/>
              <w:numPr>
                <w:ilvl w:val="0"/>
                <w:numId w:val="29"/>
              </w:numPr>
              <w:ind w:left="324" w:hanging="324"/>
              <w:rPr>
                <w:rFonts w:ascii="Arial" w:eastAsia="Calibri" w:hAnsi="Arial" w:cs="Arial"/>
                <w:color w:val="auto"/>
                <w:sz w:val="22"/>
                <w:szCs w:val="22"/>
              </w:rPr>
            </w:pPr>
            <w:r w:rsidRPr="00304795">
              <w:rPr>
                <w:rFonts w:ascii="Arial" w:eastAsia="Calibri" w:hAnsi="Arial" w:cs="Arial"/>
                <w:i/>
                <w:iCs/>
                <w:color w:val="auto"/>
                <w:sz w:val="22"/>
                <w:szCs w:val="22"/>
              </w:rPr>
              <w:t>FSC</w:t>
            </w:r>
            <w:r w:rsidRPr="00304795">
              <w:rPr>
                <w:rFonts w:ascii="Arial" w:eastAsia="Calibri" w:hAnsi="Arial" w:cs="Arial"/>
                <w:color w:val="auto"/>
                <w:sz w:val="22"/>
                <w:szCs w:val="22"/>
              </w:rPr>
              <w:t>®</w:t>
            </w:r>
            <w:r w:rsidRPr="00304795">
              <w:rPr>
                <w:rFonts w:ascii="Arial" w:eastAsia="Calibri" w:hAnsi="Arial" w:cs="Arial"/>
                <w:i/>
                <w:iCs/>
                <w:color w:val="auto"/>
                <w:sz w:val="22"/>
                <w:szCs w:val="22"/>
              </w:rPr>
              <w:t xml:space="preserve">100 </w:t>
            </w:r>
            <w:r w:rsidRPr="00304795">
              <w:rPr>
                <w:rFonts w:ascii="Arial" w:eastAsia="Calibri" w:hAnsi="Arial" w:cs="Arial"/>
                <w:color w:val="auto"/>
                <w:sz w:val="22"/>
                <w:szCs w:val="22"/>
              </w:rPr>
              <w:t xml:space="preserve">arba </w:t>
            </w:r>
            <w:r w:rsidRPr="00304795">
              <w:rPr>
                <w:rFonts w:ascii="Arial" w:eastAsia="Calibri" w:hAnsi="Arial" w:cs="Arial"/>
                <w:i/>
                <w:iCs/>
                <w:color w:val="auto"/>
                <w:sz w:val="22"/>
                <w:szCs w:val="22"/>
              </w:rPr>
              <w:t xml:space="preserve">PEFC, </w:t>
            </w:r>
            <w:r w:rsidRPr="00304795">
              <w:rPr>
                <w:rFonts w:ascii="Arial" w:eastAsia="Calibri" w:hAnsi="Arial" w:cs="Arial"/>
                <w:color w:val="auto"/>
                <w:sz w:val="22"/>
                <w:szCs w:val="22"/>
              </w:rPr>
              <w:t xml:space="preserve">arba kitas darnaus miškų ūkio standarto sertifikatas, arba </w:t>
            </w:r>
          </w:p>
          <w:p w14:paraId="3282487A" w14:textId="77777777" w:rsidR="00CD1571" w:rsidRPr="00304795" w:rsidRDefault="00CD1571" w:rsidP="00CD1571">
            <w:pPr>
              <w:pStyle w:val="Default"/>
              <w:numPr>
                <w:ilvl w:val="0"/>
                <w:numId w:val="29"/>
              </w:numPr>
              <w:ind w:left="324" w:hanging="324"/>
              <w:rPr>
                <w:rFonts w:ascii="Arial" w:eastAsia="Calibri" w:hAnsi="Arial" w:cs="Arial"/>
                <w:color w:val="auto"/>
                <w:sz w:val="22"/>
                <w:szCs w:val="22"/>
              </w:rPr>
            </w:pPr>
            <w:r w:rsidRPr="00304795">
              <w:rPr>
                <w:rFonts w:ascii="Arial" w:eastAsia="Calibri" w:hAnsi="Arial" w:cs="Arial"/>
                <w:color w:val="auto"/>
                <w:sz w:val="22"/>
                <w:szCs w:val="22"/>
              </w:rPr>
              <w:t xml:space="preserve">Pripažintos įstaigos arba paskelbtosios (notifikuotos) institucijos atlikto bandymo protokolas, tyrimų ataskaita ar pažyma, arba </w:t>
            </w:r>
          </w:p>
          <w:p w14:paraId="4B232F2F" w14:textId="77777777" w:rsidR="00CD1571" w:rsidRPr="00304795" w:rsidRDefault="00CD1571" w:rsidP="00CD1571">
            <w:pPr>
              <w:pStyle w:val="Default"/>
              <w:numPr>
                <w:ilvl w:val="0"/>
                <w:numId w:val="29"/>
              </w:numPr>
              <w:ind w:left="324" w:hanging="324"/>
              <w:rPr>
                <w:rFonts w:ascii="Arial" w:eastAsia="Calibri" w:hAnsi="Arial" w:cs="Arial"/>
                <w:color w:val="auto"/>
                <w:sz w:val="22"/>
                <w:szCs w:val="22"/>
              </w:rPr>
            </w:pPr>
            <w:r w:rsidRPr="00304795">
              <w:rPr>
                <w:rFonts w:ascii="Arial" w:eastAsia="Calibri" w:hAnsi="Arial" w:cs="Arial"/>
                <w:color w:val="auto"/>
                <w:sz w:val="22"/>
                <w:szCs w:val="22"/>
              </w:rPr>
              <w:t xml:space="preserve">kiti lygiaverčiai įrodymai. </w:t>
            </w:r>
          </w:p>
          <w:p w14:paraId="1FD60720" w14:textId="77777777" w:rsidR="00CD1571" w:rsidRPr="00304795" w:rsidRDefault="00CD1571" w:rsidP="0025685C">
            <w:pPr>
              <w:ind w:right="-138"/>
              <w:jc w:val="both"/>
              <w:rPr>
                <w:rFonts w:ascii="Arial" w:hAnsi="Arial" w:cs="Arial"/>
                <w:sz w:val="22"/>
                <w:szCs w:val="22"/>
              </w:rPr>
            </w:pPr>
          </w:p>
          <w:p w14:paraId="70DC236D" w14:textId="77777777" w:rsidR="00CD1571" w:rsidRPr="00304795" w:rsidRDefault="00CD1571" w:rsidP="0025685C">
            <w:pPr>
              <w:spacing w:after="160"/>
              <w:ind w:right="-138"/>
              <w:jc w:val="both"/>
              <w:rPr>
                <w:rFonts w:ascii="Arial" w:hAnsi="Arial" w:cs="Arial"/>
                <w:b/>
                <w:bCs/>
                <w:i/>
                <w:iCs/>
                <w:sz w:val="22"/>
                <w:szCs w:val="22"/>
              </w:rPr>
            </w:pPr>
            <w:r w:rsidRPr="00304795">
              <w:rPr>
                <w:rStyle w:val="normaltextrun"/>
                <w:rFonts w:ascii="Arial" w:hAnsi="Arial" w:cs="Arial"/>
                <w:b/>
                <w:bCs/>
                <w:i/>
                <w:iCs/>
                <w:sz w:val="22"/>
                <w:szCs w:val="22"/>
                <w:shd w:val="clear" w:color="auto" w:fill="FFFFFF"/>
              </w:rPr>
              <w:t>(dokumentai pateikiami kartu su pasiūlymu</w:t>
            </w:r>
            <w:r w:rsidRPr="00304795">
              <w:rPr>
                <w:rStyle w:val="eop"/>
                <w:rFonts w:ascii="Arial" w:hAnsi="Arial" w:cs="Arial"/>
                <w:b/>
                <w:bCs/>
                <w:i/>
                <w:iCs/>
                <w:sz w:val="22"/>
                <w:szCs w:val="22"/>
                <w:shd w:val="clear" w:color="auto" w:fill="FFFFFF"/>
              </w:rPr>
              <w:t>)</w:t>
            </w:r>
          </w:p>
        </w:tc>
      </w:tr>
      <w:tr w:rsidR="00CD1571" w:rsidRPr="00304795" w14:paraId="6BF19BEB" w14:textId="77777777" w:rsidTr="0025685C">
        <w:trPr>
          <w:trHeight w:val="300"/>
        </w:trPr>
        <w:tc>
          <w:tcPr>
            <w:tcW w:w="4147" w:type="dxa"/>
            <w:tcMar>
              <w:left w:w="105" w:type="dxa"/>
              <w:right w:w="105" w:type="dxa"/>
            </w:tcMar>
          </w:tcPr>
          <w:p w14:paraId="0A6B7C56" w14:textId="77777777" w:rsidR="00CD1571" w:rsidRPr="00304795" w:rsidRDefault="00CD1571" w:rsidP="0025685C">
            <w:pPr>
              <w:pStyle w:val="Default"/>
              <w:ind w:right="180"/>
              <w:jc w:val="both"/>
              <w:rPr>
                <w:rFonts w:ascii="Arial" w:eastAsia="Calibri" w:hAnsi="Arial" w:cs="Arial"/>
                <w:color w:val="auto"/>
                <w:sz w:val="22"/>
                <w:szCs w:val="22"/>
              </w:rPr>
            </w:pPr>
            <w:r w:rsidRPr="00304795">
              <w:rPr>
                <w:rFonts w:ascii="Arial" w:eastAsia="Calibri" w:hAnsi="Arial" w:cs="Arial"/>
                <w:color w:val="auto"/>
                <w:sz w:val="22"/>
                <w:szCs w:val="22"/>
              </w:rPr>
              <w:t xml:space="preserve">2. visos plastikinės dalys, kurių masė ≥ 50 g, turi būti paženklintos kaip tinkamos perdirbti pagal LST EN ISO 11469 </w:t>
            </w:r>
            <w:r w:rsidRPr="00304795">
              <w:rPr>
                <w:rFonts w:ascii="Arial" w:hAnsi="Arial" w:cs="Arial"/>
                <w:color w:val="auto"/>
                <w:sz w:val="22"/>
                <w:szCs w:val="22"/>
              </w:rPr>
              <w:t xml:space="preserve"> ar lygiavertį standartą</w:t>
            </w:r>
            <w:r w:rsidRPr="00304795">
              <w:rPr>
                <w:rFonts w:ascii="Arial" w:eastAsia="Calibri" w:hAnsi="Arial" w:cs="Arial"/>
                <w:color w:val="auto"/>
                <w:sz w:val="22"/>
                <w:szCs w:val="22"/>
              </w:rPr>
              <w:t>;</w:t>
            </w:r>
          </w:p>
          <w:p w14:paraId="588DA2A4" w14:textId="77777777" w:rsidR="00CD1571" w:rsidRPr="00304795" w:rsidRDefault="00CD1571" w:rsidP="0025685C">
            <w:pPr>
              <w:ind w:right="180"/>
              <w:jc w:val="both"/>
              <w:rPr>
                <w:rFonts w:ascii="Arial" w:eastAsia="Calibri" w:hAnsi="Arial" w:cs="Arial"/>
                <w:sz w:val="22"/>
                <w:szCs w:val="22"/>
              </w:rPr>
            </w:pPr>
          </w:p>
        </w:tc>
        <w:tc>
          <w:tcPr>
            <w:tcW w:w="5519" w:type="dxa"/>
            <w:tcMar>
              <w:left w:w="105" w:type="dxa"/>
              <w:right w:w="105" w:type="dxa"/>
            </w:tcMar>
          </w:tcPr>
          <w:p w14:paraId="4CA55EA5" w14:textId="77777777" w:rsidR="00CD1571" w:rsidRPr="00304795" w:rsidRDefault="00CD1571" w:rsidP="0025685C">
            <w:pPr>
              <w:pStyle w:val="Default"/>
              <w:jc w:val="both"/>
              <w:rPr>
                <w:rFonts w:ascii="Arial" w:eastAsia="Calibri" w:hAnsi="Arial" w:cs="Arial"/>
                <w:color w:val="auto"/>
                <w:sz w:val="22"/>
                <w:szCs w:val="22"/>
              </w:rPr>
            </w:pPr>
            <w:r w:rsidRPr="00304795">
              <w:rPr>
                <w:rFonts w:ascii="Arial" w:eastAsia="Calibri" w:hAnsi="Arial" w:cs="Arial"/>
                <w:color w:val="auto"/>
                <w:sz w:val="22"/>
                <w:szCs w:val="22"/>
              </w:rPr>
              <w:t xml:space="preserve">a) Ekologinis ženklas Nordic Swan arba kitas I tipo ekologinis ženklas (sertifikatas), kuris įrodytų, kad visos plastikinės dalys, kurių masė ≥ 50 g, yra paženklintos kaip tinkamos perdirbti pagal nurodytą standartą, arba </w:t>
            </w:r>
          </w:p>
          <w:p w14:paraId="7F2CBD73" w14:textId="77777777" w:rsidR="00CD1571" w:rsidRPr="00304795" w:rsidRDefault="00CD1571" w:rsidP="0025685C">
            <w:pPr>
              <w:pStyle w:val="Default"/>
              <w:jc w:val="both"/>
              <w:rPr>
                <w:rFonts w:ascii="Arial" w:eastAsia="Calibri" w:hAnsi="Arial" w:cs="Arial"/>
                <w:color w:val="auto"/>
                <w:sz w:val="22"/>
                <w:szCs w:val="22"/>
              </w:rPr>
            </w:pPr>
            <w:r w:rsidRPr="00304795">
              <w:rPr>
                <w:rFonts w:ascii="Arial" w:eastAsia="Calibri" w:hAnsi="Arial" w:cs="Arial"/>
                <w:color w:val="auto"/>
                <w:sz w:val="22"/>
                <w:szCs w:val="22"/>
              </w:rPr>
              <w:t xml:space="preserve">b) pripažintos įstaigos arba paskelbtosios (notifikuotos) institucijos atlikto bandymo protokolas, tyrimų ataskaita ar pažyma, arba </w:t>
            </w:r>
          </w:p>
          <w:p w14:paraId="726CD8FD" w14:textId="77777777" w:rsidR="00CD1571" w:rsidRPr="00304795" w:rsidRDefault="00CD1571" w:rsidP="0025685C">
            <w:pPr>
              <w:pStyle w:val="Default"/>
              <w:jc w:val="both"/>
              <w:rPr>
                <w:rFonts w:ascii="Arial" w:eastAsia="Calibri" w:hAnsi="Arial" w:cs="Arial"/>
                <w:color w:val="auto"/>
                <w:sz w:val="22"/>
                <w:szCs w:val="22"/>
              </w:rPr>
            </w:pPr>
            <w:r w:rsidRPr="00304795">
              <w:rPr>
                <w:rFonts w:ascii="Arial" w:eastAsia="Calibri" w:hAnsi="Arial" w:cs="Arial"/>
                <w:color w:val="auto"/>
                <w:sz w:val="22"/>
                <w:szCs w:val="22"/>
              </w:rPr>
              <w:t xml:space="preserve">c) gamintojo techniniai dokumentai, arba </w:t>
            </w:r>
          </w:p>
          <w:p w14:paraId="54CD579F" w14:textId="77777777" w:rsidR="00CD1571" w:rsidRPr="00304795" w:rsidRDefault="00CD1571" w:rsidP="0025685C">
            <w:pPr>
              <w:pStyle w:val="Default"/>
              <w:jc w:val="both"/>
              <w:rPr>
                <w:rFonts w:ascii="Arial" w:eastAsia="Calibri" w:hAnsi="Arial" w:cs="Arial"/>
                <w:color w:val="auto"/>
                <w:sz w:val="22"/>
                <w:szCs w:val="22"/>
              </w:rPr>
            </w:pPr>
            <w:r w:rsidRPr="00304795">
              <w:rPr>
                <w:rFonts w:ascii="Arial" w:eastAsia="Calibri" w:hAnsi="Arial" w:cs="Arial"/>
                <w:color w:val="auto"/>
                <w:sz w:val="22"/>
                <w:szCs w:val="22"/>
              </w:rPr>
              <w:t xml:space="preserve">saugos duomenų lapas, arba </w:t>
            </w:r>
          </w:p>
          <w:p w14:paraId="64A75663" w14:textId="77777777" w:rsidR="00CD1571" w:rsidRPr="00304795" w:rsidRDefault="00CD1571" w:rsidP="00CD1571">
            <w:pPr>
              <w:pStyle w:val="Default"/>
              <w:numPr>
                <w:ilvl w:val="0"/>
                <w:numId w:val="29"/>
              </w:numPr>
              <w:ind w:left="324" w:hanging="283"/>
              <w:rPr>
                <w:rFonts w:ascii="Arial" w:eastAsia="Calibri" w:hAnsi="Arial" w:cs="Arial"/>
                <w:color w:val="auto"/>
                <w:sz w:val="22"/>
                <w:szCs w:val="22"/>
              </w:rPr>
            </w:pPr>
            <w:r w:rsidRPr="00304795">
              <w:rPr>
                <w:rFonts w:ascii="Arial" w:eastAsia="Calibri" w:hAnsi="Arial" w:cs="Arial"/>
                <w:color w:val="auto"/>
                <w:sz w:val="22"/>
                <w:szCs w:val="22"/>
              </w:rPr>
              <w:t xml:space="preserve">kiti lygiaverčiai įrodymai. </w:t>
            </w:r>
          </w:p>
          <w:p w14:paraId="02A9F5D3" w14:textId="77777777" w:rsidR="00CD1571" w:rsidRPr="00304795" w:rsidRDefault="00CD1571" w:rsidP="0025685C">
            <w:pPr>
              <w:ind w:right="-138"/>
              <w:jc w:val="both"/>
              <w:rPr>
                <w:rFonts w:ascii="Arial" w:hAnsi="Arial" w:cs="Arial"/>
                <w:sz w:val="22"/>
                <w:szCs w:val="22"/>
              </w:rPr>
            </w:pPr>
          </w:p>
          <w:p w14:paraId="4D485BAB" w14:textId="77777777" w:rsidR="00CD1571" w:rsidRPr="00304795" w:rsidRDefault="00CD1571" w:rsidP="0025685C">
            <w:pPr>
              <w:ind w:right="-138"/>
              <w:jc w:val="both"/>
              <w:rPr>
                <w:rFonts w:ascii="Arial" w:hAnsi="Arial" w:cs="Arial"/>
                <w:sz w:val="22"/>
                <w:szCs w:val="22"/>
              </w:rPr>
            </w:pPr>
            <w:r w:rsidRPr="00304795">
              <w:rPr>
                <w:rStyle w:val="normaltextrun"/>
                <w:rFonts w:ascii="Arial" w:hAnsi="Arial" w:cs="Arial"/>
                <w:b/>
                <w:bCs/>
                <w:i/>
                <w:iCs/>
                <w:sz w:val="22"/>
                <w:szCs w:val="22"/>
                <w:shd w:val="clear" w:color="auto" w:fill="FFFFFF"/>
              </w:rPr>
              <w:t>(dokumentai pateikiami kartu su pasiūlymu</w:t>
            </w:r>
            <w:r w:rsidRPr="00304795">
              <w:rPr>
                <w:rStyle w:val="eop"/>
                <w:rFonts w:ascii="Arial" w:hAnsi="Arial" w:cs="Arial"/>
                <w:b/>
                <w:bCs/>
                <w:i/>
                <w:iCs/>
                <w:sz w:val="22"/>
                <w:szCs w:val="22"/>
                <w:shd w:val="clear" w:color="auto" w:fill="FFFFFF"/>
              </w:rPr>
              <w:t>)</w:t>
            </w:r>
          </w:p>
        </w:tc>
      </w:tr>
      <w:tr w:rsidR="00CD1571" w:rsidRPr="00304795" w14:paraId="11CC71B1" w14:textId="77777777" w:rsidTr="0025685C">
        <w:trPr>
          <w:trHeight w:val="300"/>
        </w:trPr>
        <w:tc>
          <w:tcPr>
            <w:tcW w:w="4147" w:type="dxa"/>
            <w:tcMar>
              <w:left w:w="105" w:type="dxa"/>
              <w:right w:w="105" w:type="dxa"/>
            </w:tcMar>
          </w:tcPr>
          <w:p w14:paraId="2EF76D53" w14:textId="77777777" w:rsidR="00CD1571" w:rsidRPr="00304795" w:rsidRDefault="00CD1571" w:rsidP="0025685C">
            <w:pPr>
              <w:pStyle w:val="Default"/>
              <w:ind w:right="180"/>
              <w:jc w:val="both"/>
              <w:rPr>
                <w:rFonts w:ascii="Arial" w:eastAsia="Calibri" w:hAnsi="Arial" w:cs="Arial"/>
                <w:color w:val="auto"/>
                <w:sz w:val="22"/>
                <w:szCs w:val="22"/>
              </w:rPr>
            </w:pPr>
            <w:r w:rsidRPr="00304795">
              <w:rPr>
                <w:rFonts w:ascii="Arial" w:eastAsia="Calibri" w:hAnsi="Arial" w:cs="Arial"/>
                <w:color w:val="auto"/>
                <w:sz w:val="22"/>
                <w:szCs w:val="22"/>
              </w:rPr>
              <w:t>3. jei baldo kamšalo sudėtyje naudojamos sintetinės poliesterio medžiagos, jų sudėtyje turi būti dalis perdirbtų medžiagų;</w:t>
            </w:r>
          </w:p>
          <w:p w14:paraId="6529D2CE" w14:textId="77777777" w:rsidR="00CD1571" w:rsidRPr="00304795" w:rsidRDefault="00CD1571" w:rsidP="0025685C">
            <w:pPr>
              <w:ind w:right="180"/>
              <w:jc w:val="both"/>
              <w:rPr>
                <w:rFonts w:ascii="Arial" w:eastAsia="Calibri" w:hAnsi="Arial" w:cs="Arial"/>
                <w:sz w:val="22"/>
                <w:szCs w:val="22"/>
              </w:rPr>
            </w:pPr>
          </w:p>
        </w:tc>
        <w:tc>
          <w:tcPr>
            <w:tcW w:w="5519" w:type="dxa"/>
            <w:tcMar>
              <w:left w:w="105" w:type="dxa"/>
              <w:right w:w="105" w:type="dxa"/>
            </w:tcMar>
          </w:tcPr>
          <w:p w14:paraId="28E51A5D" w14:textId="39008B34" w:rsidR="00CD1571" w:rsidRPr="00304795" w:rsidRDefault="008F4B27" w:rsidP="0025685C">
            <w:pPr>
              <w:pStyle w:val="Default"/>
              <w:jc w:val="both"/>
              <w:rPr>
                <w:rFonts w:ascii="Arial" w:hAnsi="Arial" w:cs="Arial"/>
                <w:color w:val="auto"/>
                <w:sz w:val="22"/>
                <w:szCs w:val="22"/>
                <w:lang w:eastAsia="lt-LT"/>
              </w:rPr>
            </w:pPr>
            <w:r w:rsidRPr="000E13E1">
              <w:rPr>
                <w:rFonts w:ascii="Arial" w:hAnsi="Arial" w:cs="Arial"/>
              </w:rPr>
              <w:t xml:space="preserve">a) Gamintojo techniniai dokumentai, kuriuose būtų nurodyta perdirbtų medžiagų dalis, arba b) pripažintos įstaigos arba paskelbtosios (notifikuotos) institucijos atlikto bandymo protokolas, tyrimų ataskaita ar pažyma, arba c) gamintojo ar tiekėjo deklaracija (pateikiant objektyvius įrodymus), arba d) kiti lygiaverčiai įrodymai. </w:t>
            </w:r>
          </w:p>
          <w:p w14:paraId="78312E5C" w14:textId="77777777" w:rsidR="00CD1571" w:rsidRPr="00304795" w:rsidRDefault="00CD1571" w:rsidP="0025685C">
            <w:pPr>
              <w:pStyle w:val="Default"/>
              <w:jc w:val="both"/>
              <w:rPr>
                <w:rFonts w:ascii="Arial" w:eastAsia="Calibri" w:hAnsi="Arial" w:cs="Arial"/>
                <w:color w:val="auto"/>
                <w:sz w:val="22"/>
                <w:szCs w:val="22"/>
              </w:rPr>
            </w:pPr>
            <w:r w:rsidRPr="00304795">
              <w:rPr>
                <w:rStyle w:val="normaltextrun"/>
                <w:rFonts w:ascii="Arial" w:hAnsi="Arial" w:cs="Arial"/>
                <w:b/>
                <w:bCs/>
                <w:i/>
                <w:iCs/>
                <w:color w:val="auto"/>
                <w:sz w:val="22"/>
                <w:szCs w:val="22"/>
                <w:shd w:val="clear" w:color="auto" w:fill="FFFFFF"/>
              </w:rPr>
              <w:t>(dokumentai pateikiami kartu su pasiūlymu</w:t>
            </w:r>
            <w:r w:rsidRPr="00304795">
              <w:rPr>
                <w:rStyle w:val="eop"/>
                <w:rFonts w:ascii="Arial" w:hAnsi="Arial" w:cs="Arial"/>
                <w:b/>
                <w:bCs/>
                <w:i/>
                <w:iCs/>
                <w:color w:val="auto"/>
                <w:sz w:val="22"/>
                <w:szCs w:val="22"/>
                <w:shd w:val="clear" w:color="auto" w:fill="FFFFFF"/>
              </w:rPr>
              <w:t>)</w:t>
            </w:r>
          </w:p>
        </w:tc>
      </w:tr>
      <w:tr w:rsidR="00CD1571" w:rsidRPr="00304795" w14:paraId="31466346" w14:textId="77777777" w:rsidTr="0025685C">
        <w:trPr>
          <w:trHeight w:val="300"/>
        </w:trPr>
        <w:tc>
          <w:tcPr>
            <w:tcW w:w="4147" w:type="dxa"/>
            <w:tcMar>
              <w:left w:w="105" w:type="dxa"/>
              <w:right w:w="105" w:type="dxa"/>
            </w:tcMar>
          </w:tcPr>
          <w:p w14:paraId="6B3246ED" w14:textId="77777777" w:rsidR="00CD1571" w:rsidRPr="00304795" w:rsidRDefault="00CD1571" w:rsidP="0025685C">
            <w:pPr>
              <w:pStyle w:val="Default"/>
              <w:ind w:right="180"/>
              <w:jc w:val="both"/>
              <w:rPr>
                <w:rFonts w:ascii="Arial" w:eastAsia="Calibri" w:hAnsi="Arial" w:cs="Arial"/>
                <w:color w:val="auto"/>
                <w:sz w:val="22"/>
                <w:szCs w:val="22"/>
              </w:rPr>
            </w:pPr>
            <w:r w:rsidRPr="00304795">
              <w:rPr>
                <w:rFonts w:ascii="Arial" w:eastAsia="Calibri" w:hAnsi="Arial" w:cs="Arial"/>
                <w:color w:val="auto"/>
                <w:sz w:val="22"/>
                <w:szCs w:val="22"/>
              </w:rPr>
              <w:t xml:space="preserve">4. paviršiams dengti naudojamuose produktuose: </w:t>
            </w:r>
          </w:p>
          <w:p w14:paraId="02D7D1B6" w14:textId="77777777" w:rsidR="00CD1571" w:rsidRPr="00304795" w:rsidRDefault="00CD1571" w:rsidP="0025685C">
            <w:pPr>
              <w:pStyle w:val="Default"/>
              <w:ind w:right="180"/>
              <w:jc w:val="both"/>
              <w:rPr>
                <w:rFonts w:ascii="Arial" w:eastAsia="Calibri" w:hAnsi="Arial" w:cs="Arial"/>
                <w:color w:val="auto"/>
                <w:sz w:val="22"/>
                <w:szCs w:val="22"/>
              </w:rPr>
            </w:pPr>
            <w:r w:rsidRPr="00304795">
              <w:rPr>
                <w:rFonts w:ascii="Arial" w:eastAsia="Calibri" w:hAnsi="Arial" w:cs="Arial"/>
                <w:color w:val="auto"/>
                <w:sz w:val="22"/>
                <w:szCs w:val="22"/>
              </w:rPr>
              <w:lastRenderedPageBreak/>
              <w:t xml:space="preserve">4.1. </w:t>
            </w:r>
            <w:r w:rsidRPr="00304795">
              <w:rPr>
                <w:rFonts w:ascii="Arial" w:hAnsi="Arial" w:cs="Arial"/>
                <w:color w:val="auto"/>
                <w:sz w:val="22"/>
                <w:szCs w:val="22"/>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r w:rsidRPr="00304795">
              <w:rPr>
                <w:rFonts w:ascii="Arial" w:eastAsia="Calibri" w:hAnsi="Arial" w:cs="Arial"/>
                <w:color w:val="auto"/>
                <w:sz w:val="22"/>
                <w:szCs w:val="22"/>
              </w:rPr>
              <w:t xml:space="preserve">; </w:t>
            </w:r>
          </w:p>
          <w:p w14:paraId="2C94DDE7" w14:textId="77777777" w:rsidR="00CD1571" w:rsidRPr="00304795" w:rsidRDefault="00CD1571" w:rsidP="0025685C">
            <w:pPr>
              <w:pStyle w:val="Default"/>
              <w:ind w:right="180"/>
              <w:jc w:val="both"/>
              <w:rPr>
                <w:rFonts w:ascii="Arial" w:eastAsia="Calibri" w:hAnsi="Arial" w:cs="Arial"/>
                <w:color w:val="auto"/>
                <w:sz w:val="22"/>
                <w:szCs w:val="22"/>
              </w:rPr>
            </w:pPr>
            <w:r w:rsidRPr="00304795">
              <w:rPr>
                <w:rFonts w:ascii="Arial" w:eastAsia="Calibri" w:hAnsi="Arial" w:cs="Arial"/>
                <w:color w:val="auto"/>
                <w:sz w:val="22"/>
                <w:szCs w:val="22"/>
              </w:rPr>
              <w:t xml:space="preserve">4.2. neturi būti daugiau kaip 5 proc. masės lakiųjų organinių junginių (LOJ); </w:t>
            </w:r>
          </w:p>
          <w:p w14:paraId="6611B5E5" w14:textId="77777777" w:rsidR="00CD1571" w:rsidRPr="00304795" w:rsidRDefault="00CD1571" w:rsidP="0025685C">
            <w:pPr>
              <w:pStyle w:val="Default"/>
              <w:ind w:right="180"/>
              <w:jc w:val="both"/>
              <w:rPr>
                <w:rFonts w:ascii="Arial" w:eastAsia="Calibri" w:hAnsi="Arial" w:cs="Arial"/>
                <w:color w:val="auto"/>
                <w:sz w:val="22"/>
                <w:szCs w:val="22"/>
              </w:rPr>
            </w:pPr>
            <w:r w:rsidRPr="00304795">
              <w:rPr>
                <w:rFonts w:ascii="Arial" w:eastAsia="Calibri" w:hAnsi="Arial" w:cs="Arial"/>
                <w:color w:val="auto"/>
                <w:sz w:val="22"/>
                <w:szCs w:val="22"/>
              </w:rPr>
              <w:t xml:space="preserve">4.3. neturi būti chromo (VI) junginių; </w:t>
            </w:r>
          </w:p>
          <w:p w14:paraId="507BEDE7" w14:textId="77777777" w:rsidR="00CD1571" w:rsidRPr="00304795" w:rsidRDefault="00CD1571" w:rsidP="0025685C">
            <w:pPr>
              <w:ind w:right="180"/>
              <w:jc w:val="both"/>
              <w:rPr>
                <w:rFonts w:ascii="Arial" w:hAnsi="Arial" w:cs="Arial"/>
                <w:sz w:val="22"/>
                <w:szCs w:val="22"/>
              </w:rPr>
            </w:pPr>
            <w:r w:rsidRPr="00304795">
              <w:rPr>
                <w:rFonts w:ascii="Arial" w:hAnsi="Arial" w:cs="Arial"/>
                <w:sz w:val="22"/>
                <w:szCs w:val="22"/>
              </w:rPr>
              <w:t xml:space="preserve">4.4. formaldehido išmetamieji teršalai neturi viršyti 0,05 ppm. </w:t>
            </w:r>
          </w:p>
          <w:p w14:paraId="3D629D58" w14:textId="77777777" w:rsidR="00CD1571" w:rsidRPr="00304795" w:rsidRDefault="00CD1571" w:rsidP="0025685C">
            <w:pPr>
              <w:ind w:right="180"/>
              <w:jc w:val="both"/>
              <w:rPr>
                <w:rFonts w:ascii="Arial" w:hAnsi="Arial" w:cs="Arial"/>
                <w:sz w:val="22"/>
                <w:szCs w:val="22"/>
                <w:u w:val="single"/>
              </w:rPr>
            </w:pPr>
          </w:p>
        </w:tc>
        <w:tc>
          <w:tcPr>
            <w:tcW w:w="5519" w:type="dxa"/>
            <w:tcMar>
              <w:left w:w="105" w:type="dxa"/>
              <w:right w:w="105" w:type="dxa"/>
            </w:tcMar>
          </w:tcPr>
          <w:p w14:paraId="0B3B1E6D" w14:textId="77777777" w:rsidR="00CD1571" w:rsidRPr="00304795" w:rsidRDefault="00CD1571" w:rsidP="0025685C">
            <w:pPr>
              <w:pStyle w:val="Default"/>
              <w:jc w:val="both"/>
              <w:rPr>
                <w:rFonts w:ascii="Arial" w:eastAsia="Calibri" w:hAnsi="Arial" w:cs="Arial"/>
                <w:color w:val="auto"/>
                <w:sz w:val="22"/>
                <w:szCs w:val="22"/>
              </w:rPr>
            </w:pPr>
            <w:r w:rsidRPr="00304795">
              <w:rPr>
                <w:rFonts w:ascii="Arial" w:eastAsia="Calibri" w:hAnsi="Arial" w:cs="Arial"/>
                <w:color w:val="auto"/>
                <w:sz w:val="22"/>
                <w:szCs w:val="22"/>
              </w:rPr>
              <w:lastRenderedPageBreak/>
              <w:t xml:space="preserve">a) Ekologinis ženklas European Ecolabel arba Nordic Swan, arba kitas I tipo ekologinis ženklas (sertifikatas), kuris įrodytų, kad paviršiams naudojamuose </w:t>
            </w:r>
            <w:r w:rsidRPr="00304795">
              <w:rPr>
                <w:rFonts w:ascii="Arial" w:eastAsia="Calibri" w:hAnsi="Arial" w:cs="Arial"/>
                <w:color w:val="auto"/>
                <w:sz w:val="22"/>
                <w:szCs w:val="22"/>
              </w:rPr>
              <w:lastRenderedPageBreak/>
              <w:t xml:space="preserve">produktuose nėra/neviršija reikalavime nurodytų medžiagų, arba </w:t>
            </w:r>
          </w:p>
          <w:p w14:paraId="760AECD3" w14:textId="77777777" w:rsidR="00CD1571" w:rsidRPr="00304795" w:rsidRDefault="00CD1571" w:rsidP="0025685C">
            <w:pPr>
              <w:pStyle w:val="Default"/>
              <w:jc w:val="both"/>
              <w:rPr>
                <w:rFonts w:ascii="Arial" w:eastAsia="Calibri" w:hAnsi="Arial" w:cs="Arial"/>
                <w:color w:val="auto"/>
                <w:sz w:val="22"/>
                <w:szCs w:val="22"/>
              </w:rPr>
            </w:pPr>
            <w:r w:rsidRPr="00304795">
              <w:rPr>
                <w:rFonts w:ascii="Arial" w:eastAsia="Calibri" w:hAnsi="Arial" w:cs="Arial"/>
                <w:color w:val="auto"/>
                <w:sz w:val="22"/>
                <w:szCs w:val="22"/>
              </w:rPr>
              <w:t xml:space="preserve">b) pripažintos įstaigos arba paskelbtosios (notifikuotos) institucijos bandymų protokolas, tyrimų ataskaita ar pažyma arba </w:t>
            </w:r>
          </w:p>
          <w:p w14:paraId="1C2C4175" w14:textId="77777777" w:rsidR="00CD1571" w:rsidRPr="00304795" w:rsidRDefault="00CD1571" w:rsidP="0025685C">
            <w:pPr>
              <w:pStyle w:val="Default"/>
              <w:jc w:val="both"/>
              <w:rPr>
                <w:rFonts w:ascii="Arial" w:eastAsia="Calibri" w:hAnsi="Arial" w:cs="Arial"/>
                <w:color w:val="auto"/>
                <w:sz w:val="22"/>
                <w:szCs w:val="22"/>
              </w:rPr>
            </w:pPr>
            <w:r w:rsidRPr="00304795">
              <w:rPr>
                <w:rFonts w:ascii="Arial" w:eastAsia="Calibri" w:hAnsi="Arial" w:cs="Arial"/>
                <w:color w:val="auto"/>
                <w:sz w:val="22"/>
                <w:szCs w:val="22"/>
              </w:rPr>
              <w:t xml:space="preserve">a) gamintojo techniniai dokumentai, arba </w:t>
            </w:r>
          </w:p>
          <w:p w14:paraId="68D7E112" w14:textId="77777777" w:rsidR="00CD1571" w:rsidRPr="00304795" w:rsidRDefault="00CD1571" w:rsidP="0025685C">
            <w:pPr>
              <w:pStyle w:val="Default"/>
              <w:jc w:val="both"/>
              <w:rPr>
                <w:rFonts w:ascii="Arial" w:eastAsia="Calibri" w:hAnsi="Arial" w:cs="Arial"/>
                <w:color w:val="auto"/>
                <w:sz w:val="22"/>
                <w:szCs w:val="22"/>
              </w:rPr>
            </w:pPr>
            <w:r w:rsidRPr="00304795">
              <w:rPr>
                <w:rFonts w:ascii="Arial" w:eastAsia="Calibri" w:hAnsi="Arial" w:cs="Arial"/>
                <w:color w:val="auto"/>
                <w:sz w:val="22"/>
                <w:szCs w:val="22"/>
              </w:rPr>
              <w:t xml:space="preserve">saugos duomenų lapas, arba </w:t>
            </w:r>
          </w:p>
          <w:p w14:paraId="3CE258E4" w14:textId="77777777" w:rsidR="00CD1571" w:rsidRPr="00304795" w:rsidRDefault="00CD1571" w:rsidP="0025685C">
            <w:pPr>
              <w:pStyle w:val="Default"/>
              <w:tabs>
                <w:tab w:val="left" w:pos="183"/>
                <w:tab w:val="left" w:pos="324"/>
              </w:tabs>
              <w:jc w:val="both"/>
              <w:rPr>
                <w:rFonts w:ascii="Arial" w:eastAsia="Calibri" w:hAnsi="Arial" w:cs="Arial"/>
                <w:color w:val="auto"/>
                <w:sz w:val="22"/>
                <w:szCs w:val="22"/>
              </w:rPr>
            </w:pPr>
            <w:r w:rsidRPr="00304795">
              <w:rPr>
                <w:rFonts w:ascii="Arial" w:eastAsia="Calibri" w:hAnsi="Arial" w:cs="Arial"/>
                <w:color w:val="auto"/>
                <w:sz w:val="22"/>
                <w:szCs w:val="22"/>
              </w:rPr>
              <w:t xml:space="preserve">d) gamintojo ar tiekėjo deklaracija (pateikiant objektyvius įrodymus), arba </w:t>
            </w:r>
          </w:p>
          <w:p w14:paraId="5278E524" w14:textId="77777777" w:rsidR="00CD1571" w:rsidRPr="00304795" w:rsidRDefault="00CD1571" w:rsidP="0025685C">
            <w:pPr>
              <w:pStyle w:val="Default"/>
              <w:jc w:val="both"/>
              <w:rPr>
                <w:rFonts w:ascii="Arial" w:eastAsia="Calibri" w:hAnsi="Arial" w:cs="Arial"/>
                <w:color w:val="auto"/>
                <w:sz w:val="22"/>
                <w:szCs w:val="22"/>
              </w:rPr>
            </w:pPr>
            <w:r w:rsidRPr="00304795">
              <w:rPr>
                <w:rFonts w:ascii="Arial" w:eastAsia="Calibri" w:hAnsi="Arial" w:cs="Arial"/>
                <w:color w:val="auto"/>
                <w:sz w:val="22"/>
                <w:szCs w:val="22"/>
              </w:rPr>
              <w:t xml:space="preserve">e) kiti lygiaverčiai įrodymai. </w:t>
            </w:r>
          </w:p>
          <w:p w14:paraId="02FB6668" w14:textId="77777777" w:rsidR="00CD1571" w:rsidRPr="00304795" w:rsidRDefault="00CD1571" w:rsidP="0025685C">
            <w:pPr>
              <w:ind w:right="-138"/>
              <w:jc w:val="both"/>
              <w:rPr>
                <w:rFonts w:ascii="Arial" w:hAnsi="Arial" w:cs="Arial"/>
                <w:sz w:val="22"/>
                <w:szCs w:val="22"/>
              </w:rPr>
            </w:pPr>
          </w:p>
          <w:p w14:paraId="01944C79" w14:textId="77777777" w:rsidR="00CD1571" w:rsidRPr="00304795" w:rsidRDefault="00CD1571" w:rsidP="0025685C">
            <w:pPr>
              <w:ind w:right="-138"/>
              <w:jc w:val="both"/>
              <w:rPr>
                <w:rFonts w:ascii="Arial" w:hAnsi="Arial" w:cs="Arial"/>
                <w:sz w:val="22"/>
                <w:szCs w:val="22"/>
              </w:rPr>
            </w:pPr>
            <w:r w:rsidRPr="00304795">
              <w:rPr>
                <w:rStyle w:val="normaltextrun"/>
                <w:rFonts w:ascii="Arial" w:hAnsi="Arial" w:cs="Arial"/>
                <w:b/>
                <w:bCs/>
                <w:i/>
                <w:iCs/>
                <w:sz w:val="22"/>
                <w:szCs w:val="22"/>
                <w:shd w:val="clear" w:color="auto" w:fill="FFFFFF"/>
              </w:rPr>
              <w:t>(dokumentai pateikiami kartu su pasiūlymu</w:t>
            </w:r>
            <w:r w:rsidRPr="00304795">
              <w:rPr>
                <w:rStyle w:val="eop"/>
                <w:rFonts w:ascii="Arial" w:hAnsi="Arial" w:cs="Arial"/>
                <w:b/>
                <w:bCs/>
                <w:i/>
                <w:iCs/>
                <w:sz w:val="22"/>
                <w:szCs w:val="22"/>
                <w:shd w:val="clear" w:color="auto" w:fill="FFFFFF"/>
              </w:rPr>
              <w:t>)</w:t>
            </w:r>
          </w:p>
        </w:tc>
      </w:tr>
      <w:tr w:rsidR="00CD1571" w:rsidRPr="00304795" w14:paraId="6E29A17A" w14:textId="77777777" w:rsidTr="0025685C">
        <w:trPr>
          <w:trHeight w:val="300"/>
        </w:trPr>
        <w:tc>
          <w:tcPr>
            <w:tcW w:w="9666" w:type="dxa"/>
            <w:gridSpan w:val="2"/>
            <w:tcMar>
              <w:left w:w="105" w:type="dxa"/>
              <w:right w:w="105" w:type="dxa"/>
            </w:tcMar>
          </w:tcPr>
          <w:p w14:paraId="745B506F" w14:textId="77777777" w:rsidR="00CD1571" w:rsidRPr="00304795" w:rsidRDefault="00CD1571" w:rsidP="0025685C">
            <w:pPr>
              <w:pStyle w:val="Default"/>
              <w:jc w:val="center"/>
              <w:rPr>
                <w:rFonts w:ascii="Arial" w:eastAsia="Calibri" w:hAnsi="Arial" w:cs="Arial"/>
                <w:color w:val="auto"/>
                <w:sz w:val="22"/>
                <w:szCs w:val="22"/>
              </w:rPr>
            </w:pPr>
            <w:r w:rsidRPr="00304795">
              <w:rPr>
                <w:rFonts w:ascii="Arial" w:eastAsia="Calibri" w:hAnsi="Arial" w:cs="Arial"/>
                <w:b/>
                <w:bCs/>
                <w:color w:val="auto"/>
                <w:sz w:val="22"/>
                <w:szCs w:val="22"/>
              </w:rPr>
              <w:lastRenderedPageBreak/>
              <w:t>ARBA</w:t>
            </w:r>
          </w:p>
        </w:tc>
      </w:tr>
      <w:tr w:rsidR="00CD1571" w:rsidRPr="00304795" w14:paraId="5F908D75" w14:textId="77777777" w:rsidTr="0025685C">
        <w:trPr>
          <w:trHeight w:val="300"/>
        </w:trPr>
        <w:tc>
          <w:tcPr>
            <w:tcW w:w="9666" w:type="dxa"/>
            <w:gridSpan w:val="2"/>
            <w:tcMar>
              <w:left w:w="105" w:type="dxa"/>
              <w:right w:w="105" w:type="dxa"/>
            </w:tcMar>
          </w:tcPr>
          <w:p w14:paraId="4E24C42C" w14:textId="77777777" w:rsidR="00CD1571" w:rsidRPr="00304795" w:rsidRDefault="00CD1571" w:rsidP="0025685C">
            <w:pPr>
              <w:ind w:right="37"/>
              <w:jc w:val="both"/>
              <w:rPr>
                <w:rFonts w:ascii="Arial" w:hAnsi="Arial" w:cs="Arial"/>
                <w:b/>
                <w:bCs/>
                <w:sz w:val="22"/>
                <w:szCs w:val="22"/>
              </w:rPr>
            </w:pPr>
            <w:r w:rsidRPr="00304795">
              <w:rPr>
                <w:rFonts w:ascii="Arial" w:hAnsi="Arial" w:cs="Arial"/>
                <w:sz w:val="22"/>
                <w:szCs w:val="22"/>
              </w:rPr>
              <w:t xml:space="preserve">Jeigu perkamos Prekės atitinka joms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(pvz., EU Ecolabel, Nordic Swan, Blue Angel arba kitu I tipo ekologiniu ženklu), </w:t>
            </w:r>
            <w:r w:rsidRPr="00304795">
              <w:rPr>
                <w:rFonts w:ascii="Arial" w:hAnsi="Arial" w:cs="Arial"/>
                <w:b/>
                <w:bCs/>
                <w:sz w:val="22"/>
                <w:szCs w:val="22"/>
              </w:rPr>
              <w:t>tiekėjas vietoj nurodytų atitiktį minimaliems aplinkos apsaugos kriterijams įrodančių dokumentų gali pateikti siūlomų prekių atitiktį I tipo ekologiniam ženklui įrodančius dokumentus ar kitus lygiaverčius įrodymus.</w:t>
            </w:r>
          </w:p>
          <w:p w14:paraId="7386B9C0" w14:textId="77777777" w:rsidR="00CD1571" w:rsidRPr="00304795" w:rsidRDefault="00CD1571" w:rsidP="0025685C">
            <w:pPr>
              <w:ind w:right="37"/>
              <w:jc w:val="both"/>
              <w:rPr>
                <w:rFonts w:ascii="Arial" w:hAnsi="Arial" w:cs="Arial"/>
                <w:b/>
                <w:bCs/>
                <w:sz w:val="22"/>
                <w:szCs w:val="22"/>
              </w:rPr>
            </w:pPr>
          </w:p>
          <w:p w14:paraId="1290FEED" w14:textId="77777777" w:rsidR="00CD1571" w:rsidRPr="00304795" w:rsidRDefault="00CD1571" w:rsidP="0025685C">
            <w:pPr>
              <w:ind w:right="37"/>
              <w:jc w:val="both"/>
              <w:rPr>
                <w:rFonts w:ascii="Arial" w:hAnsi="Arial" w:cs="Arial"/>
                <w:sz w:val="22"/>
                <w:szCs w:val="22"/>
              </w:rPr>
            </w:pPr>
            <w:r w:rsidRPr="00304795">
              <w:rPr>
                <w:rStyle w:val="normaltextrun"/>
                <w:rFonts w:ascii="Arial" w:hAnsi="Arial" w:cs="Arial"/>
                <w:b/>
                <w:bCs/>
                <w:i/>
                <w:iCs/>
                <w:sz w:val="22"/>
                <w:szCs w:val="22"/>
                <w:shd w:val="clear" w:color="auto" w:fill="FFFFFF"/>
              </w:rPr>
              <w:t>(dokumentai pateikiami kartu su pasiūlymu</w:t>
            </w:r>
            <w:r w:rsidRPr="00304795">
              <w:rPr>
                <w:rStyle w:val="eop"/>
                <w:rFonts w:ascii="Arial" w:hAnsi="Arial" w:cs="Arial"/>
                <w:b/>
                <w:bCs/>
                <w:i/>
                <w:iCs/>
                <w:sz w:val="22"/>
                <w:szCs w:val="22"/>
                <w:shd w:val="clear" w:color="auto" w:fill="FFFFFF"/>
              </w:rPr>
              <w:t>)</w:t>
            </w:r>
          </w:p>
        </w:tc>
      </w:tr>
    </w:tbl>
    <w:p w14:paraId="478FA6A8" w14:textId="77777777" w:rsidR="00CD1571" w:rsidRPr="00304795" w:rsidRDefault="00CD1571" w:rsidP="00CD1571">
      <w:pPr>
        <w:pStyle w:val="Default"/>
        <w:rPr>
          <w:rFonts w:ascii="Arial" w:eastAsia="Calibri" w:hAnsi="Arial" w:cs="Arial"/>
          <w:color w:val="auto"/>
          <w:sz w:val="22"/>
          <w:szCs w:val="22"/>
        </w:rPr>
      </w:pPr>
      <w:r w:rsidRPr="00304795">
        <w:rPr>
          <w:rFonts w:ascii="Arial" w:eastAsia="Calibri" w:hAnsi="Arial" w:cs="Arial"/>
          <w:color w:val="auto"/>
          <w:sz w:val="22"/>
          <w:szCs w:val="22"/>
          <w:u w:val="single"/>
        </w:rPr>
        <w:t xml:space="preserve">* </w:t>
      </w:r>
      <w:hyperlink r:id="rId13" w:history="1">
        <w:r w:rsidRPr="00304795">
          <w:rPr>
            <w:rStyle w:val="Hyperlink"/>
            <w:rFonts w:ascii="Arial" w:eastAsia="Calibri" w:hAnsi="Arial" w:cs="Arial"/>
            <w:color w:val="auto"/>
            <w:sz w:val="22"/>
            <w:szCs w:val="22"/>
          </w:rPr>
          <w:t>https://fsc.org/en</w:t>
        </w:r>
      </w:hyperlink>
      <w:r w:rsidRPr="00304795">
        <w:rPr>
          <w:rStyle w:val="Hyperlink"/>
          <w:rFonts w:ascii="Arial" w:eastAsia="Calibri" w:hAnsi="Arial" w:cs="Arial"/>
          <w:color w:val="auto"/>
          <w:sz w:val="22"/>
          <w:szCs w:val="22"/>
        </w:rPr>
        <w:t xml:space="preserve"> </w:t>
      </w:r>
      <w:r w:rsidRPr="00304795">
        <w:rPr>
          <w:rFonts w:ascii="Arial" w:eastAsia="Calibri" w:hAnsi="Arial" w:cs="Arial"/>
          <w:color w:val="auto"/>
          <w:sz w:val="22"/>
          <w:szCs w:val="22"/>
          <w:u w:val="single"/>
        </w:rPr>
        <w:t xml:space="preserve"> </w:t>
      </w:r>
    </w:p>
    <w:p w14:paraId="6CF95D1C" w14:textId="77777777" w:rsidR="00CD1571" w:rsidRPr="00304795" w:rsidRDefault="00CD1571" w:rsidP="00CD1571">
      <w:pPr>
        <w:jc w:val="both"/>
        <w:rPr>
          <w:rFonts w:ascii="Arial" w:hAnsi="Arial" w:cs="Arial"/>
          <w:highlight w:val="yellow"/>
        </w:rPr>
      </w:pPr>
      <w:r w:rsidRPr="00304795">
        <w:rPr>
          <w:rFonts w:ascii="Arial" w:eastAsia="Calibri" w:hAnsi="Arial" w:cs="Arial"/>
          <w:u w:val="single"/>
        </w:rPr>
        <w:t xml:space="preserve">** </w:t>
      </w:r>
      <w:hyperlink r:id="rId14" w:history="1">
        <w:r w:rsidRPr="00304795">
          <w:rPr>
            <w:rStyle w:val="Hyperlink"/>
            <w:rFonts w:ascii="Arial" w:eastAsia="Calibri" w:hAnsi="Arial" w:cs="Arial"/>
            <w:color w:val="auto"/>
          </w:rPr>
          <w:t>https://www.pefc.org/</w:t>
        </w:r>
      </w:hyperlink>
    </w:p>
    <w:p w14:paraId="39FAAC1A" w14:textId="38061D8C" w:rsidR="00CD1571" w:rsidRPr="00CD1571" w:rsidRDefault="00CD1571" w:rsidP="00CD1571">
      <w:pPr>
        <w:pStyle w:val="ListParagraph"/>
        <w:numPr>
          <w:ilvl w:val="0"/>
          <w:numId w:val="50"/>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sz w:val="20"/>
          <w:szCs w:val="20"/>
        </w:rPr>
      </w:pPr>
      <w:r w:rsidRPr="00CD1571">
        <w:rPr>
          <w:rFonts w:ascii="Arial" w:eastAsia="Calibri" w:hAnsi="Arial" w:cs="Arial"/>
          <w:b/>
          <w:sz w:val="20"/>
          <w:szCs w:val="20"/>
        </w:rPr>
        <w:t>PRIEDAI</w:t>
      </w:r>
    </w:p>
    <w:p w14:paraId="3E26C711" w14:textId="0B77DDD0" w:rsidR="00CD1571" w:rsidRPr="00CD1571" w:rsidRDefault="00CD1571" w:rsidP="00CD1571">
      <w:pPr>
        <w:pStyle w:val="ListParagraph"/>
        <w:numPr>
          <w:ilvl w:val="1"/>
          <w:numId w:val="50"/>
        </w:numPr>
        <w:ind w:left="426" w:hanging="426"/>
        <w:rPr>
          <w:rFonts w:ascii="Arial" w:hAnsi="Arial" w:cs="Arial"/>
          <w:sz w:val="20"/>
          <w:szCs w:val="20"/>
        </w:rPr>
      </w:pPr>
      <w:r w:rsidRPr="00CD1571">
        <w:rPr>
          <w:rFonts w:ascii="Arial" w:hAnsi="Arial" w:cs="Arial"/>
          <w:sz w:val="20"/>
          <w:szCs w:val="20"/>
        </w:rPr>
        <w:t>1 priedas. Orientacinė stalo schema (pavyzdys)</w:t>
      </w:r>
      <w:r>
        <w:rPr>
          <w:rFonts w:ascii="Arial" w:hAnsi="Arial" w:cs="Arial"/>
          <w:sz w:val="20"/>
          <w:szCs w:val="20"/>
        </w:rPr>
        <w:t>.</w:t>
      </w:r>
    </w:p>
    <w:p w14:paraId="74A8693C" w14:textId="2422DE41" w:rsidR="003F06DD" w:rsidRDefault="003F06DD" w:rsidP="1924CA17">
      <w:pPr>
        <w:shd w:val="clear" w:color="auto" w:fill="FFFFFF" w:themeFill="background1"/>
        <w:spacing w:line="276" w:lineRule="auto"/>
        <w:jc w:val="both"/>
        <w:rPr>
          <w:rFonts w:ascii="Arial" w:eastAsia="Times New Roman" w:hAnsi="Arial" w:cs="Arial"/>
          <w:color w:val="000000"/>
          <w:lang w:eastAsia="lt-LT"/>
        </w:rPr>
      </w:pPr>
    </w:p>
    <w:p w14:paraId="22662D77" w14:textId="77777777" w:rsidR="00CD1571" w:rsidRPr="002400A8" w:rsidRDefault="00CD1571" w:rsidP="1924CA17">
      <w:pPr>
        <w:shd w:val="clear" w:color="auto" w:fill="FFFFFF" w:themeFill="background1"/>
        <w:spacing w:line="276" w:lineRule="auto"/>
        <w:jc w:val="both"/>
        <w:rPr>
          <w:rFonts w:ascii="Arial" w:eastAsia="Times New Roman" w:hAnsi="Arial" w:cs="Arial"/>
          <w:color w:val="000000"/>
          <w:lang w:eastAsia="lt-LT"/>
        </w:rPr>
      </w:pPr>
    </w:p>
    <w:sectPr w:rsidR="00CD1571" w:rsidRPr="002400A8" w:rsidSect="00736515">
      <w:headerReference w:type="default" r:id="rId15"/>
      <w:footerReference w:type="default" r:id="rId16"/>
      <w:headerReference w:type="first" r:id="rId17"/>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88DE" w14:textId="77777777" w:rsidR="008C53B5" w:rsidRDefault="008C53B5" w:rsidP="00682323">
      <w:pPr>
        <w:spacing w:after="0" w:line="240" w:lineRule="auto"/>
      </w:pPr>
      <w:r>
        <w:separator/>
      </w:r>
    </w:p>
  </w:endnote>
  <w:endnote w:type="continuationSeparator" w:id="0">
    <w:p w14:paraId="3D0B891C" w14:textId="77777777" w:rsidR="008C53B5" w:rsidRDefault="008C53B5" w:rsidP="00682323">
      <w:pPr>
        <w:spacing w:after="0" w:line="240" w:lineRule="auto"/>
      </w:pPr>
      <w:r>
        <w:continuationSeparator/>
      </w:r>
    </w:p>
  </w:endnote>
  <w:endnote w:type="continuationNotice" w:id="1">
    <w:p w14:paraId="22064895" w14:textId="77777777" w:rsidR="008C53B5" w:rsidRDefault="008C5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F083C" w14:textId="77777777" w:rsidR="008C53B5" w:rsidRDefault="008C53B5" w:rsidP="00682323">
      <w:pPr>
        <w:spacing w:after="0" w:line="240" w:lineRule="auto"/>
      </w:pPr>
      <w:r>
        <w:separator/>
      </w:r>
    </w:p>
  </w:footnote>
  <w:footnote w:type="continuationSeparator" w:id="0">
    <w:p w14:paraId="45CBEC61" w14:textId="77777777" w:rsidR="008C53B5" w:rsidRDefault="008C53B5" w:rsidP="00682323">
      <w:pPr>
        <w:spacing w:after="0" w:line="240" w:lineRule="auto"/>
      </w:pPr>
      <w:r>
        <w:continuationSeparator/>
      </w:r>
    </w:p>
  </w:footnote>
  <w:footnote w:type="continuationNotice" w:id="1">
    <w:p w14:paraId="7243DCFD" w14:textId="77777777" w:rsidR="008C53B5" w:rsidRDefault="008C53B5">
      <w:pPr>
        <w:spacing w:after="0" w:line="240" w:lineRule="auto"/>
      </w:pPr>
    </w:p>
  </w:footnote>
  <w:footnote w:id="2">
    <w:p w14:paraId="0E122AA1" w14:textId="610C8375" w:rsidR="00455D3D" w:rsidRPr="00776717" w:rsidRDefault="00455D3D" w:rsidP="0070330A">
      <w:pPr>
        <w:pStyle w:val="FootnoteText"/>
        <w:jc w:val="both"/>
        <w:rPr>
          <w:rFonts w:ascii="Arial" w:hAnsi="Arial" w:cs="Arial"/>
          <w:sz w:val="18"/>
          <w:szCs w:val="18"/>
        </w:rPr>
      </w:pPr>
      <w:r w:rsidRPr="00776717">
        <w:rPr>
          <w:rStyle w:val="FootnoteReference"/>
          <w:rFonts w:ascii="Arial" w:hAnsi="Arial" w:cs="Arial"/>
          <w:sz w:val="18"/>
          <w:szCs w:val="18"/>
        </w:rPr>
        <w:footnoteRef/>
      </w:r>
      <w:r w:rsidRPr="00776717">
        <w:rPr>
          <w:rFonts w:ascii="Arial" w:hAnsi="Arial" w:cs="Arial"/>
          <w:sz w:val="18"/>
          <w:szCs w:val="18"/>
        </w:rPr>
        <w:t>Lygiaverčiu laikomas pirkimo objektas, kurio savybės nėra prastesnės (t.</w:t>
      </w:r>
      <w:r w:rsidR="00D139CC" w:rsidRPr="00776717">
        <w:rPr>
          <w:rFonts w:ascii="Arial" w:hAnsi="Arial" w:cs="Arial"/>
          <w:sz w:val="18"/>
          <w:szCs w:val="18"/>
        </w:rPr>
        <w:t xml:space="preserve"> </w:t>
      </w:r>
      <w:r w:rsidRPr="00776717">
        <w:rPr>
          <w:rFonts w:ascii="Arial" w:hAnsi="Arial" w:cs="Arial"/>
          <w:sz w:val="18"/>
          <w:szCs w:val="18"/>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neatliekant papildomų sąveikaujančių elementų pakeitimų;</w:t>
      </w:r>
    </w:p>
    <w:p w14:paraId="3CD5A5FE"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panaudojimas neturės įtakos sąveikaujančių elementų greitesniam susidėvėjimui, gedimams ir (ar) garantijos praradimui;</w:t>
      </w:r>
    </w:p>
    <w:p w14:paraId="6B4DC801"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numatytas tarnavimo laikotarpis nėra  trumpesnis;</w:t>
      </w:r>
    </w:p>
    <w:p w14:paraId="21FEBA30"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nėra prastesnio techninio pažangumo lygio.</w:t>
      </w:r>
    </w:p>
    <w:p w14:paraId="0621DDB7" w14:textId="44398599" w:rsidR="00455D3D" w:rsidRDefault="00455D3D" w:rsidP="0070330A">
      <w:pPr>
        <w:pStyle w:val="FootnoteText"/>
        <w:jc w:val="both"/>
      </w:pPr>
      <w:r w:rsidRPr="00776717">
        <w:rPr>
          <w:rFonts w:ascii="Arial" w:hAnsi="Arial" w:cs="Arial"/>
          <w:sz w:val="18"/>
          <w:szCs w:val="18"/>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CF89" w14:textId="7250E71B" w:rsidR="00A31923" w:rsidRDefault="00A31923" w:rsidP="00A31923">
    <w:pPr>
      <w:jc w:val="right"/>
      <w:rPr>
        <w:rFonts w:ascii="Arial" w:hAnsi="Arial" w:cs="Arial"/>
        <w:bCs/>
        <w:i/>
        <w:iCs/>
      </w:rPr>
    </w:pPr>
    <w:r>
      <w:rPr>
        <w:rFonts w:ascii="Arial" w:hAnsi="Arial" w:cs="Arial"/>
        <w:bCs/>
        <w:i/>
        <w:iCs/>
      </w:rPr>
      <w:t>Konkretaus pirkimo, atliekamo dinaminės pirkimų sistemos pagrindu, priedas Nr. 1</w:t>
    </w:r>
  </w:p>
  <w:p w14:paraId="5B5E75CE" w14:textId="77777777" w:rsidR="00A31923" w:rsidRDefault="00A31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5ED7868"/>
    <w:multiLevelType w:val="multilevel"/>
    <w:tmpl w:val="08726F16"/>
    <w:lvl w:ilvl="0">
      <w:start w:val="1"/>
      <w:numFmt w:val="decimal"/>
      <w:lvlText w:val="%1."/>
      <w:lvlJc w:val="left"/>
      <w:pPr>
        <w:ind w:left="560" w:hanging="560"/>
      </w:pPr>
      <w:rPr>
        <w:rFonts w:eastAsia="Times New Roman" w:hint="default"/>
        <w:i w:val="0"/>
        <w:color w:val="auto"/>
      </w:rPr>
    </w:lvl>
    <w:lvl w:ilvl="1">
      <w:start w:val="1"/>
      <w:numFmt w:val="decimal"/>
      <w:lvlText w:val="%1.%2."/>
      <w:lvlJc w:val="left"/>
      <w:pPr>
        <w:ind w:left="720" w:hanging="72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1080" w:hanging="108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440" w:hanging="144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800" w:hanging="180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3" w15:restartNumberingAfterBreak="0">
    <w:nsid w:val="06AC1395"/>
    <w:multiLevelType w:val="multilevel"/>
    <w:tmpl w:val="916EC702"/>
    <w:lvl w:ilvl="0">
      <w:start w:val="1"/>
      <w:numFmt w:val="decimal"/>
      <w:lvlText w:val="%1."/>
      <w:lvlJc w:val="left"/>
      <w:pPr>
        <w:ind w:left="560" w:hanging="5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7E3915"/>
    <w:multiLevelType w:val="hybridMultilevel"/>
    <w:tmpl w:val="2B14227A"/>
    <w:lvl w:ilvl="0" w:tplc="04270001">
      <w:start w:val="1"/>
      <w:numFmt w:val="bullet"/>
      <w:lvlText w:val=""/>
      <w:lvlJc w:val="left"/>
      <w:pPr>
        <w:ind w:left="360" w:hanging="360"/>
      </w:pPr>
      <w:rPr>
        <w:rFonts w:ascii="Symbol" w:hAnsi="Symbol" w:hint="default"/>
      </w:rPr>
    </w:lvl>
    <w:lvl w:ilvl="1" w:tplc="E9B69232">
      <w:start w:val="1"/>
      <w:numFmt w:val="bullet"/>
      <w:lvlText w:val="o"/>
      <w:lvlJc w:val="left"/>
      <w:pPr>
        <w:ind w:left="1080" w:hanging="360"/>
      </w:pPr>
      <w:rPr>
        <w:rFonts w:ascii="Arial" w:hAnsi="Arial" w:cs="Arial" w:hint="default"/>
        <w:sz w:val="22"/>
        <w:szCs w:val="22"/>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F901AE"/>
    <w:multiLevelType w:val="hybridMultilevel"/>
    <w:tmpl w:val="3522EC1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686677"/>
    <w:multiLevelType w:val="multilevel"/>
    <w:tmpl w:val="982C3D60"/>
    <w:lvl w:ilvl="0">
      <w:start w:val="1"/>
      <w:numFmt w:val="decimal"/>
      <w:lvlText w:val="%1."/>
      <w:lvlJc w:val="left"/>
      <w:pPr>
        <w:ind w:left="460" w:hanging="460"/>
      </w:pPr>
      <w:rPr>
        <w:rFonts w:hint="default"/>
      </w:rPr>
    </w:lvl>
    <w:lvl w:ilvl="1">
      <w:start w:val="6"/>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FCF7287"/>
    <w:multiLevelType w:val="multilevel"/>
    <w:tmpl w:val="DFDC980C"/>
    <w:lvl w:ilvl="0">
      <w:start w:val="1"/>
      <w:numFmt w:val="decimal"/>
      <w:lvlText w:val="%1."/>
      <w:lvlJc w:val="left"/>
      <w:pPr>
        <w:ind w:left="680" w:hanging="6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CB74FD"/>
    <w:multiLevelType w:val="multilevel"/>
    <w:tmpl w:val="D25A7400"/>
    <w:lvl w:ilvl="0">
      <w:start w:val="1"/>
      <w:numFmt w:val="decimal"/>
      <w:lvlText w:val="%1."/>
      <w:lvlJc w:val="left"/>
      <w:pPr>
        <w:ind w:left="560" w:hanging="5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254BDC"/>
    <w:multiLevelType w:val="hybridMultilevel"/>
    <w:tmpl w:val="0AD28B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29B81FEF"/>
    <w:multiLevelType w:val="hybridMultilevel"/>
    <w:tmpl w:val="8B70B4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5B6D4F"/>
    <w:multiLevelType w:val="multilevel"/>
    <w:tmpl w:val="982C3D60"/>
    <w:lvl w:ilvl="0">
      <w:start w:val="1"/>
      <w:numFmt w:val="decimal"/>
      <w:lvlText w:val="%1."/>
      <w:lvlJc w:val="left"/>
      <w:pPr>
        <w:ind w:left="460" w:hanging="460"/>
      </w:pPr>
      <w:rPr>
        <w:rFonts w:hint="default"/>
      </w:rPr>
    </w:lvl>
    <w:lvl w:ilvl="1">
      <w:start w:val="6"/>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313937"/>
    <w:multiLevelType w:val="multilevel"/>
    <w:tmpl w:val="1C40363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i w:val="0"/>
        <w:i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5B4C7A"/>
    <w:multiLevelType w:val="hybridMultilevel"/>
    <w:tmpl w:val="2222ED76"/>
    <w:lvl w:ilvl="0" w:tplc="78548C68">
      <w:start w:val="1"/>
      <w:numFmt w:val="lowerLetter"/>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367C84"/>
    <w:multiLevelType w:val="hybridMultilevel"/>
    <w:tmpl w:val="C1BCE2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54F1CC0"/>
    <w:multiLevelType w:val="multilevel"/>
    <w:tmpl w:val="35D215FE"/>
    <w:lvl w:ilvl="0">
      <w:start w:val="1"/>
      <w:numFmt w:val="decimal"/>
      <w:lvlText w:val="%1."/>
      <w:lvlJc w:val="left"/>
      <w:pPr>
        <w:ind w:left="560" w:hanging="5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CF22F6A"/>
    <w:multiLevelType w:val="multilevel"/>
    <w:tmpl w:val="478E7392"/>
    <w:lvl w:ilvl="0">
      <w:start w:val="1"/>
      <w:numFmt w:val="decimal"/>
      <w:lvlText w:val="%1."/>
      <w:lvlJc w:val="left"/>
      <w:pPr>
        <w:ind w:left="560" w:hanging="5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4D700F60"/>
    <w:multiLevelType w:val="multilevel"/>
    <w:tmpl w:val="916EC702"/>
    <w:lvl w:ilvl="0">
      <w:start w:val="1"/>
      <w:numFmt w:val="decimal"/>
      <w:lvlText w:val="%1."/>
      <w:lvlJc w:val="left"/>
      <w:pPr>
        <w:ind w:left="560" w:hanging="5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C23800"/>
    <w:multiLevelType w:val="hybridMultilevel"/>
    <w:tmpl w:val="412473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511B3795"/>
    <w:multiLevelType w:val="multilevel"/>
    <w:tmpl w:val="3716B016"/>
    <w:lvl w:ilvl="0">
      <w:start w:val="1"/>
      <w:numFmt w:val="decimal"/>
      <w:lvlText w:val="%1."/>
      <w:lvlJc w:val="left"/>
      <w:pPr>
        <w:ind w:left="560" w:hanging="560"/>
      </w:pPr>
      <w:rPr>
        <w:rFonts w:eastAsia="Times New Roman" w:hint="default"/>
        <w:i w:val="0"/>
        <w:color w:val="auto"/>
      </w:rPr>
    </w:lvl>
    <w:lvl w:ilvl="1">
      <w:start w:val="1"/>
      <w:numFmt w:val="decimal"/>
      <w:lvlText w:val="%1.%2."/>
      <w:lvlJc w:val="left"/>
      <w:pPr>
        <w:ind w:left="720" w:hanging="72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1080" w:hanging="108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440" w:hanging="144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800" w:hanging="180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33" w15:restartNumberingAfterBreak="0">
    <w:nsid w:val="513A73D9"/>
    <w:multiLevelType w:val="multilevel"/>
    <w:tmpl w:val="35D215FE"/>
    <w:lvl w:ilvl="0">
      <w:start w:val="1"/>
      <w:numFmt w:val="decimal"/>
      <w:lvlText w:val="%1."/>
      <w:lvlJc w:val="left"/>
      <w:pPr>
        <w:ind w:left="560" w:hanging="5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0A58C2"/>
    <w:multiLevelType w:val="multilevel"/>
    <w:tmpl w:val="AAAC2798"/>
    <w:lvl w:ilvl="0">
      <w:start w:val="1"/>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D16502"/>
    <w:multiLevelType w:val="multilevel"/>
    <w:tmpl w:val="916EC702"/>
    <w:lvl w:ilvl="0">
      <w:start w:val="1"/>
      <w:numFmt w:val="decimal"/>
      <w:lvlText w:val="%1."/>
      <w:lvlJc w:val="left"/>
      <w:pPr>
        <w:ind w:left="560" w:hanging="5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E1290D"/>
    <w:multiLevelType w:val="multilevel"/>
    <w:tmpl w:val="3D844A7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31024A3"/>
    <w:multiLevelType w:val="multilevel"/>
    <w:tmpl w:val="916EC702"/>
    <w:lvl w:ilvl="0">
      <w:start w:val="1"/>
      <w:numFmt w:val="decimal"/>
      <w:lvlText w:val="%1."/>
      <w:lvlJc w:val="left"/>
      <w:pPr>
        <w:ind w:left="560" w:hanging="5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4F365B4"/>
    <w:multiLevelType w:val="multilevel"/>
    <w:tmpl w:val="F112BEFA"/>
    <w:lvl w:ilvl="0">
      <w:start w:val="1"/>
      <w:numFmt w:val="decimal"/>
      <w:lvlText w:val="%1."/>
      <w:lvlJc w:val="left"/>
      <w:pPr>
        <w:ind w:left="560" w:hanging="56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717084F"/>
    <w:multiLevelType w:val="hybridMultilevel"/>
    <w:tmpl w:val="CA468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36"/>
  </w:num>
  <w:num w:numId="3">
    <w:abstractNumId w:val="5"/>
  </w:num>
  <w:num w:numId="4">
    <w:abstractNumId w:val="42"/>
  </w:num>
  <w:num w:numId="5">
    <w:abstractNumId w:val="4"/>
  </w:num>
  <w:num w:numId="6">
    <w:abstractNumId w:val="19"/>
  </w:num>
  <w:num w:numId="7">
    <w:abstractNumId w:val="25"/>
  </w:num>
  <w:num w:numId="8">
    <w:abstractNumId w:val="0"/>
  </w:num>
  <w:num w:numId="9">
    <w:abstractNumId w:val="45"/>
  </w:num>
  <w:num w:numId="10">
    <w:abstractNumId w:val="14"/>
  </w:num>
  <w:num w:numId="11">
    <w:abstractNumId w:val="48"/>
  </w:num>
  <w:num w:numId="12">
    <w:abstractNumId w:val="23"/>
  </w:num>
  <w:num w:numId="13">
    <w:abstractNumId w:val="1"/>
  </w:num>
  <w:num w:numId="14">
    <w:abstractNumId w:val="8"/>
  </w:num>
  <w:num w:numId="15">
    <w:abstractNumId w:val="28"/>
  </w:num>
  <w:num w:numId="16">
    <w:abstractNumId w:val="46"/>
  </w:num>
  <w:num w:numId="17">
    <w:abstractNumId w:val="38"/>
  </w:num>
  <w:num w:numId="18">
    <w:abstractNumId w:val="43"/>
  </w:num>
  <w:num w:numId="19">
    <w:abstractNumId w:val="6"/>
  </w:num>
  <w:num w:numId="20">
    <w:abstractNumId w:val="39"/>
  </w:num>
  <w:num w:numId="21">
    <w:abstractNumId w:val="44"/>
  </w:num>
  <w:num w:numId="22">
    <w:abstractNumId w:val="21"/>
  </w:num>
  <w:num w:numId="23">
    <w:abstractNumId w:val="41"/>
  </w:num>
  <w:num w:numId="24">
    <w:abstractNumId w:val="17"/>
  </w:num>
  <w:num w:numId="25">
    <w:abstractNumId w:val="10"/>
  </w:num>
  <w:num w:numId="26">
    <w:abstractNumId w:val="20"/>
  </w:num>
  <w:num w:numId="27">
    <w:abstractNumId w:val="32"/>
  </w:num>
  <w:num w:numId="28">
    <w:abstractNumId w:val="2"/>
  </w:num>
  <w:num w:numId="29">
    <w:abstractNumId w:val="24"/>
  </w:num>
  <w:num w:numId="30">
    <w:abstractNumId w:val="34"/>
  </w:num>
  <w:num w:numId="31">
    <w:abstractNumId w:val="49"/>
  </w:num>
  <w:num w:numId="32">
    <w:abstractNumId w:val="29"/>
  </w:num>
  <w:num w:numId="33">
    <w:abstractNumId w:val="27"/>
  </w:num>
  <w:num w:numId="34">
    <w:abstractNumId w:val="33"/>
  </w:num>
  <w:num w:numId="35">
    <w:abstractNumId w:val="7"/>
  </w:num>
  <w:num w:numId="36">
    <w:abstractNumId w:val="47"/>
  </w:num>
  <w:num w:numId="37">
    <w:abstractNumId w:val="31"/>
  </w:num>
  <w:num w:numId="38">
    <w:abstractNumId w:val="13"/>
  </w:num>
  <w:num w:numId="39">
    <w:abstractNumId w:val="9"/>
  </w:num>
  <w:num w:numId="40">
    <w:abstractNumId w:val="18"/>
  </w:num>
  <w:num w:numId="41">
    <w:abstractNumId w:val="11"/>
  </w:num>
  <w:num w:numId="42">
    <w:abstractNumId w:val="35"/>
  </w:num>
  <w:num w:numId="43">
    <w:abstractNumId w:val="3"/>
  </w:num>
  <w:num w:numId="44">
    <w:abstractNumId w:val="30"/>
  </w:num>
  <w:num w:numId="45">
    <w:abstractNumId w:val="15"/>
  </w:num>
  <w:num w:numId="46">
    <w:abstractNumId w:val="40"/>
  </w:num>
  <w:num w:numId="47">
    <w:abstractNumId w:val="16"/>
  </w:num>
  <w:num w:numId="48">
    <w:abstractNumId w:val="12"/>
  </w:num>
  <w:num w:numId="49">
    <w:abstractNumId w:val="26"/>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8"/>
    <w:rsid w:val="00001A5B"/>
    <w:rsid w:val="00002B1F"/>
    <w:rsid w:val="00003274"/>
    <w:rsid w:val="0000731B"/>
    <w:rsid w:val="00007BC4"/>
    <w:rsid w:val="00015660"/>
    <w:rsid w:val="0001767F"/>
    <w:rsid w:val="00040675"/>
    <w:rsid w:val="0004663F"/>
    <w:rsid w:val="00046A16"/>
    <w:rsid w:val="00050779"/>
    <w:rsid w:val="0006463F"/>
    <w:rsid w:val="000661DA"/>
    <w:rsid w:val="00070A2D"/>
    <w:rsid w:val="00071D9F"/>
    <w:rsid w:val="000749F2"/>
    <w:rsid w:val="00083E0C"/>
    <w:rsid w:val="000908BB"/>
    <w:rsid w:val="00094A35"/>
    <w:rsid w:val="000A1508"/>
    <w:rsid w:val="000A21A7"/>
    <w:rsid w:val="000A2297"/>
    <w:rsid w:val="000A41ED"/>
    <w:rsid w:val="000B2DF2"/>
    <w:rsid w:val="000C3BCB"/>
    <w:rsid w:val="000C6221"/>
    <w:rsid w:val="000D2D6C"/>
    <w:rsid w:val="000E13E1"/>
    <w:rsid w:val="000F0FE2"/>
    <w:rsid w:val="000F1037"/>
    <w:rsid w:val="000F2B72"/>
    <w:rsid w:val="000F405C"/>
    <w:rsid w:val="001019DE"/>
    <w:rsid w:val="00104578"/>
    <w:rsid w:val="00114209"/>
    <w:rsid w:val="001164D5"/>
    <w:rsid w:val="00121DF9"/>
    <w:rsid w:val="00130DCD"/>
    <w:rsid w:val="00134EB3"/>
    <w:rsid w:val="0014021A"/>
    <w:rsid w:val="00143363"/>
    <w:rsid w:val="00145E32"/>
    <w:rsid w:val="00147D31"/>
    <w:rsid w:val="00155471"/>
    <w:rsid w:val="001629D2"/>
    <w:rsid w:val="00167EA2"/>
    <w:rsid w:val="00171565"/>
    <w:rsid w:val="00172A6C"/>
    <w:rsid w:val="001832AA"/>
    <w:rsid w:val="00183393"/>
    <w:rsid w:val="001A7E68"/>
    <w:rsid w:val="001C16C4"/>
    <w:rsid w:val="001C67AB"/>
    <w:rsid w:val="001D1A00"/>
    <w:rsid w:val="001E2F5D"/>
    <w:rsid w:val="001F04D3"/>
    <w:rsid w:val="001F17B7"/>
    <w:rsid w:val="001F3DD7"/>
    <w:rsid w:val="001F6DD1"/>
    <w:rsid w:val="00205386"/>
    <w:rsid w:val="00206CF9"/>
    <w:rsid w:val="00212FAB"/>
    <w:rsid w:val="00216B8A"/>
    <w:rsid w:val="00220A56"/>
    <w:rsid w:val="00220B41"/>
    <w:rsid w:val="00225AA6"/>
    <w:rsid w:val="002275B0"/>
    <w:rsid w:val="00230499"/>
    <w:rsid w:val="00231ECF"/>
    <w:rsid w:val="002400A8"/>
    <w:rsid w:val="002409F1"/>
    <w:rsid w:val="00241F40"/>
    <w:rsid w:val="00245CBF"/>
    <w:rsid w:val="002560BB"/>
    <w:rsid w:val="00256B1C"/>
    <w:rsid w:val="002607DB"/>
    <w:rsid w:val="00262BAD"/>
    <w:rsid w:val="0026302A"/>
    <w:rsid w:val="00263CBF"/>
    <w:rsid w:val="00277AAE"/>
    <w:rsid w:val="00282721"/>
    <w:rsid w:val="00283A58"/>
    <w:rsid w:val="00285F0C"/>
    <w:rsid w:val="00291187"/>
    <w:rsid w:val="002933C3"/>
    <w:rsid w:val="00293E8B"/>
    <w:rsid w:val="00294AE6"/>
    <w:rsid w:val="00297939"/>
    <w:rsid w:val="002A0A19"/>
    <w:rsid w:val="002A3113"/>
    <w:rsid w:val="002A5E50"/>
    <w:rsid w:val="002A6462"/>
    <w:rsid w:val="002C30E7"/>
    <w:rsid w:val="002C4223"/>
    <w:rsid w:val="002D3492"/>
    <w:rsid w:val="002D4370"/>
    <w:rsid w:val="002D47ED"/>
    <w:rsid w:val="002D5BBD"/>
    <w:rsid w:val="002E0004"/>
    <w:rsid w:val="002E09D6"/>
    <w:rsid w:val="002E0D9A"/>
    <w:rsid w:val="002E0FA3"/>
    <w:rsid w:val="002E220E"/>
    <w:rsid w:val="002F34D4"/>
    <w:rsid w:val="003023B1"/>
    <w:rsid w:val="00306503"/>
    <w:rsid w:val="00314040"/>
    <w:rsid w:val="00315710"/>
    <w:rsid w:val="00325C64"/>
    <w:rsid w:val="00326C3D"/>
    <w:rsid w:val="00326FB7"/>
    <w:rsid w:val="003277D5"/>
    <w:rsid w:val="003301E2"/>
    <w:rsid w:val="003329F6"/>
    <w:rsid w:val="0033462A"/>
    <w:rsid w:val="00335510"/>
    <w:rsid w:val="0034081A"/>
    <w:rsid w:val="0034216B"/>
    <w:rsid w:val="00353EE1"/>
    <w:rsid w:val="00356AEE"/>
    <w:rsid w:val="003646F5"/>
    <w:rsid w:val="003659FD"/>
    <w:rsid w:val="00366554"/>
    <w:rsid w:val="00374095"/>
    <w:rsid w:val="003803BB"/>
    <w:rsid w:val="0038363F"/>
    <w:rsid w:val="00387BEF"/>
    <w:rsid w:val="00396F75"/>
    <w:rsid w:val="003970E1"/>
    <w:rsid w:val="003A139E"/>
    <w:rsid w:val="003A4AE0"/>
    <w:rsid w:val="003B488C"/>
    <w:rsid w:val="003B4ED6"/>
    <w:rsid w:val="003B74B7"/>
    <w:rsid w:val="003C4BEC"/>
    <w:rsid w:val="003D4EE1"/>
    <w:rsid w:val="003D5AE9"/>
    <w:rsid w:val="003E0E2F"/>
    <w:rsid w:val="003F06DD"/>
    <w:rsid w:val="003F7C49"/>
    <w:rsid w:val="00403106"/>
    <w:rsid w:val="004140ED"/>
    <w:rsid w:val="00424239"/>
    <w:rsid w:val="00425DD2"/>
    <w:rsid w:val="0043073D"/>
    <w:rsid w:val="004352AE"/>
    <w:rsid w:val="0043726E"/>
    <w:rsid w:val="0044037B"/>
    <w:rsid w:val="004414A7"/>
    <w:rsid w:val="0045056A"/>
    <w:rsid w:val="00455D3D"/>
    <w:rsid w:val="00457A38"/>
    <w:rsid w:val="00482CF9"/>
    <w:rsid w:val="00487A0D"/>
    <w:rsid w:val="004949D2"/>
    <w:rsid w:val="00496DB1"/>
    <w:rsid w:val="004A0C48"/>
    <w:rsid w:val="004A5BDE"/>
    <w:rsid w:val="004A6694"/>
    <w:rsid w:val="004A7824"/>
    <w:rsid w:val="004B55FF"/>
    <w:rsid w:val="004C0120"/>
    <w:rsid w:val="004C0936"/>
    <w:rsid w:val="004C22B2"/>
    <w:rsid w:val="004C476C"/>
    <w:rsid w:val="004C4BD3"/>
    <w:rsid w:val="004C6CE4"/>
    <w:rsid w:val="004D0D5B"/>
    <w:rsid w:val="004D322C"/>
    <w:rsid w:val="004D6148"/>
    <w:rsid w:val="004D7ECA"/>
    <w:rsid w:val="004E1FF7"/>
    <w:rsid w:val="004F23CD"/>
    <w:rsid w:val="004F2C85"/>
    <w:rsid w:val="004F43FC"/>
    <w:rsid w:val="004F4C03"/>
    <w:rsid w:val="005147EB"/>
    <w:rsid w:val="0051621D"/>
    <w:rsid w:val="005222BC"/>
    <w:rsid w:val="00541A27"/>
    <w:rsid w:val="00547581"/>
    <w:rsid w:val="00547713"/>
    <w:rsid w:val="00554709"/>
    <w:rsid w:val="005675F3"/>
    <w:rsid w:val="00571C2E"/>
    <w:rsid w:val="00575AC7"/>
    <w:rsid w:val="005841E0"/>
    <w:rsid w:val="00584334"/>
    <w:rsid w:val="00586146"/>
    <w:rsid w:val="005900D8"/>
    <w:rsid w:val="00593AAB"/>
    <w:rsid w:val="005A0A62"/>
    <w:rsid w:val="005A1338"/>
    <w:rsid w:val="005A2616"/>
    <w:rsid w:val="005B1EE4"/>
    <w:rsid w:val="005B21AE"/>
    <w:rsid w:val="005B37DE"/>
    <w:rsid w:val="005C0AAD"/>
    <w:rsid w:val="005C460D"/>
    <w:rsid w:val="005C691D"/>
    <w:rsid w:val="005D50E2"/>
    <w:rsid w:val="005D56A5"/>
    <w:rsid w:val="005E5978"/>
    <w:rsid w:val="005E5DA2"/>
    <w:rsid w:val="005F4D06"/>
    <w:rsid w:val="005F5A34"/>
    <w:rsid w:val="005F6225"/>
    <w:rsid w:val="005F7B77"/>
    <w:rsid w:val="00600F3D"/>
    <w:rsid w:val="00601442"/>
    <w:rsid w:val="006059C6"/>
    <w:rsid w:val="00607462"/>
    <w:rsid w:val="00610F00"/>
    <w:rsid w:val="00614A05"/>
    <w:rsid w:val="00615413"/>
    <w:rsid w:val="00616EBA"/>
    <w:rsid w:val="0062173D"/>
    <w:rsid w:val="0063790F"/>
    <w:rsid w:val="006527E9"/>
    <w:rsid w:val="00653F17"/>
    <w:rsid w:val="006540D4"/>
    <w:rsid w:val="00661497"/>
    <w:rsid w:val="00664486"/>
    <w:rsid w:val="00665802"/>
    <w:rsid w:val="00682323"/>
    <w:rsid w:val="00686C94"/>
    <w:rsid w:val="0069017B"/>
    <w:rsid w:val="006922AD"/>
    <w:rsid w:val="006A442A"/>
    <w:rsid w:val="006B202A"/>
    <w:rsid w:val="006B3608"/>
    <w:rsid w:val="006B6DAC"/>
    <w:rsid w:val="006B726E"/>
    <w:rsid w:val="006B796A"/>
    <w:rsid w:val="006C00A1"/>
    <w:rsid w:val="006C22C0"/>
    <w:rsid w:val="006C4BC6"/>
    <w:rsid w:val="006C7A0E"/>
    <w:rsid w:val="006D307D"/>
    <w:rsid w:val="006D5F3F"/>
    <w:rsid w:val="006D741B"/>
    <w:rsid w:val="006E0F0C"/>
    <w:rsid w:val="006E1D1A"/>
    <w:rsid w:val="006E302E"/>
    <w:rsid w:val="006E5A26"/>
    <w:rsid w:val="006E7F50"/>
    <w:rsid w:val="006F032D"/>
    <w:rsid w:val="006F7F3C"/>
    <w:rsid w:val="007008CC"/>
    <w:rsid w:val="00701CAA"/>
    <w:rsid w:val="0070330A"/>
    <w:rsid w:val="00706F85"/>
    <w:rsid w:val="007143F0"/>
    <w:rsid w:val="00715FD7"/>
    <w:rsid w:val="00723AE1"/>
    <w:rsid w:val="007249E8"/>
    <w:rsid w:val="00727B77"/>
    <w:rsid w:val="00736515"/>
    <w:rsid w:val="00737F10"/>
    <w:rsid w:val="007405ED"/>
    <w:rsid w:val="0074206A"/>
    <w:rsid w:val="00764FAD"/>
    <w:rsid w:val="00774490"/>
    <w:rsid w:val="00776382"/>
    <w:rsid w:val="00776717"/>
    <w:rsid w:val="0077709C"/>
    <w:rsid w:val="007828EC"/>
    <w:rsid w:val="007909FE"/>
    <w:rsid w:val="007942CD"/>
    <w:rsid w:val="00795A02"/>
    <w:rsid w:val="007A1B6C"/>
    <w:rsid w:val="007A60A9"/>
    <w:rsid w:val="007B5B1C"/>
    <w:rsid w:val="007B6B69"/>
    <w:rsid w:val="007C0D15"/>
    <w:rsid w:val="007C19E2"/>
    <w:rsid w:val="007C756E"/>
    <w:rsid w:val="007D0340"/>
    <w:rsid w:val="007D5CDA"/>
    <w:rsid w:val="007E0DC3"/>
    <w:rsid w:val="007E42FE"/>
    <w:rsid w:val="007F38C4"/>
    <w:rsid w:val="007F431A"/>
    <w:rsid w:val="007F6277"/>
    <w:rsid w:val="008009CF"/>
    <w:rsid w:val="008047C6"/>
    <w:rsid w:val="00817878"/>
    <w:rsid w:val="00824BB5"/>
    <w:rsid w:val="00827CEE"/>
    <w:rsid w:val="00830F97"/>
    <w:rsid w:val="00832C9D"/>
    <w:rsid w:val="00835879"/>
    <w:rsid w:val="0084791E"/>
    <w:rsid w:val="00863FEA"/>
    <w:rsid w:val="00864528"/>
    <w:rsid w:val="008664A6"/>
    <w:rsid w:val="00890D83"/>
    <w:rsid w:val="00897341"/>
    <w:rsid w:val="008976E8"/>
    <w:rsid w:val="008A26AB"/>
    <w:rsid w:val="008A2871"/>
    <w:rsid w:val="008A6B95"/>
    <w:rsid w:val="008A6D2C"/>
    <w:rsid w:val="008A6E32"/>
    <w:rsid w:val="008B4BA6"/>
    <w:rsid w:val="008B56E2"/>
    <w:rsid w:val="008B77A5"/>
    <w:rsid w:val="008C53B5"/>
    <w:rsid w:val="008D13A5"/>
    <w:rsid w:val="008F0F73"/>
    <w:rsid w:val="008F4B27"/>
    <w:rsid w:val="009004C7"/>
    <w:rsid w:val="009049D3"/>
    <w:rsid w:val="0091645C"/>
    <w:rsid w:val="009206AE"/>
    <w:rsid w:val="00930BFC"/>
    <w:rsid w:val="00931FE0"/>
    <w:rsid w:val="00940C23"/>
    <w:rsid w:val="00944DAD"/>
    <w:rsid w:val="0095218E"/>
    <w:rsid w:val="009628EB"/>
    <w:rsid w:val="0098149B"/>
    <w:rsid w:val="00984F2A"/>
    <w:rsid w:val="009869E6"/>
    <w:rsid w:val="00992C16"/>
    <w:rsid w:val="00996D10"/>
    <w:rsid w:val="009A4D65"/>
    <w:rsid w:val="009A680B"/>
    <w:rsid w:val="009B7716"/>
    <w:rsid w:val="009C1337"/>
    <w:rsid w:val="009C2830"/>
    <w:rsid w:val="009D608F"/>
    <w:rsid w:val="009D67EB"/>
    <w:rsid w:val="009D6F69"/>
    <w:rsid w:val="009E3C85"/>
    <w:rsid w:val="009E5C7D"/>
    <w:rsid w:val="009F5994"/>
    <w:rsid w:val="00A00C87"/>
    <w:rsid w:val="00A01C6F"/>
    <w:rsid w:val="00A02291"/>
    <w:rsid w:val="00A0347D"/>
    <w:rsid w:val="00A03AB8"/>
    <w:rsid w:val="00A06E84"/>
    <w:rsid w:val="00A077F3"/>
    <w:rsid w:val="00A079D3"/>
    <w:rsid w:val="00A30006"/>
    <w:rsid w:val="00A31923"/>
    <w:rsid w:val="00A32850"/>
    <w:rsid w:val="00A34DC9"/>
    <w:rsid w:val="00A369F0"/>
    <w:rsid w:val="00A41AB4"/>
    <w:rsid w:val="00A42F1D"/>
    <w:rsid w:val="00A448EF"/>
    <w:rsid w:val="00A53524"/>
    <w:rsid w:val="00A62853"/>
    <w:rsid w:val="00A630BB"/>
    <w:rsid w:val="00A63545"/>
    <w:rsid w:val="00A65E0E"/>
    <w:rsid w:val="00A72323"/>
    <w:rsid w:val="00A729FB"/>
    <w:rsid w:val="00A72C75"/>
    <w:rsid w:val="00A73928"/>
    <w:rsid w:val="00A74143"/>
    <w:rsid w:val="00A74866"/>
    <w:rsid w:val="00A7651F"/>
    <w:rsid w:val="00A811C6"/>
    <w:rsid w:val="00A91E27"/>
    <w:rsid w:val="00A9624F"/>
    <w:rsid w:val="00AB514D"/>
    <w:rsid w:val="00AB75D2"/>
    <w:rsid w:val="00AC4AAC"/>
    <w:rsid w:val="00AE3A04"/>
    <w:rsid w:val="00AE6C11"/>
    <w:rsid w:val="00AF30FC"/>
    <w:rsid w:val="00AF373C"/>
    <w:rsid w:val="00AF6B48"/>
    <w:rsid w:val="00B00883"/>
    <w:rsid w:val="00B06A26"/>
    <w:rsid w:val="00B12E41"/>
    <w:rsid w:val="00B1437B"/>
    <w:rsid w:val="00B174F3"/>
    <w:rsid w:val="00B27399"/>
    <w:rsid w:val="00B31E80"/>
    <w:rsid w:val="00B50AE0"/>
    <w:rsid w:val="00B56BC8"/>
    <w:rsid w:val="00B56BD0"/>
    <w:rsid w:val="00B62F69"/>
    <w:rsid w:val="00B66FF7"/>
    <w:rsid w:val="00B776C0"/>
    <w:rsid w:val="00B82C7E"/>
    <w:rsid w:val="00B83604"/>
    <w:rsid w:val="00B85513"/>
    <w:rsid w:val="00B86484"/>
    <w:rsid w:val="00B961AA"/>
    <w:rsid w:val="00B96D41"/>
    <w:rsid w:val="00BA49F7"/>
    <w:rsid w:val="00BC51E6"/>
    <w:rsid w:val="00BC5A6A"/>
    <w:rsid w:val="00BD3881"/>
    <w:rsid w:val="00BD40F7"/>
    <w:rsid w:val="00BE36B7"/>
    <w:rsid w:val="00BF0481"/>
    <w:rsid w:val="00BF2134"/>
    <w:rsid w:val="00BF270C"/>
    <w:rsid w:val="00C0488B"/>
    <w:rsid w:val="00C04C19"/>
    <w:rsid w:val="00C15FD0"/>
    <w:rsid w:val="00C17A81"/>
    <w:rsid w:val="00C248A7"/>
    <w:rsid w:val="00C31511"/>
    <w:rsid w:val="00C344D3"/>
    <w:rsid w:val="00C4020E"/>
    <w:rsid w:val="00C428B9"/>
    <w:rsid w:val="00C438AC"/>
    <w:rsid w:val="00C51517"/>
    <w:rsid w:val="00C521DF"/>
    <w:rsid w:val="00C522F2"/>
    <w:rsid w:val="00C555E0"/>
    <w:rsid w:val="00C559F9"/>
    <w:rsid w:val="00C55B15"/>
    <w:rsid w:val="00C572AA"/>
    <w:rsid w:val="00C61CA5"/>
    <w:rsid w:val="00C71538"/>
    <w:rsid w:val="00C73886"/>
    <w:rsid w:val="00C81096"/>
    <w:rsid w:val="00C811FE"/>
    <w:rsid w:val="00CA2B7D"/>
    <w:rsid w:val="00CA5777"/>
    <w:rsid w:val="00CB5AC9"/>
    <w:rsid w:val="00CC2105"/>
    <w:rsid w:val="00CC31AC"/>
    <w:rsid w:val="00CC3B99"/>
    <w:rsid w:val="00CD1571"/>
    <w:rsid w:val="00CD1695"/>
    <w:rsid w:val="00CE094A"/>
    <w:rsid w:val="00CE1707"/>
    <w:rsid w:val="00CE322E"/>
    <w:rsid w:val="00CE3507"/>
    <w:rsid w:val="00CF688B"/>
    <w:rsid w:val="00D050D6"/>
    <w:rsid w:val="00D13763"/>
    <w:rsid w:val="00D139CC"/>
    <w:rsid w:val="00D13E13"/>
    <w:rsid w:val="00D16CD0"/>
    <w:rsid w:val="00D22F4B"/>
    <w:rsid w:val="00D33EE8"/>
    <w:rsid w:val="00D36DFE"/>
    <w:rsid w:val="00D40899"/>
    <w:rsid w:val="00D45877"/>
    <w:rsid w:val="00D4591E"/>
    <w:rsid w:val="00D47CD8"/>
    <w:rsid w:val="00D60C58"/>
    <w:rsid w:val="00D61261"/>
    <w:rsid w:val="00D64697"/>
    <w:rsid w:val="00D652C3"/>
    <w:rsid w:val="00D77B33"/>
    <w:rsid w:val="00D854CA"/>
    <w:rsid w:val="00D942D2"/>
    <w:rsid w:val="00D94362"/>
    <w:rsid w:val="00D9581B"/>
    <w:rsid w:val="00DA75FA"/>
    <w:rsid w:val="00DB0D52"/>
    <w:rsid w:val="00DB11B4"/>
    <w:rsid w:val="00DB7B5F"/>
    <w:rsid w:val="00DC79E6"/>
    <w:rsid w:val="00DE0C61"/>
    <w:rsid w:val="00DE3E64"/>
    <w:rsid w:val="00DE41E3"/>
    <w:rsid w:val="00DE5EDC"/>
    <w:rsid w:val="00DE7702"/>
    <w:rsid w:val="00DF47C3"/>
    <w:rsid w:val="00DF4815"/>
    <w:rsid w:val="00E01432"/>
    <w:rsid w:val="00E023D2"/>
    <w:rsid w:val="00E1679E"/>
    <w:rsid w:val="00E17DA2"/>
    <w:rsid w:val="00E21DDE"/>
    <w:rsid w:val="00E223CB"/>
    <w:rsid w:val="00E231AF"/>
    <w:rsid w:val="00E2400E"/>
    <w:rsid w:val="00E24A52"/>
    <w:rsid w:val="00E30CF3"/>
    <w:rsid w:val="00E35650"/>
    <w:rsid w:val="00E35870"/>
    <w:rsid w:val="00E37053"/>
    <w:rsid w:val="00E372F8"/>
    <w:rsid w:val="00E416AB"/>
    <w:rsid w:val="00E43611"/>
    <w:rsid w:val="00E51A27"/>
    <w:rsid w:val="00E53871"/>
    <w:rsid w:val="00E6116F"/>
    <w:rsid w:val="00E71818"/>
    <w:rsid w:val="00E76182"/>
    <w:rsid w:val="00E80B1A"/>
    <w:rsid w:val="00E862DF"/>
    <w:rsid w:val="00E8735F"/>
    <w:rsid w:val="00E9666E"/>
    <w:rsid w:val="00EA7418"/>
    <w:rsid w:val="00EC02DD"/>
    <w:rsid w:val="00EC3753"/>
    <w:rsid w:val="00ED1C61"/>
    <w:rsid w:val="00ED25B1"/>
    <w:rsid w:val="00ED2928"/>
    <w:rsid w:val="00ED32FB"/>
    <w:rsid w:val="00ED7FDA"/>
    <w:rsid w:val="00EE0E30"/>
    <w:rsid w:val="00EE29B1"/>
    <w:rsid w:val="00EE50F1"/>
    <w:rsid w:val="00EF4B6E"/>
    <w:rsid w:val="00EF7AB8"/>
    <w:rsid w:val="00EF7DF5"/>
    <w:rsid w:val="00F03619"/>
    <w:rsid w:val="00F10687"/>
    <w:rsid w:val="00F12271"/>
    <w:rsid w:val="00F16255"/>
    <w:rsid w:val="00F23F4F"/>
    <w:rsid w:val="00F2412D"/>
    <w:rsid w:val="00F26E8C"/>
    <w:rsid w:val="00F318CE"/>
    <w:rsid w:val="00F46350"/>
    <w:rsid w:val="00F46440"/>
    <w:rsid w:val="00F47659"/>
    <w:rsid w:val="00F52E51"/>
    <w:rsid w:val="00F54185"/>
    <w:rsid w:val="00F54F6D"/>
    <w:rsid w:val="00F5588B"/>
    <w:rsid w:val="00F558F0"/>
    <w:rsid w:val="00F56D90"/>
    <w:rsid w:val="00F63246"/>
    <w:rsid w:val="00F63A4D"/>
    <w:rsid w:val="00F674FF"/>
    <w:rsid w:val="00F73726"/>
    <w:rsid w:val="00F80412"/>
    <w:rsid w:val="00F83F67"/>
    <w:rsid w:val="00F83FAA"/>
    <w:rsid w:val="00F85802"/>
    <w:rsid w:val="00F90441"/>
    <w:rsid w:val="00F908B5"/>
    <w:rsid w:val="00FA5777"/>
    <w:rsid w:val="00FB221D"/>
    <w:rsid w:val="00FC09B9"/>
    <w:rsid w:val="00FC21AE"/>
    <w:rsid w:val="00FD52ED"/>
    <w:rsid w:val="00FE4847"/>
    <w:rsid w:val="0128FBA2"/>
    <w:rsid w:val="023C5A50"/>
    <w:rsid w:val="09ABCFDE"/>
    <w:rsid w:val="0E175E7F"/>
    <w:rsid w:val="0E5F00BB"/>
    <w:rsid w:val="0F0C656B"/>
    <w:rsid w:val="10922543"/>
    <w:rsid w:val="15738983"/>
    <w:rsid w:val="168CC521"/>
    <w:rsid w:val="1924CA17"/>
    <w:rsid w:val="1BCF07DE"/>
    <w:rsid w:val="1E3B5703"/>
    <w:rsid w:val="273AB2C1"/>
    <w:rsid w:val="2A932445"/>
    <w:rsid w:val="2BDE7C42"/>
    <w:rsid w:val="3A6A9C86"/>
    <w:rsid w:val="3AF9BB4E"/>
    <w:rsid w:val="3E6B7D0C"/>
    <w:rsid w:val="4150D517"/>
    <w:rsid w:val="43C2A1D8"/>
    <w:rsid w:val="46518799"/>
    <w:rsid w:val="4B775679"/>
    <w:rsid w:val="4BB9BB11"/>
    <w:rsid w:val="4F6134C2"/>
    <w:rsid w:val="4FEBC871"/>
    <w:rsid w:val="502B425E"/>
    <w:rsid w:val="58AF53CB"/>
    <w:rsid w:val="59EC620A"/>
    <w:rsid w:val="5AE012B3"/>
    <w:rsid w:val="5F737BDC"/>
    <w:rsid w:val="63F13D07"/>
    <w:rsid w:val="65512FDB"/>
    <w:rsid w:val="6838C0A4"/>
    <w:rsid w:val="6DC36EF8"/>
    <w:rsid w:val="70DAB5DA"/>
    <w:rsid w:val="746048B9"/>
    <w:rsid w:val="78C20FC3"/>
    <w:rsid w:val="7E661725"/>
    <w:rsid w:val="7E9C5A9A"/>
    <w:rsid w:val="7F748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docId w15:val="{10F2B23E-C3BC-46DD-88C5-ABC9AACC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40ED"/>
  </w:style>
  <w:style w:type="character" w:customStyle="1" w:styleId="xcontentpasted0">
    <w:name w:val="x_contentpasted0"/>
    <w:basedOn w:val="DefaultParagraphFont"/>
    <w:rsid w:val="009C2830"/>
  </w:style>
  <w:style w:type="character" w:customStyle="1" w:styleId="fontstyle01">
    <w:name w:val="fontstyle01"/>
    <w:basedOn w:val="DefaultParagraphFont"/>
    <w:rsid w:val="005B1EE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5B1E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5B1EE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Emphasis">
    <w:name w:val="Emphasis"/>
    <w:basedOn w:val="DefaultParagraphFont"/>
    <w:uiPriority w:val="20"/>
    <w:qFormat/>
    <w:rsid w:val="004949D2"/>
    <w:rPr>
      <w:i/>
      <w:iCs/>
    </w:rPr>
  </w:style>
  <w:style w:type="character" w:styleId="Hyperlink">
    <w:name w:val="Hyperlink"/>
    <w:basedOn w:val="DefaultParagraphFont"/>
    <w:uiPriority w:val="99"/>
    <w:unhideWhenUsed/>
    <w:rsid w:val="00AF373C"/>
    <w:rPr>
      <w:color w:val="0563C1" w:themeColor="hyperlink"/>
      <w:u w:val="single"/>
    </w:rPr>
  </w:style>
  <w:style w:type="character" w:styleId="UnresolvedMention">
    <w:name w:val="Unresolved Mention"/>
    <w:basedOn w:val="DefaultParagraphFont"/>
    <w:uiPriority w:val="99"/>
    <w:semiHidden/>
    <w:unhideWhenUsed/>
    <w:rsid w:val="00AF373C"/>
    <w:rPr>
      <w:color w:val="605E5C"/>
      <w:shd w:val="clear" w:color="auto" w:fill="E1DFDD"/>
    </w:rPr>
  </w:style>
  <w:style w:type="paragraph" w:styleId="Revision">
    <w:name w:val="Revision"/>
    <w:hidden/>
    <w:uiPriority w:val="99"/>
    <w:semiHidden/>
    <w:rsid w:val="003E0E2F"/>
    <w:pPr>
      <w:spacing w:after="0" w:line="240" w:lineRule="auto"/>
    </w:pPr>
  </w:style>
  <w:style w:type="paragraph" w:customStyle="1" w:styleId="Default">
    <w:name w:val="Default"/>
    <w:basedOn w:val="Normal"/>
    <w:uiPriority w:val="1"/>
    <w:rsid w:val="00E372F8"/>
    <w:pPr>
      <w:spacing w:after="0" w:line="240" w:lineRule="auto"/>
    </w:pPr>
    <w:rPr>
      <w:rFonts w:eastAsia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1833">
      <w:bodyDiv w:val="1"/>
      <w:marLeft w:val="0"/>
      <w:marRight w:val="0"/>
      <w:marTop w:val="0"/>
      <w:marBottom w:val="0"/>
      <w:divBdr>
        <w:top w:val="none" w:sz="0" w:space="0" w:color="auto"/>
        <w:left w:val="none" w:sz="0" w:space="0" w:color="auto"/>
        <w:bottom w:val="none" w:sz="0" w:space="0" w:color="auto"/>
        <w:right w:val="none" w:sz="0" w:space="0" w:color="auto"/>
      </w:divBdr>
    </w:div>
    <w:div w:id="146535219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72978">
      <w:bodyDiv w:val="1"/>
      <w:marLeft w:val="0"/>
      <w:marRight w:val="0"/>
      <w:marTop w:val="0"/>
      <w:marBottom w:val="0"/>
      <w:divBdr>
        <w:top w:val="none" w:sz="0" w:space="0" w:color="auto"/>
        <w:left w:val="none" w:sz="0" w:space="0" w:color="auto"/>
        <w:bottom w:val="none" w:sz="0" w:space="0" w:color="auto"/>
        <w:right w:val="none" w:sz="0" w:space="0" w:color="auto"/>
      </w:divBdr>
    </w:div>
    <w:div w:id="1924029518">
      <w:bodyDiv w:val="1"/>
      <w:marLeft w:val="0"/>
      <w:marRight w:val="0"/>
      <w:marTop w:val="0"/>
      <w:marBottom w:val="0"/>
      <w:divBdr>
        <w:top w:val="none" w:sz="0" w:space="0" w:color="auto"/>
        <w:left w:val="none" w:sz="0" w:space="0" w:color="auto"/>
        <w:bottom w:val="none" w:sz="0" w:space="0" w:color="auto"/>
        <w:right w:val="none" w:sz="0" w:space="0" w:color="auto"/>
      </w:divBdr>
      <w:divsChild>
        <w:div w:id="2127310680">
          <w:marLeft w:val="0"/>
          <w:marRight w:val="0"/>
          <w:marTop w:val="0"/>
          <w:marBottom w:val="0"/>
          <w:divBdr>
            <w:top w:val="none" w:sz="0" w:space="0" w:color="auto"/>
            <w:left w:val="none" w:sz="0" w:space="0" w:color="auto"/>
            <w:bottom w:val="none" w:sz="0" w:space="0" w:color="auto"/>
            <w:right w:val="none" w:sz="0" w:space="0" w:color="auto"/>
          </w:divBdr>
        </w:div>
        <w:div w:id="1704865196">
          <w:marLeft w:val="0"/>
          <w:marRight w:val="0"/>
          <w:marTop w:val="0"/>
          <w:marBottom w:val="0"/>
          <w:divBdr>
            <w:top w:val="none" w:sz="0" w:space="0" w:color="auto"/>
            <w:left w:val="none" w:sz="0" w:space="0" w:color="auto"/>
            <w:bottom w:val="none" w:sz="0" w:space="0" w:color="auto"/>
            <w:right w:val="none" w:sz="0" w:space="0" w:color="auto"/>
          </w:divBdr>
        </w:div>
        <w:div w:id="1112285495">
          <w:marLeft w:val="0"/>
          <w:marRight w:val="0"/>
          <w:marTop w:val="0"/>
          <w:marBottom w:val="0"/>
          <w:divBdr>
            <w:top w:val="none" w:sz="0" w:space="0" w:color="auto"/>
            <w:left w:val="none" w:sz="0" w:space="0" w:color="auto"/>
            <w:bottom w:val="none" w:sz="0" w:space="0" w:color="auto"/>
            <w:right w:val="none" w:sz="0" w:space="0" w:color="auto"/>
          </w:divBdr>
        </w:div>
        <w:div w:id="1434083418">
          <w:marLeft w:val="0"/>
          <w:marRight w:val="0"/>
          <w:marTop w:val="0"/>
          <w:marBottom w:val="0"/>
          <w:divBdr>
            <w:top w:val="none" w:sz="0" w:space="0" w:color="auto"/>
            <w:left w:val="none" w:sz="0" w:space="0" w:color="auto"/>
            <w:bottom w:val="none" w:sz="0" w:space="0" w:color="auto"/>
            <w:right w:val="none" w:sz="0" w:space="0" w:color="auto"/>
          </w:divBdr>
        </w:div>
        <w:div w:id="1973751962">
          <w:marLeft w:val="0"/>
          <w:marRight w:val="0"/>
          <w:marTop w:val="0"/>
          <w:marBottom w:val="0"/>
          <w:divBdr>
            <w:top w:val="none" w:sz="0" w:space="0" w:color="auto"/>
            <w:left w:val="none" w:sz="0" w:space="0" w:color="auto"/>
            <w:bottom w:val="none" w:sz="0" w:space="0" w:color="auto"/>
            <w:right w:val="none" w:sz="0" w:space="0" w:color="auto"/>
          </w:divBdr>
        </w:div>
        <w:div w:id="2009281656">
          <w:marLeft w:val="0"/>
          <w:marRight w:val="0"/>
          <w:marTop w:val="0"/>
          <w:marBottom w:val="0"/>
          <w:divBdr>
            <w:top w:val="none" w:sz="0" w:space="0" w:color="auto"/>
            <w:left w:val="none" w:sz="0" w:space="0" w:color="auto"/>
            <w:bottom w:val="none" w:sz="0" w:space="0" w:color="auto"/>
            <w:right w:val="none" w:sz="0" w:space="0" w:color="auto"/>
          </w:divBdr>
        </w:div>
        <w:div w:id="1713649609">
          <w:marLeft w:val="0"/>
          <w:marRight w:val="0"/>
          <w:marTop w:val="0"/>
          <w:marBottom w:val="0"/>
          <w:divBdr>
            <w:top w:val="none" w:sz="0" w:space="0" w:color="auto"/>
            <w:left w:val="none" w:sz="0" w:space="0" w:color="auto"/>
            <w:bottom w:val="none" w:sz="0" w:space="0" w:color="auto"/>
            <w:right w:val="none" w:sz="0" w:space="0" w:color="auto"/>
          </w:divBdr>
        </w:div>
        <w:div w:id="882713252">
          <w:marLeft w:val="0"/>
          <w:marRight w:val="0"/>
          <w:marTop w:val="0"/>
          <w:marBottom w:val="0"/>
          <w:divBdr>
            <w:top w:val="none" w:sz="0" w:space="0" w:color="auto"/>
            <w:left w:val="none" w:sz="0" w:space="0" w:color="auto"/>
            <w:bottom w:val="none" w:sz="0" w:space="0" w:color="auto"/>
            <w:right w:val="none" w:sz="0" w:space="0" w:color="auto"/>
          </w:divBdr>
        </w:div>
        <w:div w:id="1983074076">
          <w:marLeft w:val="0"/>
          <w:marRight w:val="0"/>
          <w:marTop w:val="0"/>
          <w:marBottom w:val="0"/>
          <w:divBdr>
            <w:top w:val="none" w:sz="0" w:space="0" w:color="auto"/>
            <w:left w:val="none" w:sz="0" w:space="0" w:color="auto"/>
            <w:bottom w:val="none" w:sz="0" w:space="0" w:color="auto"/>
            <w:right w:val="none" w:sz="0" w:space="0" w:color="auto"/>
          </w:divBdr>
        </w:div>
        <w:div w:id="1913271516">
          <w:marLeft w:val="0"/>
          <w:marRight w:val="0"/>
          <w:marTop w:val="0"/>
          <w:marBottom w:val="0"/>
          <w:divBdr>
            <w:top w:val="none" w:sz="0" w:space="0" w:color="auto"/>
            <w:left w:val="none" w:sz="0" w:space="0" w:color="auto"/>
            <w:bottom w:val="none" w:sz="0" w:space="0" w:color="auto"/>
            <w:right w:val="none" w:sz="0" w:space="0" w:color="auto"/>
          </w:divBdr>
        </w:div>
        <w:div w:id="2018144124">
          <w:marLeft w:val="0"/>
          <w:marRight w:val="0"/>
          <w:marTop w:val="0"/>
          <w:marBottom w:val="0"/>
          <w:divBdr>
            <w:top w:val="none" w:sz="0" w:space="0" w:color="auto"/>
            <w:left w:val="none" w:sz="0" w:space="0" w:color="auto"/>
            <w:bottom w:val="none" w:sz="0" w:space="0" w:color="auto"/>
            <w:right w:val="none" w:sz="0" w:space="0" w:color="auto"/>
          </w:divBdr>
        </w:div>
        <w:div w:id="221216126">
          <w:marLeft w:val="0"/>
          <w:marRight w:val="0"/>
          <w:marTop w:val="0"/>
          <w:marBottom w:val="0"/>
          <w:divBdr>
            <w:top w:val="none" w:sz="0" w:space="0" w:color="auto"/>
            <w:left w:val="none" w:sz="0" w:space="0" w:color="auto"/>
            <w:bottom w:val="none" w:sz="0" w:space="0" w:color="auto"/>
            <w:right w:val="none" w:sz="0" w:space="0" w:color="auto"/>
          </w:divBdr>
        </w:div>
        <w:div w:id="1854373696">
          <w:marLeft w:val="0"/>
          <w:marRight w:val="0"/>
          <w:marTop w:val="0"/>
          <w:marBottom w:val="0"/>
          <w:divBdr>
            <w:top w:val="none" w:sz="0" w:space="0" w:color="auto"/>
            <w:left w:val="none" w:sz="0" w:space="0" w:color="auto"/>
            <w:bottom w:val="none" w:sz="0" w:space="0" w:color="auto"/>
            <w:right w:val="none" w:sz="0" w:space="0" w:color="auto"/>
          </w:divBdr>
        </w:div>
        <w:div w:id="1700862109">
          <w:marLeft w:val="0"/>
          <w:marRight w:val="0"/>
          <w:marTop w:val="0"/>
          <w:marBottom w:val="0"/>
          <w:divBdr>
            <w:top w:val="none" w:sz="0" w:space="0" w:color="auto"/>
            <w:left w:val="none" w:sz="0" w:space="0" w:color="auto"/>
            <w:bottom w:val="none" w:sz="0" w:space="0" w:color="auto"/>
            <w:right w:val="none" w:sz="0" w:space="0" w:color="auto"/>
          </w:divBdr>
        </w:div>
        <w:div w:id="1117212283">
          <w:marLeft w:val="0"/>
          <w:marRight w:val="0"/>
          <w:marTop w:val="0"/>
          <w:marBottom w:val="0"/>
          <w:divBdr>
            <w:top w:val="none" w:sz="0" w:space="0" w:color="auto"/>
            <w:left w:val="none" w:sz="0" w:space="0" w:color="auto"/>
            <w:bottom w:val="none" w:sz="0" w:space="0" w:color="auto"/>
            <w:right w:val="none" w:sz="0" w:space="0" w:color="auto"/>
          </w:divBdr>
        </w:div>
      </w:divsChild>
    </w:div>
    <w:div w:id="1942686751">
      <w:bodyDiv w:val="1"/>
      <w:marLeft w:val="0"/>
      <w:marRight w:val="0"/>
      <w:marTop w:val="0"/>
      <w:marBottom w:val="0"/>
      <w:divBdr>
        <w:top w:val="none" w:sz="0" w:space="0" w:color="auto"/>
        <w:left w:val="none" w:sz="0" w:space="0" w:color="auto"/>
        <w:bottom w:val="none" w:sz="0" w:space="0" w:color="auto"/>
        <w:right w:val="none" w:sz="0" w:space="0" w:color="auto"/>
      </w:divBdr>
    </w:div>
    <w:div w:id="2057198031">
      <w:bodyDiv w:val="1"/>
      <w:marLeft w:val="0"/>
      <w:marRight w:val="0"/>
      <w:marTop w:val="0"/>
      <w:marBottom w:val="0"/>
      <w:divBdr>
        <w:top w:val="none" w:sz="0" w:space="0" w:color="auto"/>
        <w:left w:val="none" w:sz="0" w:space="0" w:color="auto"/>
        <w:bottom w:val="none" w:sz="0" w:space="0" w:color="auto"/>
        <w:right w:val="none" w:sz="0" w:space="0" w:color="auto"/>
      </w:divBdr>
      <w:divsChild>
        <w:div w:id="1754862881">
          <w:marLeft w:val="0"/>
          <w:marRight w:val="0"/>
          <w:marTop w:val="0"/>
          <w:marBottom w:val="0"/>
          <w:divBdr>
            <w:top w:val="none" w:sz="0" w:space="0" w:color="auto"/>
            <w:left w:val="none" w:sz="0" w:space="0" w:color="auto"/>
            <w:bottom w:val="none" w:sz="0" w:space="0" w:color="auto"/>
            <w:right w:val="none" w:sz="0" w:space="0" w:color="auto"/>
          </w:divBdr>
        </w:div>
        <w:div w:id="62458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c.org/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A9EAE3BF-36B4-4175-8026-F012521D223A}">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234812D2-3108-473A-891A-A4B2E7E1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8403</Words>
  <Characters>4791</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Vestina Aistė Arbataitytė</cp:lastModifiedBy>
  <cp:revision>3</cp:revision>
  <dcterms:created xsi:type="dcterms:W3CDTF">2025-11-18T08:43:00Z</dcterms:created>
  <dcterms:modified xsi:type="dcterms:W3CDTF">2025-11-18T12:45:00Z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