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674"/>
        <w:gridCol w:w="1968"/>
        <w:gridCol w:w="3624"/>
        <w:gridCol w:w="1750"/>
      </w:tblGrid>
      <w:tr w:rsidR="00FF13C9" w:rsidRPr="002E6CD4" w14:paraId="6B92C54F" w14:textId="77777777" w:rsidTr="006C0782">
        <w:trPr>
          <w:trHeight w:val="687"/>
        </w:trPr>
        <w:tc>
          <w:tcPr>
            <w:tcW w:w="16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386F"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b/>
                <w:lang w:val="lt-LT"/>
              </w:rPr>
              <w:t>Eil.</w:t>
            </w:r>
          </w:p>
          <w:p w14:paraId="15BBF3DC"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b/>
                <w:lang w:val="lt-LT"/>
              </w:rPr>
              <w:t>Nr.</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70A39"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b/>
                <w:lang w:val="lt-LT"/>
              </w:rPr>
              <w:t>Parametras***</w:t>
            </w:r>
          </w:p>
        </w:tc>
        <w:tc>
          <w:tcPr>
            <w:tcW w:w="3624" w:type="dxa"/>
            <w:tcBorders>
              <w:top w:val="single" w:sz="4" w:space="0" w:color="000000"/>
              <w:left w:val="single" w:sz="4" w:space="0" w:color="000000"/>
              <w:bottom w:val="single" w:sz="4" w:space="0" w:color="000000"/>
              <w:right w:val="single" w:sz="4" w:space="0" w:color="000000"/>
            </w:tcBorders>
            <w:vAlign w:val="center"/>
          </w:tcPr>
          <w:p w14:paraId="65A01B99"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b/>
                <w:lang w:val="lt-LT"/>
              </w:rPr>
              <w:t>Reikalaujama reikšmė</w:t>
            </w:r>
            <w:r w:rsidRPr="002E6CD4">
              <w:rPr>
                <w:rFonts w:ascii="Times New Roman" w:hAnsi="Times New Roman" w:cs="Times New Roman"/>
                <w:b/>
                <w:bCs/>
                <w:i/>
                <w:iCs/>
                <w:lang w:val="lt-LT"/>
              </w:rPr>
              <w:t xml:space="preserve"> parametrai nurodomi intervalais arba su prierašu “ne mažiau kaip” /  “ne daugiau kaip”, nenaudojami konkretaus gaminio pavadinimai, jei nurodoma konkreti funkcija ar standartas, rašoma „arba lygiavertis“</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FB631"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b/>
                <w:lang w:val="lt-LT"/>
              </w:rPr>
              <w:t>Reikalaujamos reikšmės atitikimas</w:t>
            </w:r>
          </w:p>
          <w:p w14:paraId="6F0D4812" w14:textId="77777777" w:rsidR="00FF13C9" w:rsidRPr="002E6CD4" w:rsidRDefault="00000000" w:rsidP="002E6CD4">
            <w:pPr>
              <w:widowControl w:val="0"/>
              <w:jc w:val="center"/>
              <w:rPr>
                <w:rFonts w:ascii="Times New Roman" w:hAnsi="Times New Roman" w:cs="Times New Roman"/>
                <w:bCs/>
                <w:i/>
                <w:iCs/>
                <w:lang w:val="lt-LT"/>
              </w:rPr>
            </w:pPr>
            <w:r w:rsidRPr="002E6CD4">
              <w:rPr>
                <w:rFonts w:ascii="Times New Roman" w:hAnsi="Times New Roman" w:cs="Times New Roman"/>
                <w:bCs/>
                <w:i/>
                <w:iCs/>
                <w:lang w:val="lt-LT"/>
              </w:rPr>
              <w:t>(pildo tiekėjas)</w:t>
            </w:r>
          </w:p>
        </w:tc>
      </w:tr>
      <w:tr w:rsidR="00FF13C9" w:rsidRPr="002E6CD4" w14:paraId="6EBB2544" w14:textId="77777777" w:rsidTr="006C0782">
        <w:trPr>
          <w:trHeight w:val="658"/>
        </w:trPr>
        <w:tc>
          <w:tcPr>
            <w:tcW w:w="9016" w:type="dxa"/>
            <w:gridSpan w:val="4"/>
            <w:tcBorders>
              <w:top w:val="single" w:sz="4" w:space="0" w:color="000000"/>
              <w:left w:val="single" w:sz="4" w:space="0" w:color="000000"/>
              <w:bottom w:val="single" w:sz="4" w:space="0" w:color="000000"/>
              <w:right w:val="single" w:sz="4" w:space="0" w:color="000000"/>
            </w:tcBorders>
            <w:vAlign w:val="center"/>
          </w:tcPr>
          <w:p w14:paraId="78A861C1" w14:textId="7D1EF992" w:rsidR="00FF13C9" w:rsidRPr="002E6CD4" w:rsidRDefault="006E5081" w:rsidP="002E6CD4">
            <w:pPr>
              <w:widowControl w:val="0"/>
              <w:jc w:val="center"/>
              <w:rPr>
                <w:rFonts w:ascii="Times New Roman" w:hAnsi="Times New Roman" w:cs="Times New Roman"/>
                <w:lang w:val="lt-LT"/>
              </w:rPr>
            </w:pPr>
            <w:proofErr w:type="spellStart"/>
            <w:r w:rsidRPr="00BE65D3">
              <w:rPr>
                <w:rFonts w:ascii="Times New Roman" w:hAnsi="Times New Roman" w:cs="Times New Roman"/>
                <w:b/>
                <w:bCs/>
                <w:lang w:val="lt-LT"/>
              </w:rPr>
              <w:t>Bioinertinės</w:t>
            </w:r>
            <w:proofErr w:type="spellEnd"/>
            <w:r w:rsidR="00000000" w:rsidRPr="00BE65D3">
              <w:rPr>
                <w:rFonts w:ascii="Times New Roman" w:hAnsi="Times New Roman" w:cs="Times New Roman"/>
                <w:b/>
                <w:bCs/>
                <w:lang w:val="lt-LT"/>
              </w:rPr>
              <w:t xml:space="preserve"> k</w:t>
            </w:r>
            <w:r w:rsidR="00000000" w:rsidRPr="002E6CD4">
              <w:rPr>
                <w:rFonts w:ascii="Times New Roman" w:hAnsi="Times New Roman" w:cs="Times New Roman"/>
                <w:b/>
                <w:bCs/>
                <w:lang w:val="lt-LT"/>
              </w:rPr>
              <w:t>lasės ultra didelio efektyvumo skysčių (UHPLC) chromatografas prie masių spektrometrinės įrangos</w:t>
            </w:r>
          </w:p>
        </w:tc>
      </w:tr>
      <w:tr w:rsidR="00FF13C9" w:rsidRPr="002E6CD4" w14:paraId="3D61BB9E"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1C91A129"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19E05453"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Skysčių chromatografas prie masių spektrometrinės įrangos</w:t>
            </w:r>
          </w:p>
        </w:tc>
        <w:tc>
          <w:tcPr>
            <w:tcW w:w="3624" w:type="dxa"/>
            <w:tcBorders>
              <w:top w:val="single" w:sz="4" w:space="0" w:color="000000"/>
              <w:left w:val="single" w:sz="4" w:space="0" w:color="000000"/>
              <w:bottom w:val="single" w:sz="4" w:space="0" w:color="000000"/>
              <w:right w:val="single" w:sz="4" w:space="0" w:color="000000"/>
            </w:tcBorders>
          </w:tcPr>
          <w:p w14:paraId="4E0FB0FE" w14:textId="14ED3463"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 xml:space="preserve">Privalomas, pilnai Bioinertinis (angl. </w:t>
            </w:r>
            <w:r w:rsidRPr="002E6CD4">
              <w:rPr>
                <w:rFonts w:ascii="Times New Roman" w:hAnsi="Times New Roman" w:cs="Times New Roman"/>
                <w:i/>
                <w:iCs/>
                <w:lang w:val="lt-LT"/>
              </w:rPr>
              <w:t>bioinert</w:t>
            </w:r>
            <w:r w:rsidRPr="002E6CD4">
              <w:rPr>
                <w:rFonts w:ascii="Times New Roman" w:hAnsi="Times New Roman" w:cs="Times New Roman"/>
                <w:lang w:val="lt-LT"/>
              </w:rPr>
              <w:t xml:space="preserve">), skirtas biologinių junginių analizėms. Su lietimui jautriu valdymo ekranu, iš kurio galima valdyti visus jo modulius. </w:t>
            </w:r>
            <w:r w:rsidRPr="002E6CD4">
              <w:rPr>
                <w:rFonts w:ascii="Times New Roman" w:hAnsi="Times New Roman" w:cs="Times New Roman"/>
                <w:b/>
                <w:bCs/>
                <w:lang w:val="lt-LT"/>
              </w:rPr>
              <w:t>Siūlomas chromatografas su visais jo moduliais privalo būti suderintas ir dirbti kartu su turimu Shimadzu LCMS-9030 masių spektrometrijos skrydžio laiko detektoriumi ir būti pilnai valdomas iš jo turimos programinės įrangos LabSolutions LCMS.</w:t>
            </w:r>
          </w:p>
        </w:tc>
        <w:tc>
          <w:tcPr>
            <w:tcW w:w="1750" w:type="dxa"/>
            <w:tcBorders>
              <w:top w:val="single" w:sz="4" w:space="0" w:color="000000"/>
              <w:left w:val="single" w:sz="4" w:space="0" w:color="000000"/>
              <w:bottom w:val="single" w:sz="4" w:space="0" w:color="000000"/>
              <w:right w:val="single" w:sz="4" w:space="0" w:color="000000"/>
            </w:tcBorders>
          </w:tcPr>
          <w:p w14:paraId="4B05ECFE"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561B0C00"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69677317"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40B71944"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Bioinertiškumas</w:t>
            </w:r>
          </w:p>
        </w:tc>
        <w:tc>
          <w:tcPr>
            <w:tcW w:w="3624" w:type="dxa"/>
            <w:tcBorders>
              <w:top w:val="single" w:sz="4" w:space="0" w:color="000000"/>
              <w:left w:val="single" w:sz="4" w:space="0" w:color="000000"/>
              <w:bottom w:val="single" w:sz="4" w:space="0" w:color="000000"/>
              <w:right w:val="single" w:sz="4" w:space="0" w:color="000000"/>
            </w:tcBorders>
          </w:tcPr>
          <w:p w14:paraId="4B510C5C" w14:textId="6AFF83FE"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 xml:space="preserve">Chromatografas privalo būti pilnai bioinertinės klasės (angl. </w:t>
            </w:r>
            <w:r w:rsidRPr="002E6CD4">
              <w:rPr>
                <w:rFonts w:ascii="Times New Roman" w:hAnsi="Times New Roman" w:cs="Times New Roman"/>
                <w:i/>
                <w:iCs/>
                <w:lang w:val="lt-LT"/>
              </w:rPr>
              <w:t>Bioinert</w:t>
            </w:r>
            <w:r w:rsidRPr="002E6CD4">
              <w:rPr>
                <w:rFonts w:ascii="Times New Roman" w:hAnsi="Times New Roman" w:cs="Times New Roman"/>
                <w:lang w:val="lt-LT"/>
              </w:rPr>
              <w:t xml:space="preserve">), t.y. visi su mobilia faze ar mėginiu besiliečiantys mazgai privalo neturėti jokio tipo plieno, netinka modifikuotų plieninių paviršių bio-suderinama (angl. </w:t>
            </w:r>
            <w:r w:rsidRPr="002E6CD4">
              <w:rPr>
                <w:rFonts w:ascii="Times New Roman" w:hAnsi="Times New Roman" w:cs="Times New Roman"/>
                <w:i/>
                <w:iCs/>
                <w:lang w:val="lt-LT"/>
              </w:rPr>
              <w:t>biocoampatible</w:t>
            </w:r>
            <w:r w:rsidRPr="002E6CD4">
              <w:rPr>
                <w:rFonts w:ascii="Times New Roman" w:hAnsi="Times New Roman" w:cs="Times New Roman"/>
                <w:lang w:val="lt-LT"/>
              </w:rPr>
              <w:t>) įrangos klasės.</w:t>
            </w:r>
          </w:p>
        </w:tc>
        <w:tc>
          <w:tcPr>
            <w:tcW w:w="1750" w:type="dxa"/>
            <w:tcBorders>
              <w:top w:val="single" w:sz="4" w:space="0" w:color="000000"/>
              <w:left w:val="single" w:sz="4" w:space="0" w:color="000000"/>
              <w:bottom w:val="single" w:sz="4" w:space="0" w:color="000000"/>
              <w:right w:val="single" w:sz="4" w:space="0" w:color="000000"/>
            </w:tcBorders>
          </w:tcPr>
          <w:p w14:paraId="7F540A46"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0FC79404"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66A83D7B"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F4B7D96"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 xml:space="preserve">Bioinertinis </w:t>
            </w:r>
            <w:r w:rsidRPr="002E6CD4">
              <w:rPr>
                <w:rFonts w:ascii="Times New Roman" w:hAnsi="Times New Roman" w:cs="Times New Roman"/>
                <w:bCs/>
                <w:lang w:val="lt-LT"/>
              </w:rPr>
              <w:lastRenderedPageBreak/>
              <w:t>eliuentų modulis</w:t>
            </w:r>
          </w:p>
        </w:tc>
        <w:tc>
          <w:tcPr>
            <w:tcW w:w="3624" w:type="dxa"/>
            <w:tcBorders>
              <w:top w:val="single" w:sz="4" w:space="0" w:color="000000"/>
              <w:left w:val="single" w:sz="4" w:space="0" w:color="000000"/>
              <w:bottom w:val="single" w:sz="4" w:space="0" w:color="000000"/>
              <w:right w:val="single" w:sz="4" w:space="0" w:color="000000"/>
            </w:tcBorders>
          </w:tcPr>
          <w:p w14:paraId="6E1DBE87"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lastRenderedPageBreak/>
              <w:t xml:space="preserve">Bioinertinės klasės. Privaloma galimybė formuojant gradientą </w:t>
            </w:r>
            <w:r w:rsidRPr="002E6CD4">
              <w:rPr>
                <w:rFonts w:ascii="Times New Roman" w:hAnsi="Times New Roman" w:cs="Times New Roman"/>
                <w:bCs/>
                <w:lang w:val="lt-LT"/>
              </w:rPr>
              <w:lastRenderedPageBreak/>
              <w:t>maišyti maksimaliai ne mažiau nei 4 tirpiklius vienu metu. Siurblio  galvos privalo būti pagamintos iš titano arba analoginės bioinertinės medžiagos. Modulis turi būti atsparus korozijai, ir neturėti plieno elementų susiliečiančių su mobiliomis fazėmis, kurios galėtų išskirti metalų jonus.</w:t>
            </w:r>
          </w:p>
        </w:tc>
        <w:tc>
          <w:tcPr>
            <w:tcW w:w="1750" w:type="dxa"/>
            <w:tcBorders>
              <w:top w:val="single" w:sz="4" w:space="0" w:color="000000"/>
              <w:left w:val="single" w:sz="4" w:space="0" w:color="000000"/>
              <w:bottom w:val="single" w:sz="4" w:space="0" w:color="000000"/>
              <w:right w:val="single" w:sz="4" w:space="0" w:color="000000"/>
            </w:tcBorders>
          </w:tcPr>
          <w:p w14:paraId="0623357C"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634FBC3B"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7686193E"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11835DC8"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Gradiento formavimas</w:t>
            </w:r>
          </w:p>
        </w:tc>
        <w:tc>
          <w:tcPr>
            <w:tcW w:w="3624" w:type="dxa"/>
            <w:tcBorders>
              <w:top w:val="single" w:sz="4" w:space="0" w:color="000000"/>
              <w:left w:val="single" w:sz="4" w:space="0" w:color="000000"/>
              <w:bottom w:val="single" w:sz="4" w:space="0" w:color="000000"/>
              <w:right w:val="single" w:sz="4" w:space="0" w:color="000000"/>
            </w:tcBorders>
          </w:tcPr>
          <w:p w14:paraId="6E4926A0" w14:textId="06926ABB" w:rsidR="00FF13C9" w:rsidRPr="002E6CD4" w:rsidRDefault="00000000" w:rsidP="00E60B15">
            <w:pPr>
              <w:widowControl w:val="0"/>
              <w:jc w:val="center"/>
              <w:rPr>
                <w:rFonts w:ascii="Times New Roman" w:hAnsi="Times New Roman" w:cs="Times New Roman"/>
                <w:lang w:val="lt-LT"/>
              </w:rPr>
            </w:pPr>
            <w:r w:rsidRPr="002E6CD4">
              <w:rPr>
                <w:rFonts w:ascii="Times New Roman" w:hAnsi="Times New Roman" w:cs="Times New Roman"/>
                <w:lang w:val="lt-LT"/>
              </w:rPr>
              <w:t>Nuo 0 % iki 100 %, diskretiškumas ne didesnis nei 0,1</w:t>
            </w:r>
            <w:r w:rsidRPr="002E6CD4">
              <w:rPr>
                <w:rFonts w:ascii="Times New Roman" w:hAnsi="Times New Roman" w:cs="Times New Roman"/>
                <w:lang w:val="en-US"/>
              </w:rPr>
              <w:t>%</w:t>
            </w:r>
            <w:r w:rsidRPr="002E6CD4">
              <w:rPr>
                <w:rFonts w:ascii="Times New Roman" w:hAnsi="Times New Roman" w:cs="Times New Roman"/>
                <w:lang w:val="lt-LT"/>
              </w:rPr>
              <w:t>.</w:t>
            </w:r>
          </w:p>
        </w:tc>
        <w:tc>
          <w:tcPr>
            <w:tcW w:w="1750" w:type="dxa"/>
            <w:tcBorders>
              <w:top w:val="single" w:sz="4" w:space="0" w:color="000000"/>
              <w:left w:val="single" w:sz="4" w:space="0" w:color="000000"/>
              <w:bottom w:val="single" w:sz="4" w:space="0" w:color="000000"/>
              <w:right w:val="single" w:sz="4" w:space="0" w:color="000000"/>
            </w:tcBorders>
          </w:tcPr>
          <w:p w14:paraId="075BAEDB"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B08E6D7"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04F517E0"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49A1AA31"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Gradiento maišyklė</w:t>
            </w:r>
          </w:p>
        </w:tc>
        <w:tc>
          <w:tcPr>
            <w:tcW w:w="3624" w:type="dxa"/>
            <w:tcBorders>
              <w:top w:val="single" w:sz="4" w:space="0" w:color="000000"/>
              <w:left w:val="single" w:sz="4" w:space="0" w:color="000000"/>
              <w:bottom w:val="single" w:sz="4" w:space="0" w:color="000000"/>
              <w:right w:val="single" w:sz="4" w:space="0" w:color="000000"/>
            </w:tcBorders>
          </w:tcPr>
          <w:p w14:paraId="5A0AEE05" w14:textId="714768C2"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 bioinertinė, palaikanti 15 000 psi slėgį. Tūris ne daugiau nei 50 µl.</w:t>
            </w:r>
          </w:p>
        </w:tc>
        <w:tc>
          <w:tcPr>
            <w:tcW w:w="1750" w:type="dxa"/>
            <w:tcBorders>
              <w:top w:val="single" w:sz="4" w:space="0" w:color="000000"/>
              <w:left w:val="single" w:sz="4" w:space="0" w:color="000000"/>
              <w:bottom w:val="single" w:sz="4" w:space="0" w:color="000000"/>
              <w:right w:val="single" w:sz="4" w:space="0" w:color="000000"/>
            </w:tcBorders>
          </w:tcPr>
          <w:p w14:paraId="705A15F2"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3AFCB5D"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2F8C9EBF"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40B2DAA8"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Eliuentų nudujinimas</w:t>
            </w:r>
          </w:p>
        </w:tc>
        <w:tc>
          <w:tcPr>
            <w:tcW w:w="3624" w:type="dxa"/>
            <w:tcBorders>
              <w:top w:val="single" w:sz="4" w:space="0" w:color="000000"/>
              <w:left w:val="single" w:sz="4" w:space="0" w:color="000000"/>
              <w:bottom w:val="single" w:sz="4" w:space="0" w:color="000000"/>
              <w:right w:val="single" w:sz="4" w:space="0" w:color="000000"/>
            </w:tcBorders>
          </w:tcPr>
          <w:p w14:paraId="287B2DA2" w14:textId="5B8AD3B6"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 nudujinimo sistema kiekvienam eliuento kanalui.</w:t>
            </w:r>
          </w:p>
        </w:tc>
        <w:tc>
          <w:tcPr>
            <w:tcW w:w="1750" w:type="dxa"/>
            <w:tcBorders>
              <w:top w:val="single" w:sz="4" w:space="0" w:color="000000"/>
              <w:left w:val="single" w:sz="4" w:space="0" w:color="000000"/>
              <w:bottom w:val="single" w:sz="4" w:space="0" w:color="000000"/>
              <w:right w:val="single" w:sz="4" w:space="0" w:color="000000"/>
            </w:tcBorders>
          </w:tcPr>
          <w:p w14:paraId="18926816"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5DE9563B"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4A19918A"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1F14468"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Stūmoklių apiplovimas</w:t>
            </w:r>
          </w:p>
        </w:tc>
        <w:tc>
          <w:tcPr>
            <w:tcW w:w="3624" w:type="dxa"/>
            <w:tcBorders>
              <w:top w:val="single" w:sz="4" w:space="0" w:color="000000"/>
              <w:left w:val="single" w:sz="4" w:space="0" w:color="000000"/>
              <w:bottom w:val="single" w:sz="4" w:space="0" w:color="000000"/>
              <w:right w:val="single" w:sz="4" w:space="0" w:color="000000"/>
            </w:tcBorders>
          </w:tcPr>
          <w:p w14:paraId="2FDA2B7D"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Privalomas, integruotas, automatinis.</w:t>
            </w:r>
          </w:p>
        </w:tc>
        <w:tc>
          <w:tcPr>
            <w:tcW w:w="1750" w:type="dxa"/>
            <w:tcBorders>
              <w:top w:val="single" w:sz="4" w:space="0" w:color="000000"/>
              <w:left w:val="single" w:sz="4" w:space="0" w:color="000000"/>
              <w:bottom w:val="single" w:sz="4" w:space="0" w:color="000000"/>
              <w:right w:val="single" w:sz="4" w:space="0" w:color="000000"/>
            </w:tcBorders>
          </w:tcPr>
          <w:p w14:paraId="5FC32EDA"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27C11760"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5B9E0AFF"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918B240"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Eliuentų spūdumo kontrolė</w:t>
            </w:r>
          </w:p>
        </w:tc>
        <w:tc>
          <w:tcPr>
            <w:tcW w:w="3624" w:type="dxa"/>
            <w:tcBorders>
              <w:top w:val="single" w:sz="4" w:space="0" w:color="000000"/>
              <w:left w:val="single" w:sz="4" w:space="0" w:color="000000"/>
              <w:bottom w:val="single" w:sz="4" w:space="0" w:color="000000"/>
              <w:right w:val="single" w:sz="4" w:space="0" w:color="000000"/>
            </w:tcBorders>
          </w:tcPr>
          <w:p w14:paraId="237B2462"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 pagal naudojamą eliuentą.</w:t>
            </w:r>
          </w:p>
        </w:tc>
        <w:tc>
          <w:tcPr>
            <w:tcW w:w="1750" w:type="dxa"/>
            <w:tcBorders>
              <w:top w:val="single" w:sz="4" w:space="0" w:color="000000"/>
              <w:left w:val="single" w:sz="4" w:space="0" w:color="000000"/>
              <w:bottom w:val="single" w:sz="4" w:space="0" w:color="000000"/>
              <w:right w:val="single" w:sz="4" w:space="0" w:color="000000"/>
            </w:tcBorders>
          </w:tcPr>
          <w:p w14:paraId="462F82FE"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56830193"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35AA9431"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6C03FF3A" w14:textId="77777777" w:rsidR="00FF13C9" w:rsidRPr="002E6CD4" w:rsidRDefault="00000000" w:rsidP="002E6CD4">
            <w:pPr>
              <w:widowControl w:val="0"/>
              <w:jc w:val="center"/>
              <w:rPr>
                <w:rFonts w:ascii="Times New Roman" w:hAnsi="Times New Roman" w:cs="Times New Roman"/>
                <w:b/>
                <w:lang w:val="lt-LT"/>
              </w:rPr>
            </w:pPr>
            <w:bookmarkStart w:id="0" w:name="_Hlk193295219"/>
            <w:r w:rsidRPr="002E6CD4">
              <w:rPr>
                <w:rFonts w:ascii="Times New Roman" w:hAnsi="Times New Roman" w:cs="Times New Roman"/>
                <w:lang w:val="lt-LT"/>
              </w:rPr>
              <w:t>Maksimalus darbinis srauto intervalas</w:t>
            </w:r>
            <w:bookmarkEnd w:id="0"/>
          </w:p>
        </w:tc>
        <w:tc>
          <w:tcPr>
            <w:tcW w:w="3624" w:type="dxa"/>
            <w:tcBorders>
              <w:top w:val="single" w:sz="4" w:space="0" w:color="000000"/>
              <w:left w:val="single" w:sz="4" w:space="0" w:color="000000"/>
              <w:bottom w:val="single" w:sz="4" w:space="0" w:color="000000"/>
              <w:right w:val="single" w:sz="4" w:space="0" w:color="000000"/>
            </w:tcBorders>
          </w:tcPr>
          <w:p w14:paraId="706355B2"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siauresnis nei nuo 0,001 ml/min iki 8 ml/min. Diskretiškumas ne didesnis nei 0,001 ml/min.</w:t>
            </w:r>
          </w:p>
        </w:tc>
        <w:tc>
          <w:tcPr>
            <w:tcW w:w="1750" w:type="dxa"/>
            <w:tcBorders>
              <w:top w:val="single" w:sz="4" w:space="0" w:color="000000"/>
              <w:left w:val="single" w:sz="4" w:space="0" w:color="000000"/>
              <w:bottom w:val="single" w:sz="4" w:space="0" w:color="000000"/>
              <w:right w:val="single" w:sz="4" w:space="0" w:color="000000"/>
            </w:tcBorders>
          </w:tcPr>
          <w:p w14:paraId="2DDB70CC"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5117B3CB"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7AE03878"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6E34C28"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Srauto preciziškumas</w:t>
            </w:r>
          </w:p>
        </w:tc>
        <w:tc>
          <w:tcPr>
            <w:tcW w:w="3624" w:type="dxa"/>
            <w:tcBorders>
              <w:top w:val="single" w:sz="4" w:space="0" w:color="000000"/>
              <w:left w:val="single" w:sz="4" w:space="0" w:color="000000"/>
              <w:bottom w:val="single" w:sz="4" w:space="0" w:color="000000"/>
              <w:right w:val="single" w:sz="4" w:space="0" w:color="000000"/>
            </w:tcBorders>
          </w:tcPr>
          <w:p w14:paraId="58ED580C"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Vertė ne daugiau nei 0,07 % RSD</w:t>
            </w:r>
          </w:p>
        </w:tc>
        <w:tc>
          <w:tcPr>
            <w:tcW w:w="1750" w:type="dxa"/>
            <w:tcBorders>
              <w:top w:val="single" w:sz="4" w:space="0" w:color="000000"/>
              <w:left w:val="single" w:sz="4" w:space="0" w:color="000000"/>
              <w:bottom w:val="single" w:sz="4" w:space="0" w:color="000000"/>
              <w:right w:val="single" w:sz="4" w:space="0" w:color="000000"/>
            </w:tcBorders>
          </w:tcPr>
          <w:p w14:paraId="2457A312"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7DAEB543"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15594CD0"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1DE487C7"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Palaikomas maksimalus darbinis slėgis</w:t>
            </w:r>
          </w:p>
        </w:tc>
        <w:tc>
          <w:tcPr>
            <w:tcW w:w="3624" w:type="dxa"/>
            <w:tcBorders>
              <w:top w:val="single" w:sz="4" w:space="0" w:color="000000"/>
              <w:left w:val="single" w:sz="4" w:space="0" w:color="000000"/>
              <w:bottom w:val="single" w:sz="4" w:space="0" w:color="000000"/>
              <w:right w:val="single" w:sz="4" w:space="0" w:color="000000"/>
            </w:tcBorders>
          </w:tcPr>
          <w:p w14:paraId="6339AA51" w14:textId="77E8C30F"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mažiau nei iki 15 000 psi esant srautui iki ne mažiau nei 2 ml/min.</w:t>
            </w:r>
          </w:p>
        </w:tc>
        <w:tc>
          <w:tcPr>
            <w:tcW w:w="1750" w:type="dxa"/>
            <w:tcBorders>
              <w:top w:val="single" w:sz="4" w:space="0" w:color="000000"/>
              <w:left w:val="single" w:sz="4" w:space="0" w:color="000000"/>
              <w:bottom w:val="single" w:sz="4" w:space="0" w:color="000000"/>
              <w:right w:val="single" w:sz="4" w:space="0" w:color="000000"/>
            </w:tcBorders>
          </w:tcPr>
          <w:p w14:paraId="3647DB24"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1140F8C0"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326CCC98"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B17A659" w14:textId="3A1535A4" w:rsidR="00FF13C9" w:rsidRPr="00E60B15" w:rsidRDefault="00000000" w:rsidP="00E60B15">
            <w:pPr>
              <w:widowControl w:val="0"/>
              <w:jc w:val="center"/>
              <w:rPr>
                <w:rFonts w:ascii="Times New Roman" w:hAnsi="Times New Roman" w:cs="Times New Roman"/>
                <w:lang w:val="lt-LT"/>
              </w:rPr>
            </w:pPr>
            <w:r w:rsidRPr="002E6CD4">
              <w:rPr>
                <w:rFonts w:ascii="Times New Roman" w:hAnsi="Times New Roman" w:cs="Times New Roman"/>
                <w:lang w:val="lt-LT"/>
              </w:rPr>
              <w:t xml:space="preserve">Mobilios fazės kiekio stebėjimo </w:t>
            </w:r>
            <w:r w:rsidRPr="002E6CD4">
              <w:rPr>
                <w:rFonts w:ascii="Times New Roman" w:hAnsi="Times New Roman" w:cs="Times New Roman"/>
                <w:lang w:val="lt-LT"/>
              </w:rPr>
              <w:lastRenderedPageBreak/>
              <w:t>funkcija</w:t>
            </w:r>
          </w:p>
        </w:tc>
        <w:tc>
          <w:tcPr>
            <w:tcW w:w="3624" w:type="dxa"/>
            <w:tcBorders>
              <w:top w:val="single" w:sz="4" w:space="0" w:color="000000"/>
              <w:left w:val="single" w:sz="4" w:space="0" w:color="000000"/>
              <w:bottom w:val="single" w:sz="4" w:space="0" w:color="000000"/>
              <w:right w:val="single" w:sz="4" w:space="0" w:color="000000"/>
            </w:tcBorders>
          </w:tcPr>
          <w:p w14:paraId="35559A0C"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lastRenderedPageBreak/>
              <w:t xml:space="preserve">Privaloma mobilių fazių kiekio stebėjimo funkcija, kai ne mažiau </w:t>
            </w:r>
            <w:r w:rsidRPr="002E6CD4">
              <w:rPr>
                <w:rFonts w:ascii="Times New Roman" w:hAnsi="Times New Roman" w:cs="Times New Roman"/>
                <w:lang w:val="lt-LT"/>
              </w:rPr>
              <w:lastRenderedPageBreak/>
              <w:t>kaip 4 buteliuose, realiame laike, fiziškai matuojamas faktinis mobilios fazės kiekis. Sistema privalo automatiškai įvertinti realų mobilios fazės kiekį ir įspėti operatorių, jei reikalingos pagal naudojamą metodą mobilios fazės neužteks paruoštai analizių sekai, ar kai jos lygis nukrenta žemiau nustatytos ribos.</w:t>
            </w:r>
          </w:p>
        </w:tc>
        <w:tc>
          <w:tcPr>
            <w:tcW w:w="1750" w:type="dxa"/>
            <w:tcBorders>
              <w:top w:val="single" w:sz="4" w:space="0" w:color="000000"/>
              <w:left w:val="single" w:sz="4" w:space="0" w:color="000000"/>
              <w:bottom w:val="single" w:sz="4" w:space="0" w:color="000000"/>
              <w:right w:val="single" w:sz="4" w:space="0" w:color="000000"/>
            </w:tcBorders>
          </w:tcPr>
          <w:p w14:paraId="30037F8C"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50AA6269"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04939DE4"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2E1CF9E3"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Bioinertinis automatinis mėginių įvedimo įrenginys (autoinjektorius)</w:t>
            </w:r>
          </w:p>
        </w:tc>
        <w:tc>
          <w:tcPr>
            <w:tcW w:w="3624" w:type="dxa"/>
            <w:tcBorders>
              <w:top w:val="single" w:sz="4" w:space="0" w:color="000000"/>
              <w:left w:val="single" w:sz="4" w:space="0" w:color="000000"/>
              <w:bottom w:val="single" w:sz="4" w:space="0" w:color="000000"/>
              <w:right w:val="single" w:sz="4" w:space="0" w:color="000000"/>
            </w:tcBorders>
          </w:tcPr>
          <w:p w14:paraId="28AB4CF0" w14:textId="378FFD6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Privalomas, palaikantis slėgį iki 15 000 psi. Bioinertinės klasės. Injekcijos tūrio intervalas ne siauresnis nei nuo 0,1 µl iki 50 µl.</w:t>
            </w:r>
          </w:p>
        </w:tc>
        <w:tc>
          <w:tcPr>
            <w:tcW w:w="1750" w:type="dxa"/>
            <w:tcBorders>
              <w:top w:val="single" w:sz="4" w:space="0" w:color="000000"/>
              <w:left w:val="single" w:sz="4" w:space="0" w:color="000000"/>
              <w:bottom w:val="single" w:sz="4" w:space="0" w:color="000000"/>
              <w:right w:val="single" w:sz="4" w:space="0" w:color="000000"/>
            </w:tcBorders>
          </w:tcPr>
          <w:p w14:paraId="4EB35400"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7818A36"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338E2AE4"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70103103"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Injekcijos preciziškumas</w:t>
            </w:r>
          </w:p>
        </w:tc>
        <w:tc>
          <w:tcPr>
            <w:tcW w:w="3624" w:type="dxa"/>
            <w:tcBorders>
              <w:top w:val="single" w:sz="4" w:space="0" w:color="000000"/>
              <w:left w:val="single" w:sz="4" w:space="0" w:color="000000"/>
              <w:bottom w:val="single" w:sz="4" w:space="0" w:color="000000"/>
              <w:right w:val="single" w:sz="4" w:space="0" w:color="000000"/>
            </w:tcBorders>
          </w:tcPr>
          <w:p w14:paraId="3835252B" w14:textId="264FB071"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Injekcijos tūrio santykinė standartinė paklaida (RSD) ne didesnė nei 0,15 % injektuojant ≥</w:t>
            </w:r>
            <w:r w:rsidR="002E6CD4">
              <w:rPr>
                <w:rFonts w:ascii="Times New Roman" w:hAnsi="Times New Roman" w:cs="Times New Roman"/>
                <w:lang w:val="lt-LT"/>
              </w:rPr>
              <w:t xml:space="preserve"> </w:t>
            </w:r>
            <w:r w:rsidRPr="002E6CD4">
              <w:rPr>
                <w:rFonts w:ascii="Times New Roman" w:hAnsi="Times New Roman" w:cs="Times New Roman"/>
                <w:lang w:val="lt-LT"/>
              </w:rPr>
              <w:t>5 µl.</w:t>
            </w:r>
          </w:p>
        </w:tc>
        <w:tc>
          <w:tcPr>
            <w:tcW w:w="1750" w:type="dxa"/>
            <w:tcBorders>
              <w:top w:val="single" w:sz="4" w:space="0" w:color="000000"/>
              <w:left w:val="single" w:sz="4" w:space="0" w:color="000000"/>
              <w:bottom w:val="single" w:sz="4" w:space="0" w:color="000000"/>
              <w:right w:val="single" w:sz="4" w:space="0" w:color="000000"/>
            </w:tcBorders>
          </w:tcPr>
          <w:p w14:paraId="69DFBDCE"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648FD28C"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4FA0158E"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4B67BD8E"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Mėginio pernaša</w:t>
            </w:r>
          </w:p>
        </w:tc>
        <w:tc>
          <w:tcPr>
            <w:tcW w:w="3624" w:type="dxa"/>
            <w:tcBorders>
              <w:top w:val="single" w:sz="4" w:space="0" w:color="000000"/>
              <w:left w:val="single" w:sz="4" w:space="0" w:color="000000"/>
              <w:bottom w:val="single" w:sz="4" w:space="0" w:color="000000"/>
              <w:right w:val="single" w:sz="4" w:space="0" w:color="000000"/>
            </w:tcBorders>
          </w:tcPr>
          <w:p w14:paraId="65DFC9AC"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Bandinio pernešimas kitai injekcijai ne didesnis nei 0,0004 %.</w:t>
            </w:r>
          </w:p>
        </w:tc>
        <w:tc>
          <w:tcPr>
            <w:tcW w:w="1750" w:type="dxa"/>
            <w:tcBorders>
              <w:top w:val="single" w:sz="4" w:space="0" w:color="000000"/>
              <w:left w:val="single" w:sz="4" w:space="0" w:color="000000"/>
              <w:bottom w:val="single" w:sz="4" w:space="0" w:color="000000"/>
              <w:right w:val="single" w:sz="4" w:space="0" w:color="000000"/>
            </w:tcBorders>
          </w:tcPr>
          <w:p w14:paraId="5548CA90"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75256132"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7C8D35B3"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05202FF"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Bandinių talpa</w:t>
            </w:r>
          </w:p>
        </w:tc>
        <w:tc>
          <w:tcPr>
            <w:tcW w:w="3624" w:type="dxa"/>
            <w:tcBorders>
              <w:top w:val="single" w:sz="4" w:space="0" w:color="000000"/>
              <w:left w:val="single" w:sz="4" w:space="0" w:color="000000"/>
              <w:bottom w:val="single" w:sz="4" w:space="0" w:color="000000"/>
              <w:right w:val="single" w:sz="4" w:space="0" w:color="000000"/>
            </w:tcBorders>
          </w:tcPr>
          <w:p w14:paraId="7549CAEC" w14:textId="29F92213"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mažiau nei 150 pozicijų standartiniams 1,5-2ml talpos chromatografiniams buteliukams. Privaloma galimybė naudoti 4-6 ml talpas. Sistema taip pat privalo naudoti  MTP/DWP plokšteles bei Eppendorf tipo 1,5 ml plastikinius mėgintuvėlius.</w:t>
            </w:r>
          </w:p>
          <w:p w14:paraId="2AFABB38" w14:textId="559CFB95"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 xml:space="preserve">Sistema turi gebėti naudoti ne mažiau nei trijų skirtingų talpų formatus vieno metodo ir vienos </w:t>
            </w:r>
            <w:r w:rsidRPr="002E6CD4">
              <w:rPr>
                <w:rFonts w:ascii="Times New Roman" w:hAnsi="Times New Roman" w:cs="Times New Roman"/>
                <w:lang w:val="lt-LT"/>
              </w:rPr>
              <w:lastRenderedPageBreak/>
              <w:t>sekos metu.</w:t>
            </w:r>
          </w:p>
        </w:tc>
        <w:tc>
          <w:tcPr>
            <w:tcW w:w="1750" w:type="dxa"/>
            <w:tcBorders>
              <w:top w:val="single" w:sz="4" w:space="0" w:color="000000"/>
              <w:left w:val="single" w:sz="4" w:space="0" w:color="000000"/>
              <w:bottom w:val="single" w:sz="4" w:space="0" w:color="000000"/>
              <w:right w:val="single" w:sz="4" w:space="0" w:color="000000"/>
            </w:tcBorders>
          </w:tcPr>
          <w:p w14:paraId="6FED1401"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1752C9F"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360EBEAA"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6EB55134"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Bandinio temperatūros palaikymas</w:t>
            </w:r>
          </w:p>
        </w:tc>
        <w:tc>
          <w:tcPr>
            <w:tcW w:w="3624" w:type="dxa"/>
            <w:tcBorders>
              <w:top w:val="single" w:sz="4" w:space="0" w:color="000000"/>
              <w:left w:val="single" w:sz="4" w:space="0" w:color="000000"/>
              <w:bottom w:val="single" w:sz="4" w:space="0" w:color="000000"/>
              <w:right w:val="single" w:sz="4" w:space="0" w:color="000000"/>
            </w:tcBorders>
          </w:tcPr>
          <w:p w14:paraId="3CF922BD" w14:textId="5A30B07F"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Intervale ne siauresniame nei nuo 4 °C iki 45 °C, esant standartinei aplinkos temperatūrai ≥</w:t>
            </w:r>
            <w:r w:rsidR="002E6CD4">
              <w:rPr>
                <w:rFonts w:ascii="Times New Roman" w:hAnsi="Times New Roman" w:cs="Times New Roman"/>
                <w:lang w:val="lt-LT"/>
              </w:rPr>
              <w:t xml:space="preserve"> </w:t>
            </w:r>
            <w:r w:rsidRPr="002E6CD4">
              <w:rPr>
                <w:rFonts w:ascii="Times New Roman" w:hAnsi="Times New Roman" w:cs="Times New Roman"/>
                <w:lang w:val="lt-LT"/>
              </w:rPr>
              <w:t>20°C.</w:t>
            </w:r>
          </w:p>
        </w:tc>
        <w:tc>
          <w:tcPr>
            <w:tcW w:w="1750" w:type="dxa"/>
            <w:tcBorders>
              <w:top w:val="single" w:sz="4" w:space="0" w:color="000000"/>
              <w:left w:val="single" w:sz="4" w:space="0" w:color="000000"/>
              <w:bottom w:val="single" w:sz="4" w:space="0" w:color="000000"/>
              <w:right w:val="single" w:sz="4" w:space="0" w:color="000000"/>
            </w:tcBorders>
          </w:tcPr>
          <w:p w14:paraId="3CB68766"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0C672C9B"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473D9E10"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21E59E89"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Automatinio mėginių įvedimo įrenginio mėginio paruošimo funkcija ir mėginių injektavimo galimybės</w:t>
            </w:r>
          </w:p>
        </w:tc>
        <w:tc>
          <w:tcPr>
            <w:tcW w:w="3624" w:type="dxa"/>
            <w:tcBorders>
              <w:top w:val="single" w:sz="4" w:space="0" w:color="000000"/>
              <w:left w:val="single" w:sz="4" w:space="0" w:color="000000"/>
              <w:bottom w:val="single" w:sz="4" w:space="0" w:color="000000"/>
              <w:right w:val="single" w:sz="4" w:space="0" w:color="000000"/>
            </w:tcBorders>
          </w:tcPr>
          <w:p w14:paraId="00FFB5A1"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Privalomos šios mėginio paruošimo funkcijos: mėginio praskiedimo (angl. „dilution“), vidinio standarto/derivanto pridėjimo ir sumaišymo, „sumuštinio- tipo“  nuoseklių skysčio porcijų (angl. „co-injection“) injekcijos, persiklojančio tipo daugybinė (angl. „stacked“) injekcija vienos chromatografinės analizės metu, arba lygiavertės</w:t>
            </w:r>
          </w:p>
        </w:tc>
        <w:tc>
          <w:tcPr>
            <w:tcW w:w="1750" w:type="dxa"/>
            <w:tcBorders>
              <w:top w:val="single" w:sz="4" w:space="0" w:color="000000"/>
              <w:left w:val="single" w:sz="4" w:space="0" w:color="000000"/>
              <w:bottom w:val="single" w:sz="4" w:space="0" w:color="000000"/>
              <w:right w:val="single" w:sz="4" w:space="0" w:color="000000"/>
            </w:tcBorders>
          </w:tcPr>
          <w:p w14:paraId="6CE79C61"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28C1CDA3"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6D26DC98"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6E9AC75"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Įvedimo įrenginio adatos praplovimo ir pernašos apsaugos funkcijos</w:t>
            </w:r>
          </w:p>
        </w:tc>
        <w:tc>
          <w:tcPr>
            <w:tcW w:w="3624" w:type="dxa"/>
            <w:tcBorders>
              <w:top w:val="single" w:sz="4" w:space="0" w:color="000000"/>
              <w:left w:val="single" w:sz="4" w:space="0" w:color="000000"/>
              <w:bottom w:val="single" w:sz="4" w:space="0" w:color="000000"/>
              <w:right w:val="single" w:sz="4" w:space="0" w:color="000000"/>
            </w:tcBorders>
          </w:tcPr>
          <w:p w14:paraId="4D89B415"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Autoinjektorius turi turėti programuojamą funkciją naudoti ne mažiau nei 3 skirtingus praplovimo tirpalus adatos vidaus ir išorės apiplovimui.</w:t>
            </w:r>
          </w:p>
        </w:tc>
        <w:tc>
          <w:tcPr>
            <w:tcW w:w="1750" w:type="dxa"/>
            <w:tcBorders>
              <w:top w:val="single" w:sz="4" w:space="0" w:color="000000"/>
              <w:left w:val="single" w:sz="4" w:space="0" w:color="000000"/>
              <w:bottom w:val="single" w:sz="4" w:space="0" w:color="000000"/>
              <w:right w:val="single" w:sz="4" w:space="0" w:color="000000"/>
            </w:tcBorders>
          </w:tcPr>
          <w:p w14:paraId="36CE7095"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2753B100"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2DFAA0F6"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2FDC06F"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Suderinamumas su biologiniais mėginiais</w:t>
            </w:r>
          </w:p>
        </w:tc>
        <w:tc>
          <w:tcPr>
            <w:tcW w:w="3624" w:type="dxa"/>
            <w:tcBorders>
              <w:top w:val="single" w:sz="4" w:space="0" w:color="000000"/>
              <w:left w:val="single" w:sz="4" w:space="0" w:color="000000"/>
              <w:bottom w:val="single" w:sz="4" w:space="0" w:color="000000"/>
              <w:right w:val="single" w:sz="4" w:space="0" w:color="000000"/>
            </w:tcBorders>
          </w:tcPr>
          <w:p w14:paraId="5BCC053D" w14:textId="026C6451"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Automatinis mėginių įvedimo įrenginys (autoinjektorius) turi būti bioinertinės klasės ir neturėti plieninių paviršių kontaktuojančių su mobilia faze ar mėginiais.</w:t>
            </w:r>
          </w:p>
        </w:tc>
        <w:tc>
          <w:tcPr>
            <w:tcW w:w="1750" w:type="dxa"/>
            <w:tcBorders>
              <w:top w:val="single" w:sz="4" w:space="0" w:color="000000"/>
              <w:left w:val="single" w:sz="4" w:space="0" w:color="000000"/>
              <w:bottom w:val="single" w:sz="4" w:space="0" w:color="000000"/>
              <w:right w:val="single" w:sz="4" w:space="0" w:color="000000"/>
            </w:tcBorders>
          </w:tcPr>
          <w:p w14:paraId="3CF1E7BA"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1E022E7F"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50BA0C17"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C6EA5F3"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Kolonų termostatas</w:t>
            </w:r>
          </w:p>
        </w:tc>
        <w:tc>
          <w:tcPr>
            <w:tcW w:w="3624" w:type="dxa"/>
            <w:tcBorders>
              <w:top w:val="single" w:sz="4" w:space="0" w:color="000000"/>
              <w:left w:val="single" w:sz="4" w:space="0" w:color="000000"/>
              <w:bottom w:val="single" w:sz="4" w:space="0" w:color="000000"/>
              <w:right w:val="single" w:sz="4" w:space="0" w:color="000000"/>
            </w:tcBorders>
          </w:tcPr>
          <w:p w14:paraId="0BE11BB8" w14:textId="13511B18"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 xml:space="preserve">Privalomas. Priverstinės oro cirkuliacijos tipo. Palaikomos temperatūros intervalas ne siauresnis nei nuo 10 °C žemiau kambario temperatūros iki 100 °C. Privalo gebėti talpinti ne mažiau </w:t>
            </w:r>
            <w:r w:rsidRPr="002E6CD4">
              <w:rPr>
                <w:rFonts w:ascii="Times New Roman" w:hAnsi="Times New Roman" w:cs="Times New Roman"/>
                <w:lang w:val="lt-LT"/>
              </w:rPr>
              <w:lastRenderedPageBreak/>
              <w:t>nei 6 kolonėles iki 250 mm ilgio.</w:t>
            </w:r>
          </w:p>
        </w:tc>
        <w:tc>
          <w:tcPr>
            <w:tcW w:w="1750" w:type="dxa"/>
            <w:tcBorders>
              <w:top w:val="single" w:sz="4" w:space="0" w:color="000000"/>
              <w:left w:val="single" w:sz="4" w:space="0" w:color="000000"/>
              <w:bottom w:val="single" w:sz="4" w:space="0" w:color="000000"/>
              <w:right w:val="single" w:sz="4" w:space="0" w:color="000000"/>
            </w:tcBorders>
          </w:tcPr>
          <w:p w14:paraId="55F11D69"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A0BCDEF"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54BE8073"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2B528C1A"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Palaikomos temperatūros tikslumas (preciziškumas)</w:t>
            </w:r>
          </w:p>
        </w:tc>
        <w:tc>
          <w:tcPr>
            <w:tcW w:w="3624" w:type="dxa"/>
            <w:tcBorders>
              <w:top w:val="single" w:sz="4" w:space="0" w:color="000000"/>
              <w:left w:val="single" w:sz="4" w:space="0" w:color="000000"/>
              <w:bottom w:val="single" w:sz="4" w:space="0" w:color="000000"/>
              <w:right w:val="single" w:sz="4" w:space="0" w:color="000000"/>
            </w:tcBorders>
          </w:tcPr>
          <w:p w14:paraId="18D5907F"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Reikšmė ne didesnė nei ± 0,5 °C</w:t>
            </w:r>
          </w:p>
        </w:tc>
        <w:tc>
          <w:tcPr>
            <w:tcW w:w="1750" w:type="dxa"/>
            <w:tcBorders>
              <w:top w:val="single" w:sz="4" w:space="0" w:color="000000"/>
              <w:left w:val="single" w:sz="4" w:space="0" w:color="000000"/>
              <w:bottom w:val="single" w:sz="4" w:space="0" w:color="000000"/>
              <w:right w:val="single" w:sz="4" w:space="0" w:color="000000"/>
            </w:tcBorders>
          </w:tcPr>
          <w:p w14:paraId="541523D0"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6B102C77"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41E82ED4"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3594F2A"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Automatinis kolonų perjungimas</w:t>
            </w:r>
          </w:p>
        </w:tc>
        <w:tc>
          <w:tcPr>
            <w:tcW w:w="3624" w:type="dxa"/>
            <w:tcBorders>
              <w:top w:val="single" w:sz="4" w:space="0" w:color="000000"/>
              <w:left w:val="single" w:sz="4" w:space="0" w:color="000000"/>
              <w:bottom w:val="single" w:sz="4" w:space="0" w:color="000000"/>
              <w:right w:val="single" w:sz="4" w:space="0" w:color="000000"/>
            </w:tcBorders>
          </w:tcPr>
          <w:p w14:paraId="143EB110" w14:textId="29892CE2"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Privalomas integruotas bioinertinės klasės (PEEK dengti paviršiai arba analogiški) vožtuvų sprendimas leidžiantis automatiškai, programuojamai pasirinkti iš ne mažiau nei 6 kolonėlių. Privalomas suderintų bioinertinių vamzdelių rinkinys kolonų pajungimui. Palaikomas slėgis nemažiau nei 15 000 psi.</w:t>
            </w:r>
          </w:p>
        </w:tc>
        <w:tc>
          <w:tcPr>
            <w:tcW w:w="1750" w:type="dxa"/>
            <w:tcBorders>
              <w:top w:val="single" w:sz="4" w:space="0" w:color="000000"/>
              <w:left w:val="single" w:sz="4" w:space="0" w:color="000000"/>
              <w:bottom w:val="single" w:sz="4" w:space="0" w:color="000000"/>
              <w:right w:val="single" w:sz="4" w:space="0" w:color="000000"/>
            </w:tcBorders>
          </w:tcPr>
          <w:p w14:paraId="441B6C22"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35AD01B9"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6686C272"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ADE7AEF" w14:textId="77777777" w:rsidR="00FF13C9" w:rsidRPr="002E6CD4" w:rsidRDefault="00000000" w:rsidP="002E6CD4">
            <w:pPr>
              <w:widowControl w:val="0"/>
              <w:jc w:val="center"/>
              <w:rPr>
                <w:rFonts w:ascii="Times New Roman" w:hAnsi="Times New Roman" w:cs="Times New Roman"/>
                <w:lang w:val="lt-LT"/>
              </w:rPr>
            </w:pPr>
            <w:bookmarkStart w:id="1" w:name="_Hlk193353157"/>
            <w:r w:rsidRPr="002E6CD4">
              <w:rPr>
                <w:rFonts w:ascii="Times New Roman" w:hAnsi="Times New Roman" w:cs="Times New Roman"/>
                <w:lang w:val="lt-LT"/>
              </w:rPr>
              <w:t>UV/VIS spindulių diodų matricos detektorius su nuolatine spektro registravimo funkcija</w:t>
            </w:r>
            <w:bookmarkEnd w:id="1"/>
          </w:p>
        </w:tc>
        <w:tc>
          <w:tcPr>
            <w:tcW w:w="3624" w:type="dxa"/>
            <w:tcBorders>
              <w:top w:val="single" w:sz="4" w:space="0" w:color="000000"/>
              <w:left w:val="single" w:sz="4" w:space="0" w:color="000000"/>
              <w:bottom w:val="single" w:sz="4" w:space="0" w:color="000000"/>
              <w:right w:val="single" w:sz="4" w:space="0" w:color="000000"/>
            </w:tcBorders>
          </w:tcPr>
          <w:p w14:paraId="241F15C4"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 diodų matricos gardelė sudaryta iš ne mažiau nei 1024 diodų</w:t>
            </w:r>
          </w:p>
        </w:tc>
        <w:tc>
          <w:tcPr>
            <w:tcW w:w="1750" w:type="dxa"/>
            <w:tcBorders>
              <w:top w:val="single" w:sz="4" w:space="0" w:color="000000"/>
              <w:left w:val="single" w:sz="4" w:space="0" w:color="000000"/>
              <w:bottom w:val="single" w:sz="4" w:space="0" w:color="000000"/>
              <w:right w:val="single" w:sz="4" w:space="0" w:color="000000"/>
            </w:tcBorders>
          </w:tcPr>
          <w:p w14:paraId="5792CC1B"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28F6A698"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4927EED9"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1C02D01A"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Bangos ilgių intervalas</w:t>
            </w:r>
          </w:p>
        </w:tc>
        <w:tc>
          <w:tcPr>
            <w:tcW w:w="3624" w:type="dxa"/>
            <w:tcBorders>
              <w:top w:val="single" w:sz="4" w:space="0" w:color="000000"/>
              <w:left w:val="single" w:sz="4" w:space="0" w:color="000000"/>
              <w:bottom w:val="single" w:sz="4" w:space="0" w:color="000000"/>
              <w:right w:val="single" w:sz="4" w:space="0" w:color="000000"/>
            </w:tcBorders>
          </w:tcPr>
          <w:p w14:paraId="32F6440C"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Nuo 190 nm iki 800 nm</w:t>
            </w:r>
          </w:p>
        </w:tc>
        <w:tc>
          <w:tcPr>
            <w:tcW w:w="1750" w:type="dxa"/>
            <w:tcBorders>
              <w:top w:val="single" w:sz="4" w:space="0" w:color="000000"/>
              <w:left w:val="single" w:sz="4" w:space="0" w:color="000000"/>
              <w:bottom w:val="single" w:sz="4" w:space="0" w:color="000000"/>
              <w:right w:val="single" w:sz="4" w:space="0" w:color="000000"/>
            </w:tcBorders>
          </w:tcPr>
          <w:p w14:paraId="2C9D4897"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64ECE300"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1961D19D"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8B336F2"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Bangos ilgio tikslumas</w:t>
            </w:r>
          </w:p>
        </w:tc>
        <w:tc>
          <w:tcPr>
            <w:tcW w:w="3624" w:type="dxa"/>
            <w:tcBorders>
              <w:top w:val="single" w:sz="4" w:space="0" w:color="000000"/>
              <w:left w:val="single" w:sz="4" w:space="0" w:color="000000"/>
              <w:bottom w:val="single" w:sz="4" w:space="0" w:color="000000"/>
              <w:right w:val="single" w:sz="4" w:space="0" w:color="000000"/>
            </w:tcBorders>
          </w:tcPr>
          <w:p w14:paraId="6E4FC39E"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daugiau kaip ±1 nm</w:t>
            </w:r>
          </w:p>
        </w:tc>
        <w:tc>
          <w:tcPr>
            <w:tcW w:w="1750" w:type="dxa"/>
            <w:tcBorders>
              <w:top w:val="single" w:sz="4" w:space="0" w:color="000000"/>
              <w:left w:val="single" w:sz="4" w:space="0" w:color="000000"/>
              <w:bottom w:val="single" w:sz="4" w:space="0" w:color="000000"/>
              <w:right w:val="single" w:sz="4" w:space="0" w:color="000000"/>
            </w:tcBorders>
          </w:tcPr>
          <w:p w14:paraId="05107F36"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B05BCF6"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6ECD7387"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AD5FDE6"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Maksimalus triukšmas</w:t>
            </w:r>
          </w:p>
        </w:tc>
        <w:tc>
          <w:tcPr>
            <w:tcW w:w="3624" w:type="dxa"/>
            <w:tcBorders>
              <w:top w:val="single" w:sz="4" w:space="0" w:color="000000"/>
              <w:left w:val="single" w:sz="4" w:space="0" w:color="000000"/>
              <w:bottom w:val="single" w:sz="4" w:space="0" w:color="000000"/>
              <w:right w:val="single" w:sz="4" w:space="0" w:color="000000"/>
            </w:tcBorders>
          </w:tcPr>
          <w:p w14:paraId="5E7A4422"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didesnis kaip 5x10</w:t>
            </w:r>
            <w:r w:rsidRPr="002E6CD4">
              <w:rPr>
                <w:rFonts w:ascii="Times New Roman" w:hAnsi="Times New Roman" w:cs="Times New Roman"/>
                <w:vertAlign w:val="superscript"/>
                <w:lang w:val="lt-LT"/>
              </w:rPr>
              <w:t>-6</w:t>
            </w:r>
            <w:r w:rsidRPr="002E6CD4">
              <w:rPr>
                <w:rFonts w:ascii="Times New Roman" w:hAnsi="Times New Roman" w:cs="Times New Roman"/>
                <w:lang w:val="lt-LT"/>
              </w:rPr>
              <w:t xml:space="preserve"> AU</w:t>
            </w:r>
          </w:p>
        </w:tc>
        <w:tc>
          <w:tcPr>
            <w:tcW w:w="1750" w:type="dxa"/>
            <w:tcBorders>
              <w:top w:val="single" w:sz="4" w:space="0" w:color="000000"/>
              <w:left w:val="single" w:sz="4" w:space="0" w:color="000000"/>
              <w:bottom w:val="single" w:sz="4" w:space="0" w:color="000000"/>
              <w:right w:val="single" w:sz="4" w:space="0" w:color="000000"/>
            </w:tcBorders>
          </w:tcPr>
          <w:p w14:paraId="1394B58E"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F71F2B2"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362F01EF"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4469FC20"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Bazinės linijos dreifas</w:t>
            </w:r>
          </w:p>
        </w:tc>
        <w:tc>
          <w:tcPr>
            <w:tcW w:w="3624" w:type="dxa"/>
            <w:tcBorders>
              <w:top w:val="single" w:sz="4" w:space="0" w:color="000000"/>
              <w:left w:val="single" w:sz="4" w:space="0" w:color="000000"/>
              <w:bottom w:val="single" w:sz="4" w:space="0" w:color="000000"/>
              <w:right w:val="single" w:sz="4" w:space="0" w:color="000000"/>
            </w:tcBorders>
          </w:tcPr>
          <w:p w14:paraId="30FA2A59"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didesnis kaip 0,8x10</w:t>
            </w:r>
            <w:r w:rsidRPr="002E6CD4">
              <w:rPr>
                <w:rFonts w:ascii="Times New Roman" w:hAnsi="Times New Roman" w:cs="Times New Roman"/>
                <w:vertAlign w:val="superscript"/>
                <w:lang w:val="lt-LT"/>
              </w:rPr>
              <w:t>-3</w:t>
            </w:r>
            <w:r w:rsidRPr="002E6CD4">
              <w:rPr>
                <w:rFonts w:ascii="Times New Roman" w:hAnsi="Times New Roman" w:cs="Times New Roman"/>
                <w:lang w:val="lt-LT"/>
              </w:rPr>
              <w:t xml:space="preserve"> AU/val.</w:t>
            </w:r>
          </w:p>
        </w:tc>
        <w:tc>
          <w:tcPr>
            <w:tcW w:w="1750" w:type="dxa"/>
            <w:tcBorders>
              <w:top w:val="single" w:sz="4" w:space="0" w:color="000000"/>
              <w:left w:val="single" w:sz="4" w:space="0" w:color="000000"/>
              <w:bottom w:val="single" w:sz="4" w:space="0" w:color="000000"/>
              <w:right w:val="single" w:sz="4" w:space="0" w:color="000000"/>
            </w:tcBorders>
          </w:tcPr>
          <w:p w14:paraId="08376031"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0368C97A"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617867A9"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632DA5CB"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 xml:space="preserve">Detektoriaus </w:t>
            </w:r>
            <w:r w:rsidRPr="002E6CD4">
              <w:rPr>
                <w:rFonts w:ascii="Times New Roman" w:hAnsi="Times New Roman" w:cs="Times New Roman"/>
                <w:lang w:val="lt-LT"/>
              </w:rPr>
              <w:lastRenderedPageBreak/>
              <w:t>tiesinis intervalas</w:t>
            </w:r>
          </w:p>
        </w:tc>
        <w:tc>
          <w:tcPr>
            <w:tcW w:w="3624" w:type="dxa"/>
            <w:tcBorders>
              <w:top w:val="single" w:sz="4" w:space="0" w:color="000000"/>
              <w:left w:val="single" w:sz="4" w:space="0" w:color="000000"/>
              <w:bottom w:val="single" w:sz="4" w:space="0" w:color="000000"/>
              <w:right w:val="single" w:sz="4" w:space="0" w:color="000000"/>
            </w:tcBorders>
          </w:tcPr>
          <w:p w14:paraId="693E500F"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lastRenderedPageBreak/>
              <w:t>Ne mažiau kaip iki 2,5 AU</w:t>
            </w:r>
          </w:p>
        </w:tc>
        <w:tc>
          <w:tcPr>
            <w:tcW w:w="1750" w:type="dxa"/>
            <w:tcBorders>
              <w:top w:val="single" w:sz="4" w:space="0" w:color="000000"/>
              <w:left w:val="single" w:sz="4" w:space="0" w:color="000000"/>
              <w:bottom w:val="single" w:sz="4" w:space="0" w:color="000000"/>
              <w:right w:val="single" w:sz="4" w:space="0" w:color="000000"/>
            </w:tcBorders>
          </w:tcPr>
          <w:p w14:paraId="16923E32"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30B49B91"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66060178"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F73429F"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Šaltinių darbo laikas</w:t>
            </w:r>
          </w:p>
        </w:tc>
        <w:tc>
          <w:tcPr>
            <w:tcW w:w="3624" w:type="dxa"/>
            <w:tcBorders>
              <w:top w:val="single" w:sz="4" w:space="0" w:color="000000"/>
              <w:left w:val="single" w:sz="4" w:space="0" w:color="000000"/>
              <w:bottom w:val="single" w:sz="4" w:space="0" w:color="000000"/>
              <w:right w:val="single" w:sz="4" w:space="0" w:color="000000"/>
            </w:tcBorders>
          </w:tcPr>
          <w:p w14:paraId="53CF8210"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mažiau nei 2000 val. visiems naudojamiems šviesos šaltiniams (lempoms).</w:t>
            </w:r>
          </w:p>
        </w:tc>
        <w:tc>
          <w:tcPr>
            <w:tcW w:w="1750" w:type="dxa"/>
            <w:tcBorders>
              <w:top w:val="single" w:sz="4" w:space="0" w:color="000000"/>
              <w:left w:val="single" w:sz="4" w:space="0" w:color="000000"/>
              <w:bottom w:val="single" w:sz="4" w:space="0" w:color="000000"/>
              <w:right w:val="single" w:sz="4" w:space="0" w:color="000000"/>
            </w:tcBorders>
          </w:tcPr>
          <w:p w14:paraId="5ABD7168"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60040890"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1BC0DC06"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0C59D8F"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Detektoriaus kiuvetė</w:t>
            </w:r>
          </w:p>
        </w:tc>
        <w:tc>
          <w:tcPr>
            <w:tcW w:w="3624" w:type="dxa"/>
            <w:tcBorders>
              <w:top w:val="single" w:sz="4" w:space="0" w:color="000000"/>
              <w:left w:val="single" w:sz="4" w:space="0" w:color="000000"/>
              <w:bottom w:val="single" w:sz="4" w:space="0" w:color="000000"/>
              <w:right w:val="single" w:sz="4" w:space="0" w:color="000000"/>
            </w:tcBorders>
          </w:tcPr>
          <w:p w14:paraId="483A4673" w14:textId="0E8B9752"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UHPLC inertinė matavimo kiuvetė. Kiuvetės tūris ne daugiau nei 3 µl. Palaikomas slėgis  ne mažiau nei iki 1000 psi.</w:t>
            </w:r>
          </w:p>
        </w:tc>
        <w:tc>
          <w:tcPr>
            <w:tcW w:w="1750" w:type="dxa"/>
            <w:tcBorders>
              <w:top w:val="single" w:sz="4" w:space="0" w:color="000000"/>
              <w:left w:val="single" w:sz="4" w:space="0" w:color="000000"/>
              <w:bottom w:val="single" w:sz="4" w:space="0" w:color="000000"/>
              <w:right w:val="single" w:sz="4" w:space="0" w:color="000000"/>
            </w:tcBorders>
          </w:tcPr>
          <w:p w14:paraId="7EAD78E6"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14D4C3F6"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15C963A4"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6A00508F"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Maksimalus duomenų registravimo dažnis</w:t>
            </w:r>
          </w:p>
        </w:tc>
        <w:tc>
          <w:tcPr>
            <w:tcW w:w="3624" w:type="dxa"/>
            <w:tcBorders>
              <w:top w:val="single" w:sz="4" w:space="0" w:color="000000"/>
              <w:left w:val="single" w:sz="4" w:space="0" w:color="000000"/>
              <w:bottom w:val="single" w:sz="4" w:space="0" w:color="000000"/>
              <w:right w:val="single" w:sz="4" w:space="0" w:color="000000"/>
            </w:tcBorders>
          </w:tcPr>
          <w:p w14:paraId="291F70D1"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Ne mažesnis nei 100 Hz</w:t>
            </w:r>
          </w:p>
        </w:tc>
        <w:tc>
          <w:tcPr>
            <w:tcW w:w="1750" w:type="dxa"/>
            <w:tcBorders>
              <w:top w:val="single" w:sz="4" w:space="0" w:color="000000"/>
              <w:left w:val="single" w:sz="4" w:space="0" w:color="000000"/>
              <w:bottom w:val="single" w:sz="4" w:space="0" w:color="000000"/>
              <w:right w:val="single" w:sz="4" w:space="0" w:color="000000"/>
            </w:tcBorders>
          </w:tcPr>
          <w:p w14:paraId="3637C6DC"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130D534C"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416E6645"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43563DDB"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Kiuvetės temperatūrinis intervalas</w:t>
            </w:r>
          </w:p>
        </w:tc>
        <w:tc>
          <w:tcPr>
            <w:tcW w:w="3624" w:type="dxa"/>
            <w:tcBorders>
              <w:top w:val="single" w:sz="4" w:space="0" w:color="000000"/>
              <w:left w:val="single" w:sz="4" w:space="0" w:color="000000"/>
              <w:bottom w:val="single" w:sz="4" w:space="0" w:color="000000"/>
              <w:right w:val="single" w:sz="4" w:space="0" w:color="000000"/>
            </w:tcBorders>
          </w:tcPr>
          <w:p w14:paraId="5E8FDDC3"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Palaikomas, keičiamas. Parenkama temperatūra iki ne mažiau kaip 50 °C</w:t>
            </w:r>
          </w:p>
        </w:tc>
        <w:tc>
          <w:tcPr>
            <w:tcW w:w="1750" w:type="dxa"/>
            <w:tcBorders>
              <w:top w:val="single" w:sz="4" w:space="0" w:color="000000"/>
              <w:left w:val="single" w:sz="4" w:space="0" w:color="000000"/>
              <w:bottom w:val="single" w:sz="4" w:space="0" w:color="000000"/>
              <w:right w:val="single" w:sz="4" w:space="0" w:color="000000"/>
            </w:tcBorders>
          </w:tcPr>
          <w:p w14:paraId="503B6E8F"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409CE6B9"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01413AF1"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3E7EE919"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Bendros chromatografinės sistemos funkcionalumas</w:t>
            </w:r>
          </w:p>
        </w:tc>
        <w:tc>
          <w:tcPr>
            <w:tcW w:w="3624" w:type="dxa"/>
            <w:tcBorders>
              <w:top w:val="single" w:sz="4" w:space="0" w:color="000000"/>
              <w:left w:val="single" w:sz="4" w:space="0" w:color="000000"/>
              <w:bottom w:val="single" w:sz="4" w:space="0" w:color="000000"/>
              <w:right w:val="single" w:sz="4" w:space="0" w:color="000000"/>
            </w:tcBorders>
          </w:tcPr>
          <w:p w14:paraId="7B3A265C" w14:textId="77777777" w:rsidR="002E6CD4" w:rsidRDefault="00000000" w:rsidP="002E6CD4">
            <w:pPr>
              <w:pStyle w:val="ListParagraph"/>
              <w:widowControl w:val="0"/>
              <w:numPr>
                <w:ilvl w:val="0"/>
                <w:numId w:val="4"/>
              </w:numPr>
              <w:spacing w:after="0"/>
              <w:ind w:left="357" w:hanging="357"/>
              <w:rPr>
                <w:rFonts w:ascii="Times New Roman" w:hAnsi="Times New Roman" w:cs="Times New Roman"/>
                <w:lang w:val="lt-LT"/>
              </w:rPr>
            </w:pPr>
            <w:r w:rsidRPr="002E6CD4">
              <w:rPr>
                <w:rFonts w:ascii="Times New Roman" w:hAnsi="Times New Roman" w:cs="Times New Roman"/>
                <w:lang w:val="lt-LT"/>
              </w:rPr>
              <w:t>Sistema privalo turėti funkcionalumą, kai vienoje sekoje galima dirbti su dviem ar daugiau metodų,  kurie turi skirtingas mobilias fazes, skirtingas kolonėles, ir skirtingus detektorius. Tarp metodų seka automatiškai užpildo linijas nauja mobilia faze, iš linijos pilnai pašalina prieš tai buvusią, perjungia tinkamą koloną, ją kondicionuoja ir paleidžia analizes.</w:t>
            </w:r>
          </w:p>
          <w:p w14:paraId="7E9184F9" w14:textId="437F06F1" w:rsidR="00FF13C9" w:rsidRPr="002E6CD4" w:rsidRDefault="00000000" w:rsidP="002E6CD4">
            <w:pPr>
              <w:pStyle w:val="ListParagraph"/>
              <w:widowControl w:val="0"/>
              <w:numPr>
                <w:ilvl w:val="0"/>
                <w:numId w:val="4"/>
              </w:numPr>
              <w:spacing w:after="0"/>
              <w:ind w:left="357" w:hanging="357"/>
              <w:rPr>
                <w:rFonts w:ascii="Times New Roman" w:hAnsi="Times New Roman" w:cs="Times New Roman"/>
                <w:lang w:val="lt-LT"/>
              </w:rPr>
            </w:pPr>
            <w:r w:rsidRPr="002E6CD4">
              <w:rPr>
                <w:rFonts w:ascii="Times New Roman" w:hAnsi="Times New Roman" w:cs="Times New Roman"/>
                <w:lang w:val="lt-LT"/>
              </w:rPr>
              <w:t xml:space="preserve">Automatinis kolonų termostate esančių kolonų perjungimo funkcionalumas, leidžiantis sistemai savarankiškai keisti </w:t>
            </w:r>
            <w:r w:rsidRPr="002E6CD4">
              <w:rPr>
                <w:rFonts w:ascii="Times New Roman" w:hAnsi="Times New Roman" w:cs="Times New Roman"/>
                <w:lang w:val="lt-LT"/>
              </w:rPr>
              <w:lastRenderedPageBreak/>
              <w:t>analizei naudojamą kolonėlę iš ne mažiau nei šešių galimų. Funkcija valdoma iš programinės įrangos.</w:t>
            </w:r>
          </w:p>
        </w:tc>
        <w:tc>
          <w:tcPr>
            <w:tcW w:w="1750" w:type="dxa"/>
            <w:tcBorders>
              <w:top w:val="single" w:sz="4" w:space="0" w:color="000000"/>
              <w:left w:val="single" w:sz="4" w:space="0" w:color="000000"/>
              <w:bottom w:val="single" w:sz="4" w:space="0" w:color="000000"/>
              <w:right w:val="single" w:sz="4" w:space="0" w:color="000000"/>
            </w:tcBorders>
          </w:tcPr>
          <w:p w14:paraId="2FA74F60"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6422E8A6"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5E4C20AB"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298E3BAE"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Priedai</w:t>
            </w:r>
          </w:p>
        </w:tc>
        <w:tc>
          <w:tcPr>
            <w:tcW w:w="3624" w:type="dxa"/>
            <w:tcBorders>
              <w:top w:val="single" w:sz="4" w:space="0" w:color="000000"/>
              <w:left w:val="single" w:sz="4" w:space="0" w:color="000000"/>
              <w:bottom w:val="single" w:sz="4" w:space="0" w:color="000000"/>
              <w:right w:val="single" w:sz="4" w:space="0" w:color="000000"/>
            </w:tcBorders>
          </w:tcPr>
          <w:p w14:paraId="509449D7"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Privalomi</w:t>
            </w:r>
          </w:p>
        </w:tc>
        <w:tc>
          <w:tcPr>
            <w:tcW w:w="1750" w:type="dxa"/>
            <w:tcBorders>
              <w:top w:val="single" w:sz="4" w:space="0" w:color="000000"/>
              <w:left w:val="single" w:sz="4" w:space="0" w:color="000000"/>
              <w:bottom w:val="single" w:sz="4" w:space="0" w:color="000000"/>
              <w:right w:val="single" w:sz="4" w:space="0" w:color="000000"/>
            </w:tcBorders>
          </w:tcPr>
          <w:p w14:paraId="63E1AFD2"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1A229929"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2A440E95"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FF041A6"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bCs/>
                <w:lang w:val="lt-LT"/>
              </w:rPr>
              <w:t>Chromatografinės priemonės</w:t>
            </w:r>
          </w:p>
        </w:tc>
        <w:tc>
          <w:tcPr>
            <w:tcW w:w="3624" w:type="dxa"/>
            <w:tcBorders>
              <w:top w:val="single" w:sz="4" w:space="0" w:color="000000"/>
              <w:left w:val="single" w:sz="4" w:space="0" w:color="000000"/>
              <w:bottom w:val="single" w:sz="4" w:space="0" w:color="000000"/>
              <w:right w:val="single" w:sz="4" w:space="0" w:color="000000"/>
            </w:tcBorders>
          </w:tcPr>
          <w:p w14:paraId="0F1336C7" w14:textId="77777777" w:rsidR="00FF13C9" w:rsidRPr="002E6CD4" w:rsidRDefault="00000000" w:rsidP="002E6CD4">
            <w:pPr>
              <w:widowControl w:val="0"/>
              <w:jc w:val="center"/>
              <w:rPr>
                <w:rFonts w:ascii="Times New Roman" w:hAnsi="Times New Roman" w:cs="Times New Roman"/>
                <w:lang w:val="en-US"/>
              </w:rPr>
            </w:pPr>
            <w:r w:rsidRPr="002E6CD4">
              <w:rPr>
                <w:rFonts w:ascii="Times New Roman" w:hAnsi="Times New Roman" w:cs="Times New Roman"/>
                <w:lang w:val="lt-LT"/>
              </w:rPr>
              <w:t>Pradinis užsukamų plastikinių chromatografinių 1,5-2 ml buteliukų rinkinys. Ne mažiau nei 1000 vnt. buteliukų ir 1500 vnt. užsukamų kamštelių.</w:t>
            </w:r>
          </w:p>
        </w:tc>
        <w:tc>
          <w:tcPr>
            <w:tcW w:w="1750" w:type="dxa"/>
            <w:tcBorders>
              <w:top w:val="single" w:sz="4" w:space="0" w:color="000000"/>
              <w:left w:val="single" w:sz="4" w:space="0" w:color="000000"/>
              <w:bottom w:val="single" w:sz="4" w:space="0" w:color="000000"/>
              <w:right w:val="single" w:sz="4" w:space="0" w:color="000000"/>
            </w:tcBorders>
          </w:tcPr>
          <w:p w14:paraId="6F292FFB"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6A1AA6E6"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3C5A7FCE"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76E5C75E" w14:textId="77777777" w:rsidR="00FF13C9" w:rsidRPr="002E6CD4" w:rsidRDefault="00000000" w:rsidP="002E6CD4">
            <w:pPr>
              <w:widowControl w:val="0"/>
              <w:jc w:val="center"/>
              <w:rPr>
                <w:rFonts w:ascii="Times New Roman" w:hAnsi="Times New Roman" w:cs="Times New Roman"/>
                <w:bCs/>
                <w:lang w:val="lt-LT"/>
              </w:rPr>
            </w:pPr>
            <w:r w:rsidRPr="002E6CD4">
              <w:rPr>
                <w:rFonts w:ascii="Times New Roman" w:hAnsi="Times New Roman" w:cs="Times New Roman"/>
                <w:bCs/>
                <w:lang w:val="lt-LT"/>
              </w:rPr>
              <w:t>Chromatografinė kolonėlė</w:t>
            </w:r>
          </w:p>
        </w:tc>
        <w:tc>
          <w:tcPr>
            <w:tcW w:w="3624" w:type="dxa"/>
            <w:tcBorders>
              <w:top w:val="single" w:sz="4" w:space="0" w:color="000000"/>
              <w:left w:val="single" w:sz="4" w:space="0" w:color="000000"/>
              <w:bottom w:val="single" w:sz="4" w:space="0" w:color="000000"/>
              <w:right w:val="single" w:sz="4" w:space="0" w:color="000000"/>
            </w:tcBorders>
          </w:tcPr>
          <w:p w14:paraId="681E5091" w14:textId="4E1ABFDD"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Privaloma, inertinio tipo, ilgis ne mažiau nei 10 cm ilgio, C18 tipo sorbentas.</w:t>
            </w:r>
          </w:p>
        </w:tc>
        <w:tc>
          <w:tcPr>
            <w:tcW w:w="1750" w:type="dxa"/>
            <w:tcBorders>
              <w:top w:val="single" w:sz="4" w:space="0" w:color="000000"/>
              <w:left w:val="single" w:sz="4" w:space="0" w:color="000000"/>
              <w:bottom w:val="single" w:sz="4" w:space="0" w:color="000000"/>
              <w:right w:val="single" w:sz="4" w:space="0" w:color="000000"/>
            </w:tcBorders>
          </w:tcPr>
          <w:p w14:paraId="6E05A869"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36180FE8"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1B81AEFB"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59229C76"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Bendri reikalavimai</w:t>
            </w:r>
          </w:p>
        </w:tc>
        <w:tc>
          <w:tcPr>
            <w:tcW w:w="3624" w:type="dxa"/>
            <w:tcBorders>
              <w:top w:val="single" w:sz="4" w:space="0" w:color="000000"/>
              <w:left w:val="single" w:sz="4" w:space="0" w:color="000000"/>
              <w:bottom w:val="single" w:sz="4" w:space="0" w:color="000000"/>
              <w:right w:val="single" w:sz="4" w:space="0" w:color="000000"/>
            </w:tcBorders>
          </w:tcPr>
          <w:p w14:paraId="1FD94D6F"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Privalomi</w:t>
            </w:r>
          </w:p>
        </w:tc>
        <w:tc>
          <w:tcPr>
            <w:tcW w:w="1750" w:type="dxa"/>
            <w:tcBorders>
              <w:top w:val="single" w:sz="4" w:space="0" w:color="000000"/>
              <w:left w:val="single" w:sz="4" w:space="0" w:color="000000"/>
              <w:bottom w:val="single" w:sz="4" w:space="0" w:color="000000"/>
              <w:right w:val="single" w:sz="4" w:space="0" w:color="000000"/>
            </w:tcBorders>
          </w:tcPr>
          <w:p w14:paraId="6E7C6ABF"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1E5DFB1F"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54270E1F"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7955A91A"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Suderinamumas</w:t>
            </w:r>
          </w:p>
        </w:tc>
        <w:tc>
          <w:tcPr>
            <w:tcW w:w="3624" w:type="dxa"/>
            <w:tcBorders>
              <w:top w:val="single" w:sz="4" w:space="0" w:color="000000"/>
              <w:left w:val="single" w:sz="4" w:space="0" w:color="000000"/>
              <w:bottom w:val="single" w:sz="4" w:space="0" w:color="000000"/>
              <w:right w:val="single" w:sz="4" w:space="0" w:color="000000"/>
            </w:tcBorders>
          </w:tcPr>
          <w:p w14:paraId="66455596" w14:textId="733F59D9"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Skysčių chromatografas ir visi jo moduliai turi būti suderinami ir tiesiogiai valdomi turimos Shimadzu LCMS-9030 skrydžio laiko masių spektrometrijos detektoriaus programinės įrangos LabSolutions LCMS.</w:t>
            </w:r>
          </w:p>
        </w:tc>
        <w:tc>
          <w:tcPr>
            <w:tcW w:w="1750" w:type="dxa"/>
            <w:tcBorders>
              <w:top w:val="single" w:sz="4" w:space="0" w:color="000000"/>
              <w:left w:val="single" w:sz="4" w:space="0" w:color="000000"/>
              <w:bottom w:val="single" w:sz="4" w:space="0" w:color="000000"/>
              <w:right w:val="single" w:sz="4" w:space="0" w:color="000000"/>
            </w:tcBorders>
          </w:tcPr>
          <w:p w14:paraId="0CF1412C"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52ADFCF4"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16778857" w14:textId="77777777" w:rsidR="00FF13C9" w:rsidRPr="002E6CD4" w:rsidRDefault="00FF13C9" w:rsidP="002E6CD4">
            <w:pPr>
              <w:pStyle w:val="ListParagraph"/>
              <w:widowControl w:val="0"/>
              <w:numPr>
                <w:ilvl w:val="1"/>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02B62E4D"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Komplektacija</w:t>
            </w:r>
          </w:p>
        </w:tc>
        <w:tc>
          <w:tcPr>
            <w:tcW w:w="3624" w:type="dxa"/>
            <w:tcBorders>
              <w:top w:val="single" w:sz="4" w:space="0" w:color="000000"/>
              <w:left w:val="single" w:sz="4" w:space="0" w:color="000000"/>
              <w:bottom w:val="single" w:sz="4" w:space="0" w:color="000000"/>
              <w:right w:val="single" w:sz="4" w:space="0" w:color="000000"/>
            </w:tcBorders>
          </w:tcPr>
          <w:p w14:paraId="221AF865" w14:textId="77777777"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Privalomi visi komunikacijos kabeliai ir elementai sujungimui moduliams tarpusavyje ir su esama programinės įrangos instaliacija. Privalomi bioinertiniai vamzdeliai ir susiję elementai modulius sujungti tarpusavyje ir su esama LCMS-9030 sistema.</w:t>
            </w:r>
          </w:p>
        </w:tc>
        <w:tc>
          <w:tcPr>
            <w:tcW w:w="1750" w:type="dxa"/>
            <w:tcBorders>
              <w:top w:val="single" w:sz="4" w:space="0" w:color="000000"/>
              <w:left w:val="single" w:sz="4" w:space="0" w:color="000000"/>
              <w:bottom w:val="single" w:sz="4" w:space="0" w:color="000000"/>
              <w:right w:val="single" w:sz="4" w:space="0" w:color="000000"/>
            </w:tcBorders>
          </w:tcPr>
          <w:p w14:paraId="7FB80BEA"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3241F690"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77CDFAAC"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3416971D"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Garantija įrangai</w:t>
            </w:r>
          </w:p>
        </w:tc>
        <w:tc>
          <w:tcPr>
            <w:tcW w:w="3624" w:type="dxa"/>
            <w:tcBorders>
              <w:top w:val="single" w:sz="4" w:space="0" w:color="000000"/>
              <w:left w:val="single" w:sz="4" w:space="0" w:color="000000"/>
              <w:bottom w:val="single" w:sz="4" w:space="0" w:color="000000"/>
              <w:right w:val="single" w:sz="4" w:space="0" w:color="000000"/>
            </w:tcBorders>
          </w:tcPr>
          <w:p w14:paraId="61B00C79" w14:textId="28595246" w:rsidR="00FF13C9" w:rsidRPr="002E6CD4" w:rsidRDefault="00000000" w:rsidP="002E6CD4">
            <w:pPr>
              <w:widowControl w:val="0"/>
              <w:jc w:val="center"/>
              <w:rPr>
                <w:rFonts w:ascii="Times New Roman" w:hAnsi="Times New Roman" w:cs="Times New Roman"/>
                <w:lang w:val="lt-LT"/>
              </w:rPr>
            </w:pPr>
            <w:r w:rsidRPr="00BE65D3">
              <w:rPr>
                <w:rFonts w:ascii="Times New Roman" w:hAnsi="Times New Roman" w:cs="Times New Roman"/>
                <w:lang w:val="lt-LT"/>
              </w:rPr>
              <w:t xml:space="preserve">Ne mažiau nei </w:t>
            </w:r>
            <w:r w:rsidR="00C507F9" w:rsidRPr="00BE65D3">
              <w:rPr>
                <w:rFonts w:ascii="Times New Roman" w:hAnsi="Times New Roman" w:cs="Times New Roman"/>
                <w:lang w:val="lt-LT"/>
              </w:rPr>
              <w:t>24</w:t>
            </w:r>
            <w:r w:rsidR="00C507F9" w:rsidRPr="00BE65D3">
              <w:rPr>
                <w:rFonts w:ascii="Times New Roman" w:hAnsi="Times New Roman" w:cs="Times New Roman"/>
                <w:lang w:val="lt-LT"/>
              </w:rPr>
              <w:t xml:space="preserve"> </w:t>
            </w:r>
            <w:r w:rsidRPr="00BE65D3">
              <w:rPr>
                <w:rFonts w:ascii="Times New Roman" w:hAnsi="Times New Roman" w:cs="Times New Roman"/>
                <w:lang w:val="lt-LT"/>
              </w:rPr>
              <w:t>mėn. Privalo būti įskaičiuotas ir vykdomas 12 mėn. sistemos prevencinis aptarnavimas</w:t>
            </w:r>
            <w:r w:rsidRPr="00220E84">
              <w:rPr>
                <w:rFonts w:ascii="Times New Roman" w:hAnsi="Times New Roman" w:cs="Times New Roman"/>
                <w:lang w:val="lt-LT"/>
              </w:rPr>
              <w:t xml:space="preserve"> </w:t>
            </w:r>
            <w:r w:rsidRPr="00220E84">
              <w:rPr>
                <w:rFonts w:ascii="Times New Roman" w:hAnsi="Times New Roman" w:cs="Times New Roman"/>
                <w:lang w:val="lt-LT"/>
              </w:rPr>
              <w:lastRenderedPageBreak/>
              <w:t>pagal gamintojo numatytas procedūras</w:t>
            </w:r>
            <w:r w:rsidRPr="002E6CD4">
              <w:rPr>
                <w:rFonts w:ascii="Times New Roman" w:hAnsi="Times New Roman" w:cs="Times New Roman"/>
                <w:lang w:val="lt-LT"/>
              </w:rPr>
              <w:t xml:space="preserve"> ir intervalus. Įtraukiant keičiamas dalis, darbus ir kelionės kaštus.</w:t>
            </w:r>
          </w:p>
        </w:tc>
        <w:tc>
          <w:tcPr>
            <w:tcW w:w="1750" w:type="dxa"/>
            <w:tcBorders>
              <w:top w:val="single" w:sz="4" w:space="0" w:color="000000"/>
              <w:left w:val="single" w:sz="4" w:space="0" w:color="000000"/>
              <w:bottom w:val="single" w:sz="4" w:space="0" w:color="000000"/>
              <w:right w:val="single" w:sz="4" w:space="0" w:color="000000"/>
            </w:tcBorders>
          </w:tcPr>
          <w:p w14:paraId="39DB6F19" w14:textId="77777777" w:rsidR="00FF13C9" w:rsidRPr="002E6CD4" w:rsidRDefault="00FF13C9" w:rsidP="002E6CD4">
            <w:pPr>
              <w:widowControl w:val="0"/>
              <w:jc w:val="center"/>
              <w:rPr>
                <w:rFonts w:ascii="Times New Roman" w:hAnsi="Times New Roman" w:cs="Times New Roman"/>
                <w:lang w:val="lt-LT"/>
              </w:rPr>
            </w:pPr>
          </w:p>
        </w:tc>
      </w:tr>
      <w:tr w:rsidR="00FF13C9" w:rsidRPr="002E6CD4" w14:paraId="3CC5CB34" w14:textId="77777777" w:rsidTr="006C0782">
        <w:tc>
          <w:tcPr>
            <w:tcW w:w="1674" w:type="dxa"/>
            <w:tcBorders>
              <w:top w:val="single" w:sz="4" w:space="0" w:color="000000"/>
              <w:left w:val="single" w:sz="4" w:space="0" w:color="000000"/>
              <w:bottom w:val="single" w:sz="4" w:space="0" w:color="000000"/>
              <w:right w:val="single" w:sz="4" w:space="0" w:color="000000"/>
            </w:tcBorders>
          </w:tcPr>
          <w:p w14:paraId="279CBC0B" w14:textId="77777777" w:rsidR="00FF13C9" w:rsidRPr="002E6CD4" w:rsidRDefault="00FF13C9" w:rsidP="002E6CD4">
            <w:pPr>
              <w:pStyle w:val="ListParagraph"/>
              <w:widowControl w:val="0"/>
              <w:numPr>
                <w:ilvl w:val="0"/>
                <w:numId w:val="2"/>
              </w:numPr>
              <w:jc w:val="center"/>
              <w:rPr>
                <w:rFonts w:ascii="Times New Roman" w:hAnsi="Times New Roman" w:cs="Times New Roman"/>
                <w:lang w:val="lt-LT"/>
              </w:rPr>
            </w:pPr>
          </w:p>
        </w:tc>
        <w:tc>
          <w:tcPr>
            <w:tcW w:w="1968" w:type="dxa"/>
            <w:tcBorders>
              <w:top w:val="single" w:sz="4" w:space="0" w:color="000000"/>
              <w:left w:val="single" w:sz="4" w:space="0" w:color="000000"/>
              <w:bottom w:val="single" w:sz="4" w:space="0" w:color="000000"/>
              <w:right w:val="single" w:sz="4" w:space="0" w:color="000000"/>
            </w:tcBorders>
          </w:tcPr>
          <w:p w14:paraId="42E6C1A5" w14:textId="77777777" w:rsidR="00FF13C9" w:rsidRPr="002E6CD4" w:rsidRDefault="00000000" w:rsidP="002E6CD4">
            <w:pPr>
              <w:widowControl w:val="0"/>
              <w:jc w:val="center"/>
              <w:rPr>
                <w:rFonts w:ascii="Times New Roman" w:hAnsi="Times New Roman" w:cs="Times New Roman"/>
                <w:b/>
                <w:lang w:val="lt-LT"/>
              </w:rPr>
            </w:pPr>
            <w:r w:rsidRPr="002E6CD4">
              <w:rPr>
                <w:rFonts w:ascii="Times New Roman" w:hAnsi="Times New Roman" w:cs="Times New Roman"/>
                <w:lang w:val="lt-LT"/>
              </w:rPr>
              <w:t>Instaliacija</w:t>
            </w:r>
          </w:p>
        </w:tc>
        <w:tc>
          <w:tcPr>
            <w:tcW w:w="3624" w:type="dxa"/>
            <w:tcBorders>
              <w:top w:val="single" w:sz="4" w:space="0" w:color="000000"/>
              <w:left w:val="single" w:sz="4" w:space="0" w:color="000000"/>
              <w:bottom w:val="single" w:sz="4" w:space="0" w:color="000000"/>
              <w:right w:val="single" w:sz="4" w:space="0" w:color="000000"/>
            </w:tcBorders>
          </w:tcPr>
          <w:p w14:paraId="299FB401" w14:textId="630CB0EE" w:rsidR="00FF13C9" w:rsidRPr="002E6CD4" w:rsidRDefault="00000000" w:rsidP="002E6CD4">
            <w:pPr>
              <w:widowControl w:val="0"/>
              <w:jc w:val="center"/>
              <w:rPr>
                <w:rFonts w:ascii="Times New Roman" w:hAnsi="Times New Roman" w:cs="Times New Roman"/>
                <w:lang w:val="lt-LT"/>
              </w:rPr>
            </w:pPr>
            <w:r w:rsidRPr="002E6CD4">
              <w:rPr>
                <w:rFonts w:ascii="Times New Roman" w:hAnsi="Times New Roman" w:cs="Times New Roman"/>
                <w:lang w:val="lt-LT"/>
              </w:rPr>
              <w:t>Įrangos instaliaciją atlieka gamintojo apmokytas tiekėjo inžinierius (kartu su konkurso dokumentais pateikiamas galiojantis apmokymų sertifikatas). Po instaliacijos pateikiama gamintojo paruošta ir užpildyta instaliacijos  ataskaita.</w:t>
            </w:r>
          </w:p>
        </w:tc>
        <w:tc>
          <w:tcPr>
            <w:tcW w:w="1750" w:type="dxa"/>
            <w:tcBorders>
              <w:top w:val="single" w:sz="4" w:space="0" w:color="000000"/>
              <w:left w:val="single" w:sz="4" w:space="0" w:color="000000"/>
              <w:bottom w:val="single" w:sz="4" w:space="0" w:color="000000"/>
              <w:right w:val="single" w:sz="4" w:space="0" w:color="000000"/>
            </w:tcBorders>
          </w:tcPr>
          <w:p w14:paraId="6EC954C4" w14:textId="77777777" w:rsidR="00FF13C9" w:rsidRPr="002E6CD4" w:rsidRDefault="00FF13C9" w:rsidP="002E6CD4">
            <w:pPr>
              <w:widowControl w:val="0"/>
              <w:jc w:val="center"/>
              <w:rPr>
                <w:rFonts w:ascii="Times New Roman" w:hAnsi="Times New Roman" w:cs="Times New Roman"/>
                <w:lang w:val="lt-LT"/>
              </w:rPr>
            </w:pPr>
          </w:p>
        </w:tc>
      </w:tr>
    </w:tbl>
    <w:p w14:paraId="52711183" w14:textId="77777777" w:rsidR="006C0782" w:rsidRPr="0041777F" w:rsidRDefault="006C0782" w:rsidP="006C0782">
      <w:pPr>
        <w:spacing w:after="0"/>
        <w:jc w:val="both"/>
        <w:rPr>
          <w:rFonts w:ascii="Times New Roman" w:hAnsi="Times New Roman" w:cs="Times New Roman"/>
        </w:rPr>
      </w:pPr>
      <w:proofErr w:type="spellStart"/>
      <w:r w:rsidRPr="0041777F">
        <w:rPr>
          <w:rFonts w:ascii="Times New Roman" w:hAnsi="Times New Roman" w:cs="Times New Roman"/>
        </w:rPr>
        <w:t>Atliekamas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žaliasis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pirkimas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Pirkimas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vykdomas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vadovaujantis</w:t>
      </w:r>
      <w:proofErr w:type="spellEnd"/>
      <w:r w:rsidRPr="0041777F">
        <w:rPr>
          <w:rFonts w:ascii="Times New Roman" w:hAnsi="Times New Roman" w:cs="Times New Roman"/>
        </w:rPr>
        <w:t xml:space="preserve"> Lietuvos </w:t>
      </w:r>
      <w:proofErr w:type="spellStart"/>
      <w:r w:rsidRPr="0041777F">
        <w:rPr>
          <w:rFonts w:ascii="Times New Roman" w:hAnsi="Times New Roman" w:cs="Times New Roman"/>
        </w:rPr>
        <w:t>Respublikos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aplinkos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ministro</w:t>
      </w:r>
      <w:proofErr w:type="spellEnd"/>
      <w:r w:rsidRPr="0041777F">
        <w:rPr>
          <w:rFonts w:ascii="Times New Roman" w:hAnsi="Times New Roman" w:cs="Times New Roman"/>
        </w:rPr>
        <w:t xml:space="preserve"> 2022 m. </w:t>
      </w:r>
      <w:proofErr w:type="spellStart"/>
      <w:r w:rsidRPr="0041777F">
        <w:rPr>
          <w:rFonts w:ascii="Times New Roman" w:hAnsi="Times New Roman" w:cs="Times New Roman"/>
        </w:rPr>
        <w:t>gruodžio</w:t>
      </w:r>
      <w:proofErr w:type="spellEnd"/>
      <w:r w:rsidRPr="0041777F">
        <w:rPr>
          <w:rFonts w:ascii="Times New Roman" w:hAnsi="Times New Roman" w:cs="Times New Roman"/>
        </w:rPr>
        <w:t xml:space="preserve"> 13 d. </w:t>
      </w:r>
      <w:proofErr w:type="spellStart"/>
      <w:r w:rsidRPr="0041777F">
        <w:rPr>
          <w:rFonts w:ascii="Times New Roman" w:hAnsi="Times New Roman" w:cs="Times New Roman"/>
        </w:rPr>
        <w:t>įsakymo</w:t>
      </w:r>
      <w:proofErr w:type="spellEnd"/>
      <w:r w:rsidRPr="0041777F">
        <w:rPr>
          <w:rFonts w:ascii="Times New Roman" w:hAnsi="Times New Roman" w:cs="Times New Roman"/>
        </w:rPr>
        <w:t xml:space="preserve"> Nr. D1-401 „</w:t>
      </w:r>
      <w:proofErr w:type="spellStart"/>
      <w:r w:rsidRPr="0041777F">
        <w:rPr>
          <w:rFonts w:ascii="Times New Roman" w:hAnsi="Times New Roman" w:cs="Times New Roman"/>
        </w:rPr>
        <w:t>Dėl</w:t>
      </w:r>
      <w:proofErr w:type="spellEnd"/>
      <w:r w:rsidRPr="0041777F">
        <w:rPr>
          <w:rFonts w:ascii="Times New Roman" w:hAnsi="Times New Roman" w:cs="Times New Roman"/>
        </w:rPr>
        <w:t xml:space="preserve"> Lietuvos </w:t>
      </w:r>
      <w:proofErr w:type="spellStart"/>
      <w:r w:rsidRPr="0041777F">
        <w:rPr>
          <w:rFonts w:ascii="Times New Roman" w:hAnsi="Times New Roman" w:cs="Times New Roman"/>
        </w:rPr>
        <w:t>Respublikos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aplinkos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ministro</w:t>
      </w:r>
      <w:proofErr w:type="spellEnd"/>
      <w:r w:rsidRPr="0041777F">
        <w:rPr>
          <w:rFonts w:ascii="Times New Roman" w:hAnsi="Times New Roman" w:cs="Times New Roman"/>
        </w:rPr>
        <w:t xml:space="preserve"> 2011 m. </w:t>
      </w:r>
      <w:proofErr w:type="spellStart"/>
      <w:r w:rsidRPr="0041777F">
        <w:rPr>
          <w:rFonts w:ascii="Times New Roman" w:hAnsi="Times New Roman" w:cs="Times New Roman"/>
        </w:rPr>
        <w:t>birželio</w:t>
      </w:r>
      <w:proofErr w:type="spellEnd"/>
      <w:r w:rsidRPr="0041777F">
        <w:rPr>
          <w:rFonts w:ascii="Times New Roman" w:hAnsi="Times New Roman" w:cs="Times New Roman"/>
        </w:rPr>
        <w:t xml:space="preserve"> 28 d. </w:t>
      </w:r>
      <w:proofErr w:type="spellStart"/>
      <w:r w:rsidRPr="0041777F">
        <w:rPr>
          <w:rFonts w:ascii="Times New Roman" w:hAnsi="Times New Roman" w:cs="Times New Roman"/>
        </w:rPr>
        <w:t>įsakymo</w:t>
      </w:r>
      <w:proofErr w:type="spellEnd"/>
      <w:r w:rsidRPr="0041777F">
        <w:rPr>
          <w:rFonts w:ascii="Times New Roman" w:hAnsi="Times New Roman" w:cs="Times New Roman"/>
        </w:rPr>
        <w:t xml:space="preserve"> Nr. D1-508 „</w:t>
      </w:r>
      <w:proofErr w:type="spellStart"/>
      <w:r w:rsidRPr="0041777F">
        <w:rPr>
          <w:rFonts w:ascii="Times New Roman" w:hAnsi="Times New Roman" w:cs="Times New Roman"/>
        </w:rPr>
        <w:t>Dėl</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Produktų</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kurių</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viešiesiems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pirkimams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pirkimams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taikytini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Aplinkos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apsaugos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kriterijai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sąrašo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Aplinkos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apsaugos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kriterijų</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aplinkos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apsaugos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kriterijų</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kuriuos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perkančiosios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organizacijos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perkantieji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subjektai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turi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taikyti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pirkdami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prekes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paslaugas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darbus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taikymo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tvarkos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aprašo</w:t>
      </w:r>
      <w:proofErr w:type="spellEnd"/>
      <w:r w:rsidRPr="0041777F">
        <w:rPr>
          <w:rFonts w:ascii="Times New Roman" w:hAnsi="Times New Roman" w:cs="Times New Roman"/>
        </w:rPr>
        <w:t xml:space="preserve"> </w:t>
      </w:r>
      <w:proofErr w:type="spellStart"/>
      <w:proofErr w:type="gramStart"/>
      <w:r w:rsidRPr="0041777F">
        <w:rPr>
          <w:rFonts w:ascii="Times New Roman" w:hAnsi="Times New Roman" w:cs="Times New Roman"/>
        </w:rPr>
        <w:t>patvirtinimo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pakeitimo</w:t>
      </w:r>
      <w:proofErr w:type="spellEnd"/>
      <w:proofErr w:type="gramEnd"/>
      <w:r w:rsidRPr="0041777F">
        <w:rPr>
          <w:rFonts w:ascii="Times New Roman" w:hAnsi="Times New Roman" w:cs="Times New Roman"/>
        </w:rPr>
        <w:t>“ 4.4.4.4. p. „</w:t>
      </w:r>
      <w:proofErr w:type="spellStart"/>
      <w:r w:rsidRPr="0041777F">
        <w:rPr>
          <w:rFonts w:ascii="Times New Roman" w:hAnsi="Times New Roman" w:cs="Times New Roman"/>
        </w:rPr>
        <w:t>prekė</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yra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tvirta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ilgaamžė</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funkcionali</w:t>
      </w:r>
      <w:proofErr w:type="spellEnd"/>
      <w:r w:rsidRPr="0041777F">
        <w:rPr>
          <w:rFonts w:ascii="Times New Roman" w:hAnsi="Times New Roman" w:cs="Times New Roman"/>
        </w:rPr>
        <w:t xml:space="preserve">, ji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jos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sudedamosios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dalys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tinka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naudoti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daug</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kartų</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lengvai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pataisomos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proofErr w:type="gramStart"/>
      <w:r w:rsidRPr="0041777F">
        <w:rPr>
          <w:rFonts w:ascii="Times New Roman" w:hAnsi="Times New Roman" w:cs="Times New Roman"/>
        </w:rPr>
        <w:t>pakeičiamos</w:t>
      </w:r>
      <w:proofErr w:type="spellEnd"/>
      <w:r w:rsidRPr="0041777F">
        <w:rPr>
          <w:rFonts w:ascii="Times New Roman" w:hAnsi="Times New Roman" w:cs="Times New Roman"/>
        </w:rPr>
        <w:t>“</w:t>
      </w:r>
      <w:proofErr w:type="gramEnd"/>
      <w:r w:rsidRPr="0041777F">
        <w:rPr>
          <w:rFonts w:ascii="Times New Roman" w:hAnsi="Times New Roman" w:cs="Times New Roman"/>
        </w:rPr>
        <w:t>.</w:t>
      </w:r>
    </w:p>
    <w:p w14:paraId="56B9B58A" w14:textId="77777777" w:rsidR="006C0782" w:rsidRPr="0041777F" w:rsidRDefault="006C0782" w:rsidP="006C0782">
      <w:pPr>
        <w:spacing w:after="0"/>
        <w:jc w:val="both"/>
        <w:rPr>
          <w:rFonts w:ascii="Times New Roman" w:hAnsi="Times New Roman" w:cs="Times New Roman"/>
        </w:rPr>
      </w:pPr>
    </w:p>
    <w:p w14:paraId="2D765F01" w14:textId="77777777" w:rsidR="006C0782" w:rsidRPr="0041777F" w:rsidRDefault="006C0782" w:rsidP="006C0782">
      <w:pPr>
        <w:spacing w:after="0"/>
        <w:jc w:val="both"/>
        <w:rPr>
          <w:rFonts w:ascii="Times New Roman" w:hAnsi="Times New Roman" w:cs="Times New Roman"/>
        </w:rPr>
      </w:pPr>
      <w:proofErr w:type="spellStart"/>
      <w:r w:rsidRPr="0041777F">
        <w:rPr>
          <w:rFonts w:ascii="Times New Roman" w:hAnsi="Times New Roman" w:cs="Times New Roman"/>
        </w:rPr>
        <w:t>Perkama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Prekė</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turi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būti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tvirta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ilgaamžė</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jos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sudedamosios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dalys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lengvai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pataisomos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pakeičiamos</w:t>
      </w:r>
      <w:proofErr w:type="spellEnd"/>
      <w:r w:rsidRPr="0041777F">
        <w:rPr>
          <w:rFonts w:ascii="Times New Roman" w:hAnsi="Times New Roman" w:cs="Times New Roman"/>
        </w:rPr>
        <w:t>.</w:t>
      </w:r>
    </w:p>
    <w:p w14:paraId="3127641C" w14:textId="77777777" w:rsidR="006C0782" w:rsidRPr="0041777F" w:rsidRDefault="006C0782" w:rsidP="006C0782">
      <w:pPr>
        <w:spacing w:after="0"/>
        <w:jc w:val="both"/>
        <w:rPr>
          <w:rFonts w:ascii="Times New Roman" w:hAnsi="Times New Roman" w:cs="Times New Roman"/>
          <w:b/>
          <w:bCs/>
        </w:rPr>
      </w:pPr>
    </w:p>
    <w:p w14:paraId="4F38493B" w14:textId="77777777" w:rsidR="006C0782" w:rsidRPr="0041777F" w:rsidRDefault="006C0782" w:rsidP="006C0782">
      <w:pPr>
        <w:spacing w:after="0"/>
        <w:jc w:val="both"/>
        <w:rPr>
          <w:rFonts w:ascii="Times New Roman" w:hAnsi="Times New Roman" w:cs="Times New Roman"/>
          <w:b/>
          <w:bCs/>
        </w:rPr>
      </w:pPr>
      <w:proofErr w:type="spellStart"/>
      <w:r w:rsidRPr="0041777F">
        <w:rPr>
          <w:rFonts w:ascii="Times New Roman" w:hAnsi="Times New Roman" w:cs="Times New Roman"/>
          <w:b/>
          <w:bCs/>
        </w:rPr>
        <w:t>Atitiktį</w:t>
      </w:r>
      <w:proofErr w:type="spellEnd"/>
      <w:r w:rsidRPr="0041777F">
        <w:rPr>
          <w:rFonts w:ascii="Times New Roman" w:hAnsi="Times New Roman" w:cs="Times New Roman"/>
          <w:b/>
          <w:bCs/>
        </w:rPr>
        <w:t xml:space="preserve"> </w:t>
      </w:r>
      <w:proofErr w:type="spellStart"/>
      <w:r w:rsidRPr="0041777F">
        <w:rPr>
          <w:rFonts w:ascii="Times New Roman" w:hAnsi="Times New Roman" w:cs="Times New Roman"/>
          <w:b/>
          <w:bCs/>
        </w:rPr>
        <w:t>reikalavimams</w:t>
      </w:r>
      <w:proofErr w:type="spellEnd"/>
      <w:r w:rsidRPr="0041777F">
        <w:rPr>
          <w:rFonts w:ascii="Times New Roman" w:hAnsi="Times New Roman" w:cs="Times New Roman"/>
          <w:b/>
          <w:bCs/>
        </w:rPr>
        <w:t xml:space="preserve"> </w:t>
      </w:r>
      <w:proofErr w:type="spellStart"/>
      <w:r w:rsidRPr="0041777F">
        <w:rPr>
          <w:rFonts w:ascii="Times New Roman" w:hAnsi="Times New Roman" w:cs="Times New Roman"/>
          <w:b/>
          <w:bCs/>
        </w:rPr>
        <w:t>įrodantys</w:t>
      </w:r>
      <w:proofErr w:type="spellEnd"/>
      <w:r w:rsidRPr="0041777F">
        <w:rPr>
          <w:rFonts w:ascii="Times New Roman" w:hAnsi="Times New Roman" w:cs="Times New Roman"/>
          <w:b/>
          <w:bCs/>
        </w:rPr>
        <w:t xml:space="preserve"> </w:t>
      </w:r>
      <w:proofErr w:type="spellStart"/>
      <w:r w:rsidRPr="0041777F">
        <w:rPr>
          <w:rFonts w:ascii="Times New Roman" w:hAnsi="Times New Roman" w:cs="Times New Roman"/>
          <w:b/>
          <w:bCs/>
        </w:rPr>
        <w:t>dokumentai</w:t>
      </w:r>
      <w:proofErr w:type="spellEnd"/>
      <w:r w:rsidRPr="0041777F">
        <w:rPr>
          <w:rFonts w:ascii="Times New Roman" w:hAnsi="Times New Roman" w:cs="Times New Roman"/>
          <w:b/>
          <w:bCs/>
        </w:rPr>
        <w:t>:</w:t>
      </w:r>
    </w:p>
    <w:p w14:paraId="4522BB23" w14:textId="2650CB39" w:rsidR="00FF13C9" w:rsidRPr="006C0782" w:rsidRDefault="006C0782" w:rsidP="006C0782">
      <w:pPr>
        <w:jc w:val="both"/>
        <w:rPr>
          <w:rFonts w:ascii="Times New Roman" w:hAnsi="Times New Roman" w:cs="Times New Roman"/>
        </w:rPr>
      </w:pPr>
      <w:proofErr w:type="spellStart"/>
      <w:r w:rsidRPr="0041777F">
        <w:rPr>
          <w:rFonts w:ascii="Times New Roman" w:hAnsi="Times New Roman" w:cs="Times New Roman"/>
        </w:rPr>
        <w:t>Tiekėjas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turi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pateikti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gamintojo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tiekėjo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techninius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dokumentus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gamintojo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importuotojo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tiekėjo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rašytinį</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patvirtinimą</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tiekėjo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deklaraciją</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pateikiant</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objektyvius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įrodymus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aplinkosauginę</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produkto</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deklaraciją</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produktų</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kurie</w:t>
      </w:r>
      <w:proofErr w:type="spellEnd"/>
      <w:r w:rsidRPr="0041777F">
        <w:rPr>
          <w:rFonts w:ascii="Times New Roman" w:hAnsi="Times New Roman" w:cs="Times New Roman"/>
        </w:rPr>
        <w:t xml:space="preserve"> bus </w:t>
      </w:r>
      <w:proofErr w:type="spellStart"/>
      <w:r w:rsidRPr="0041777F">
        <w:rPr>
          <w:rFonts w:ascii="Times New Roman" w:hAnsi="Times New Roman" w:cs="Times New Roman"/>
        </w:rPr>
        <w:t>naudojami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atlikti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paslaugą</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darbą</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sąrašą</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dokumentus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įrodančius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kad</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priemonės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produktai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atitinka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nustatytus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reikalavimus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kad</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prekė</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yra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tvirta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ilgaamžė</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funkcionali</w:t>
      </w:r>
      <w:proofErr w:type="spellEnd"/>
      <w:r w:rsidRPr="0041777F">
        <w:rPr>
          <w:rFonts w:ascii="Times New Roman" w:hAnsi="Times New Roman" w:cs="Times New Roman"/>
        </w:rPr>
        <w:t xml:space="preserve">, ji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jos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sudedamosios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dalys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tinka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naudoti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daug</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kartų</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lengvai</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pataisomos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ir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pakeičiamos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arba</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kitus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lygiaverčius</w:t>
      </w:r>
      <w:proofErr w:type="spellEnd"/>
      <w:r w:rsidRPr="0041777F">
        <w:rPr>
          <w:rFonts w:ascii="Times New Roman" w:hAnsi="Times New Roman" w:cs="Times New Roman"/>
        </w:rPr>
        <w:t xml:space="preserve"> </w:t>
      </w:r>
      <w:proofErr w:type="spellStart"/>
      <w:r w:rsidRPr="0041777F">
        <w:rPr>
          <w:rFonts w:ascii="Times New Roman" w:hAnsi="Times New Roman" w:cs="Times New Roman"/>
        </w:rPr>
        <w:t>įrodymus</w:t>
      </w:r>
      <w:proofErr w:type="spellEnd"/>
      <w:r w:rsidRPr="0041777F">
        <w:rPr>
          <w:rFonts w:ascii="Times New Roman" w:hAnsi="Times New Roman" w:cs="Times New Roman"/>
        </w:rPr>
        <w:t>.</w:t>
      </w:r>
    </w:p>
    <w:sectPr w:rsidR="00FF13C9" w:rsidRPr="006C0782">
      <w:headerReference w:type="default" r:id="rId7"/>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4ED6" w14:textId="77777777" w:rsidR="00124748" w:rsidRDefault="00124748" w:rsidP="002E6CD4">
      <w:pPr>
        <w:spacing w:after="0" w:line="240" w:lineRule="auto"/>
      </w:pPr>
      <w:r>
        <w:separator/>
      </w:r>
    </w:p>
  </w:endnote>
  <w:endnote w:type="continuationSeparator" w:id="0">
    <w:p w14:paraId="41BD9D80" w14:textId="77777777" w:rsidR="00124748" w:rsidRDefault="00124748" w:rsidP="002E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9089" w14:textId="77777777" w:rsidR="00124748" w:rsidRDefault="00124748" w:rsidP="002E6CD4">
      <w:pPr>
        <w:spacing w:after="0" w:line="240" w:lineRule="auto"/>
      </w:pPr>
      <w:r>
        <w:separator/>
      </w:r>
    </w:p>
  </w:footnote>
  <w:footnote w:type="continuationSeparator" w:id="0">
    <w:p w14:paraId="126FC3CD" w14:textId="77777777" w:rsidR="00124748" w:rsidRDefault="00124748" w:rsidP="002E6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4B14" w14:textId="77777777" w:rsidR="006E0517" w:rsidRPr="00CD2574" w:rsidRDefault="006E0517" w:rsidP="006E0517">
    <w:pPr>
      <w:spacing w:line="100" w:lineRule="atLeast"/>
      <w:ind w:firstLine="6096"/>
      <w:jc w:val="both"/>
      <w:rPr>
        <w:sz w:val="20"/>
        <w:szCs w:val="20"/>
      </w:rPr>
    </w:pPr>
    <w:proofErr w:type="spellStart"/>
    <w:r w:rsidRPr="00CD2574">
      <w:rPr>
        <w:sz w:val="20"/>
        <w:szCs w:val="20"/>
      </w:rPr>
      <w:t>Konkurso</w:t>
    </w:r>
    <w:proofErr w:type="spellEnd"/>
    <w:r w:rsidRPr="00CD2574">
      <w:rPr>
        <w:sz w:val="20"/>
        <w:szCs w:val="20"/>
      </w:rPr>
      <w:t xml:space="preserve"> </w:t>
    </w:r>
    <w:proofErr w:type="spellStart"/>
    <w:r w:rsidRPr="00CD2574">
      <w:rPr>
        <w:sz w:val="20"/>
        <w:szCs w:val="20"/>
      </w:rPr>
      <w:t>sąlygų</w:t>
    </w:r>
    <w:proofErr w:type="spellEnd"/>
  </w:p>
  <w:p w14:paraId="42B92465" w14:textId="77777777" w:rsidR="006E0517" w:rsidRPr="00CD2574" w:rsidRDefault="006E0517" w:rsidP="006E0517">
    <w:pPr>
      <w:spacing w:line="100" w:lineRule="atLeast"/>
      <w:ind w:firstLine="6096"/>
      <w:jc w:val="both"/>
      <w:rPr>
        <w:sz w:val="20"/>
        <w:szCs w:val="20"/>
      </w:rPr>
    </w:pPr>
    <w:r w:rsidRPr="00CD2574">
      <w:rPr>
        <w:sz w:val="20"/>
        <w:szCs w:val="20"/>
      </w:rPr>
      <w:t xml:space="preserve">2 </w:t>
    </w:r>
    <w:proofErr w:type="spellStart"/>
    <w:r w:rsidRPr="00CD2574">
      <w:rPr>
        <w:sz w:val="20"/>
        <w:szCs w:val="20"/>
      </w:rPr>
      <w:t>priedas</w:t>
    </w:r>
    <w:proofErr w:type="spellEnd"/>
    <w:r w:rsidRPr="00CD2574">
      <w:rPr>
        <w:sz w:val="20"/>
        <w:szCs w:val="20"/>
      </w:rPr>
      <w:t xml:space="preserve"> „</w:t>
    </w:r>
    <w:proofErr w:type="spellStart"/>
    <w:r w:rsidRPr="00CD2574">
      <w:rPr>
        <w:sz w:val="20"/>
        <w:szCs w:val="20"/>
      </w:rPr>
      <w:t>Techninė</w:t>
    </w:r>
    <w:proofErr w:type="spellEnd"/>
    <w:r w:rsidRPr="00CD2574">
      <w:rPr>
        <w:sz w:val="20"/>
        <w:szCs w:val="20"/>
      </w:rPr>
      <w:t xml:space="preserve"> </w:t>
    </w:r>
    <w:proofErr w:type="spellStart"/>
    <w:proofErr w:type="gramStart"/>
    <w:r w:rsidRPr="00CD2574">
      <w:rPr>
        <w:sz w:val="20"/>
        <w:szCs w:val="20"/>
      </w:rPr>
      <w:t>specifikacija</w:t>
    </w:r>
    <w:proofErr w:type="spellEnd"/>
    <w:r w:rsidRPr="00CD2574">
      <w:rPr>
        <w:sz w:val="20"/>
        <w:szCs w:val="20"/>
      </w:rPr>
      <w:t>“</w:t>
    </w:r>
    <w:proofErr w:type="gramEnd"/>
  </w:p>
  <w:p w14:paraId="53B60058" w14:textId="77777777" w:rsidR="006E0517" w:rsidRPr="00CD2574" w:rsidRDefault="006E0517" w:rsidP="006E0517">
    <w:pPr>
      <w:jc w:val="right"/>
    </w:pPr>
  </w:p>
  <w:p w14:paraId="08381F04" w14:textId="77777777" w:rsidR="006E0517" w:rsidRDefault="006E0517" w:rsidP="006E0517">
    <w:pPr>
      <w:spacing w:line="100" w:lineRule="atLeast"/>
      <w:jc w:val="center"/>
      <w:rPr>
        <w:b/>
      </w:rPr>
    </w:pPr>
    <w:r w:rsidRPr="00CD2574">
      <w:rPr>
        <w:b/>
      </w:rPr>
      <w:t>TECHNINĖ SPECIFIKACIJA</w:t>
    </w:r>
  </w:p>
  <w:p w14:paraId="6C0A9745" w14:textId="77777777" w:rsidR="006E0517" w:rsidRPr="005340F7" w:rsidRDefault="006E0517" w:rsidP="006E0517">
    <w:pPr>
      <w:spacing w:after="0" w:line="100" w:lineRule="atLeast"/>
      <w:jc w:val="center"/>
      <w:rPr>
        <w:rFonts w:ascii="Times New Roman" w:hAnsi="Times New Roman" w:cs="Times New Roman"/>
        <w:b/>
      </w:rPr>
    </w:pPr>
  </w:p>
  <w:p w14:paraId="6D5A2275" w14:textId="77777777" w:rsidR="006E0517" w:rsidRPr="005340F7" w:rsidRDefault="006E0517" w:rsidP="006E0517">
    <w:pPr>
      <w:pStyle w:val="CommentText"/>
      <w:ind w:hanging="2"/>
      <w:jc w:val="both"/>
      <w:rPr>
        <w:rFonts w:ascii="Times New Roman" w:hAnsi="Times New Roman" w:cs="Times New Roman"/>
        <w:sz w:val="24"/>
        <w:szCs w:val="24"/>
      </w:rPr>
    </w:pPr>
    <w:proofErr w:type="spellStart"/>
    <w:r w:rsidRPr="005340F7">
      <w:rPr>
        <w:rFonts w:ascii="Times New Roman" w:hAnsi="Times New Roman" w:cs="Times New Roman"/>
        <w:sz w:val="24"/>
        <w:szCs w:val="24"/>
      </w:rPr>
      <w:t>Apibūdinant</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pirkimo</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objektą</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techninėje</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specifikacijoje</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ar</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kituose</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pirkimo</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dokumentuose</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galimai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nurodytas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konkretus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modelis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ar</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tiekimo</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šaltinis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konkretus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procesas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būdingas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konkretaus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tiekėjo</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tiekiamoms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prekėms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ar</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teikiamoms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paslaugoms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ar</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prekių</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ženklas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patentas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tipai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konkreti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kilmė</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ar</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gamyba</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sertifikatai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standartai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turi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būti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suprantami</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su</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žodžiais</w:t>
    </w:r>
    <w:proofErr w:type="spellEnd"/>
    <w:r w:rsidRPr="005340F7">
      <w:rPr>
        <w:rFonts w:ascii="Times New Roman" w:hAnsi="Times New Roman" w:cs="Times New Roman"/>
        <w:sz w:val="24"/>
        <w:szCs w:val="24"/>
      </w:rPr>
      <w:t xml:space="preserve"> „</w:t>
    </w:r>
    <w:proofErr w:type="spellStart"/>
    <w:r w:rsidRPr="005340F7">
      <w:rPr>
        <w:rFonts w:ascii="Times New Roman" w:hAnsi="Times New Roman" w:cs="Times New Roman"/>
        <w:sz w:val="24"/>
        <w:szCs w:val="24"/>
      </w:rPr>
      <w:t>arba</w:t>
    </w:r>
    <w:proofErr w:type="spellEnd"/>
    <w:r w:rsidRPr="005340F7">
      <w:rPr>
        <w:rFonts w:ascii="Times New Roman" w:hAnsi="Times New Roman" w:cs="Times New Roman"/>
        <w:sz w:val="24"/>
        <w:szCs w:val="24"/>
      </w:rPr>
      <w:t xml:space="preserve"> </w:t>
    </w:r>
    <w:proofErr w:type="spellStart"/>
    <w:proofErr w:type="gramStart"/>
    <w:r w:rsidRPr="005340F7">
      <w:rPr>
        <w:rFonts w:ascii="Times New Roman" w:hAnsi="Times New Roman" w:cs="Times New Roman"/>
        <w:sz w:val="24"/>
        <w:szCs w:val="24"/>
      </w:rPr>
      <w:t>lygiavertis</w:t>
    </w:r>
    <w:proofErr w:type="spellEnd"/>
    <w:r w:rsidRPr="005340F7">
      <w:rPr>
        <w:rFonts w:ascii="Times New Roman" w:hAnsi="Times New Roman" w:cs="Times New Roman"/>
        <w:sz w:val="24"/>
        <w:szCs w:val="24"/>
      </w:rPr>
      <w:t>“</w:t>
    </w:r>
    <w:proofErr w:type="gramEnd"/>
    <w:r w:rsidRPr="005340F7">
      <w:rPr>
        <w:rFonts w:ascii="Times New Roman" w:hAnsi="Times New Roman" w:cs="Times New Roman"/>
        <w:sz w:val="24"/>
        <w:szCs w:val="24"/>
      </w:rPr>
      <w:t>.</w:t>
    </w:r>
  </w:p>
  <w:p w14:paraId="27C930A1" w14:textId="77777777" w:rsidR="006E0517" w:rsidRDefault="006E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A4F2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0637BB6"/>
    <w:multiLevelType w:val="multilevel"/>
    <w:tmpl w:val="3E442E6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6513708"/>
    <w:multiLevelType w:val="hybridMultilevel"/>
    <w:tmpl w:val="C0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89401F"/>
    <w:multiLevelType w:val="multilevel"/>
    <w:tmpl w:val="56BCE5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34697394">
    <w:abstractNumId w:val="1"/>
  </w:num>
  <w:num w:numId="2" w16cid:durableId="1033923532">
    <w:abstractNumId w:val="0"/>
  </w:num>
  <w:num w:numId="3" w16cid:durableId="1373963688">
    <w:abstractNumId w:val="3"/>
  </w:num>
  <w:num w:numId="4" w16cid:durableId="174702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C9"/>
    <w:rsid w:val="000825E5"/>
    <w:rsid w:val="000B15E4"/>
    <w:rsid w:val="00124748"/>
    <w:rsid w:val="001F5B18"/>
    <w:rsid w:val="00220E84"/>
    <w:rsid w:val="002E6CD4"/>
    <w:rsid w:val="00445B54"/>
    <w:rsid w:val="005340F7"/>
    <w:rsid w:val="005C2E68"/>
    <w:rsid w:val="006C0782"/>
    <w:rsid w:val="006E0517"/>
    <w:rsid w:val="006E5081"/>
    <w:rsid w:val="007427E7"/>
    <w:rsid w:val="00992EAB"/>
    <w:rsid w:val="00A41738"/>
    <w:rsid w:val="00AF09A9"/>
    <w:rsid w:val="00BB22D2"/>
    <w:rsid w:val="00BE65D3"/>
    <w:rsid w:val="00C507F9"/>
    <w:rsid w:val="00E07F53"/>
    <w:rsid w:val="00E60B15"/>
    <w:rsid w:val="00E86CD0"/>
    <w:rsid w:val="00F665F2"/>
    <w:rsid w:val="00FF13C9"/>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BEC7"/>
  <w15:docId w15:val="{7E091894-0F49-4DA3-8638-6429CA58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C50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6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6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6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50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C50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506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506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C506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C5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5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5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5064C"/>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5064C"/>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5064C"/>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5064C"/>
    <w:rPr>
      <w:i/>
      <w:iCs/>
      <w:color w:val="404040" w:themeColor="text1" w:themeTint="BF"/>
    </w:rPr>
  </w:style>
  <w:style w:type="character" w:styleId="IntenseEmphasis">
    <w:name w:val="Intense Emphasis"/>
    <w:basedOn w:val="DefaultParagraphFont"/>
    <w:uiPriority w:val="21"/>
    <w:qFormat/>
    <w:rsid w:val="00C5064C"/>
    <w:rPr>
      <w:i/>
      <w:iCs/>
      <w:color w:val="2F5496" w:themeColor="accent1" w:themeShade="BF"/>
    </w:rPr>
  </w:style>
  <w:style w:type="character" w:customStyle="1" w:styleId="IntenseQuoteChar">
    <w:name w:val="Intense Quote Char"/>
    <w:basedOn w:val="DefaultParagraphFont"/>
    <w:link w:val="IntenseQuote"/>
    <w:uiPriority w:val="30"/>
    <w:qFormat/>
    <w:rsid w:val="00C5064C"/>
    <w:rPr>
      <w:i/>
      <w:iCs/>
      <w:color w:val="2F5496" w:themeColor="accent1" w:themeShade="BF"/>
    </w:rPr>
  </w:style>
  <w:style w:type="character" w:styleId="IntenseReference">
    <w:name w:val="Intense Reference"/>
    <w:basedOn w:val="DefaultParagraphFont"/>
    <w:uiPriority w:val="32"/>
    <w:qFormat/>
    <w:rsid w:val="00C5064C"/>
    <w:rPr>
      <w:b/>
      <w:bCs/>
      <w:smallCaps/>
      <w:color w:val="2F5496" w:themeColor="accent1" w:themeShade="BF"/>
      <w:spacing w:val="5"/>
    </w:rPr>
  </w:style>
  <w:style w:type="character" w:customStyle="1" w:styleId="HeaderChar">
    <w:name w:val="Header Char"/>
    <w:basedOn w:val="DefaultParagraphFont"/>
    <w:link w:val="Header"/>
    <w:uiPriority w:val="99"/>
    <w:qFormat/>
    <w:rsid w:val="000E641A"/>
  </w:style>
  <w:style w:type="character" w:customStyle="1" w:styleId="FooterChar">
    <w:name w:val="Footer Char"/>
    <w:basedOn w:val="DefaultParagraphFont"/>
    <w:link w:val="Footer"/>
    <w:uiPriority w:val="99"/>
    <w:qFormat/>
    <w:rsid w:val="000E641A"/>
  </w:style>
  <w:style w:type="character" w:styleId="CommentReference">
    <w:name w:val="annotation reference"/>
    <w:basedOn w:val="DefaultParagraphFont"/>
    <w:uiPriority w:val="99"/>
    <w:semiHidden/>
    <w:unhideWhenUsed/>
    <w:qFormat/>
    <w:rsid w:val="00022401"/>
    <w:rPr>
      <w:sz w:val="16"/>
      <w:szCs w:val="16"/>
    </w:rPr>
  </w:style>
  <w:style w:type="character" w:customStyle="1" w:styleId="CommentTextChar">
    <w:name w:val="Comment Text Char"/>
    <w:basedOn w:val="DefaultParagraphFont"/>
    <w:link w:val="CommentText"/>
    <w:uiPriority w:val="99"/>
    <w:qFormat/>
    <w:rsid w:val="00022401"/>
    <w:rPr>
      <w:sz w:val="20"/>
      <w:szCs w:val="20"/>
    </w:rPr>
  </w:style>
  <w:style w:type="character" w:customStyle="1" w:styleId="CommentSubjectChar">
    <w:name w:val="Comment Subject Char"/>
    <w:basedOn w:val="CommentTextChar"/>
    <w:link w:val="CommentSubject"/>
    <w:uiPriority w:val="99"/>
    <w:semiHidden/>
    <w:qFormat/>
    <w:rsid w:val="00022401"/>
    <w:rPr>
      <w:b/>
      <w:bCs/>
      <w:sz w:val="20"/>
      <w:szCs w:val="20"/>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C5064C"/>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5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64C"/>
    <w:pPr>
      <w:spacing w:before="160"/>
      <w:jc w:val="center"/>
    </w:pPr>
    <w:rPr>
      <w:i/>
      <w:iCs/>
      <w:color w:val="404040" w:themeColor="text1" w:themeTint="BF"/>
    </w:rPr>
  </w:style>
  <w:style w:type="paragraph" w:styleId="ListParagraph">
    <w:name w:val="List Paragraph"/>
    <w:basedOn w:val="Normal"/>
    <w:uiPriority w:val="34"/>
    <w:qFormat/>
    <w:rsid w:val="00C5064C"/>
    <w:pPr>
      <w:ind w:left="720"/>
      <w:contextualSpacing/>
    </w:pPr>
  </w:style>
  <w:style w:type="paragraph" w:styleId="IntenseQuote">
    <w:name w:val="Intense Quote"/>
    <w:basedOn w:val="Normal"/>
    <w:next w:val="Normal"/>
    <w:link w:val="IntenseQuoteChar"/>
    <w:uiPriority w:val="30"/>
    <w:qFormat/>
    <w:rsid w:val="00C5064C"/>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E641A"/>
    <w:pPr>
      <w:tabs>
        <w:tab w:val="center" w:pos="4680"/>
        <w:tab w:val="right" w:pos="9360"/>
      </w:tabs>
      <w:spacing w:after="0" w:line="240" w:lineRule="auto"/>
    </w:pPr>
  </w:style>
  <w:style w:type="paragraph" w:styleId="Footer">
    <w:name w:val="footer"/>
    <w:basedOn w:val="Normal"/>
    <w:link w:val="FooterChar"/>
    <w:uiPriority w:val="99"/>
    <w:unhideWhenUsed/>
    <w:rsid w:val="000E641A"/>
    <w:pPr>
      <w:tabs>
        <w:tab w:val="center" w:pos="4680"/>
        <w:tab w:val="right" w:pos="9360"/>
      </w:tabs>
      <w:spacing w:after="0" w:line="240" w:lineRule="auto"/>
    </w:pPr>
  </w:style>
  <w:style w:type="paragraph" w:styleId="CommentText">
    <w:name w:val="annotation text"/>
    <w:basedOn w:val="Normal"/>
    <w:link w:val="CommentTextChar"/>
    <w:uiPriority w:val="99"/>
    <w:unhideWhenUsed/>
    <w:qFormat/>
    <w:rsid w:val="0002240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22401"/>
    <w:rPr>
      <w:b/>
      <w:bCs/>
    </w:rPr>
  </w:style>
  <w:style w:type="paragraph" w:styleId="Revision">
    <w:name w:val="Revision"/>
    <w:hidden/>
    <w:uiPriority w:val="99"/>
    <w:semiHidden/>
    <w:rsid w:val="006E5081"/>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Petrulionienė</dc:creator>
  <dc:description/>
  <cp:lastModifiedBy>NVSPL58</cp:lastModifiedBy>
  <cp:revision>5</cp:revision>
  <dcterms:created xsi:type="dcterms:W3CDTF">2025-11-13T05:29:00Z</dcterms:created>
  <dcterms:modified xsi:type="dcterms:W3CDTF">2025-11-16T17:40:00Z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