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14DD2"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14DD2"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14DD2"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14DD2"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14DD2"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14DD2"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14DD2"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14DD2"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14DD2"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14DD2"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14DD2"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14DD2"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14DD2"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14DD2"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14DD2"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14DD2"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14DD2"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14DD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4C2BD9E"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lastRenderedPageBreak/>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lastRenderedPageBreak/>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lastRenderedPageBreak/>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DF11A22"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lastRenderedPageBreak/>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 xml:space="preserve">pasitikrinti, ar anksčiau pateiktas </w:t>
      </w:r>
      <w:r w:rsidR="001A5DC7" w:rsidRPr="00414F26">
        <w:rPr>
          <w:rStyle w:val="normaltextrun"/>
          <w:rFonts w:cstheme="minorHAnsi"/>
          <w:color w:val="000000"/>
          <w:shd w:val="clear" w:color="auto" w:fill="FFFFFF"/>
        </w:rPr>
        <w:lastRenderedPageBreak/>
        <w:t>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w:t>
      </w:r>
      <w:r w:rsidR="6293876F" w:rsidRPr="007B2DBE">
        <w:rPr>
          <w:rFonts w:eastAsia="Arial" w:cstheme="minorHAnsi"/>
        </w:rPr>
        <w:lastRenderedPageBreak/>
        <w:t xml:space="preserve">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w:t>
      </w:r>
      <w:r w:rsidR="004253D6" w:rsidRPr="79BE1902">
        <w:lastRenderedPageBreak/>
        <w:t>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lastRenderedPageBreak/>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lastRenderedPageBreak/>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w:t>
      </w:r>
      <w:r w:rsidRPr="00C54915">
        <w:rPr>
          <w:rFonts w:cstheme="minorHAnsi"/>
        </w:rPr>
        <w:lastRenderedPageBreak/>
        <w:t>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lastRenderedPageBreak/>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lastRenderedPageBreak/>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w:t>
      </w:r>
      <w:r w:rsidRPr="0077267D">
        <w:lastRenderedPageBreak/>
        <w:t>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w:t>
      </w:r>
      <w:r w:rsidRPr="00692A55">
        <w:rPr>
          <w:rFonts w:eastAsia="Times New Roman" w:cstheme="minorHAnsi"/>
          <w:color w:val="000000"/>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 xml:space="preserve">Iškilus CVP IS </w:t>
      </w:r>
      <w:r w:rsidR="00265B06" w:rsidRPr="00692A55">
        <w:rPr>
          <w:rFonts w:eastAsia="Times New Roman" w:cstheme="minorHAnsi"/>
          <w:color w:val="000000"/>
        </w:rPr>
        <w:lastRenderedPageBreak/>
        <w:t>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w:t>
      </w:r>
      <w:r>
        <w:rPr>
          <w:rFonts w:eastAsia="Times New Roman"/>
          <w:color w:val="000000" w:themeColor="text1"/>
        </w:rPr>
        <w:lastRenderedPageBreak/>
        <w:t xml:space="preserve">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w:t>
      </w:r>
      <w:r w:rsidRPr="2EE6B841">
        <w:rPr>
          <w:rStyle w:val="ui-provider"/>
        </w:rPr>
        <w:lastRenderedPageBreak/>
        <w:t>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w:t>
      </w:r>
      <w:r w:rsidR="5C1D5905" w:rsidRPr="001566DB">
        <w:rPr>
          <w:rFonts w:eastAsia="Arial" w:cstheme="minorHAnsi"/>
          <w:color w:val="000000" w:themeColor="text1"/>
        </w:rPr>
        <w:lastRenderedPageBreak/>
        <w:t xml:space="preserve">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lastRenderedPageBreak/>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kokybės vadybos siste</w:t>
      </w:r>
      <w:r w:rsidR="006A38FE" w:rsidRPr="79BE1902">
        <w:rPr>
          <w:rFonts w:eastAsia="Times New Roman"/>
        </w:rPr>
        <w:lastRenderedPageBreak/>
        <w:t xml:space="preserv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lastRenderedPageBreak/>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1A270" w14:textId="77777777" w:rsidR="00014DD2" w:rsidRDefault="00014DD2" w:rsidP="00D05666">
      <w:r>
        <w:separator/>
      </w:r>
    </w:p>
  </w:endnote>
  <w:endnote w:type="continuationSeparator" w:id="0">
    <w:p w14:paraId="4344B51C" w14:textId="77777777" w:rsidR="00014DD2" w:rsidRDefault="00014DD2" w:rsidP="00D05666">
      <w:r>
        <w:continuationSeparator/>
      </w:r>
    </w:p>
  </w:endnote>
  <w:endnote w:type="continuationNotice" w:id="1">
    <w:p w14:paraId="0E7CD38C" w14:textId="77777777" w:rsidR="00014DD2" w:rsidRDefault="00014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2EF67" w14:textId="77777777" w:rsidR="00014DD2" w:rsidRDefault="00014DD2" w:rsidP="00D05666">
      <w:r>
        <w:separator/>
      </w:r>
    </w:p>
  </w:footnote>
  <w:footnote w:type="continuationSeparator" w:id="0">
    <w:p w14:paraId="59688346" w14:textId="77777777" w:rsidR="00014DD2" w:rsidRDefault="00014DD2" w:rsidP="00D05666">
      <w:r>
        <w:continuationSeparator/>
      </w:r>
    </w:p>
  </w:footnote>
  <w:footnote w:type="continuationNotice" w:id="1">
    <w:p w14:paraId="01C8E42D" w14:textId="77777777" w:rsidR="00014DD2" w:rsidRDefault="00014DD2">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1C9CC3F9"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396D37A" w:rsidR="00285B02" w:rsidRPr="00F122A8" w:rsidRDefault="00285B02">
        <w:pPr>
          <w:pStyle w:val="Header"/>
          <w:jc w:val="center"/>
        </w:pPr>
        <w:r w:rsidRPr="00F122A8">
          <w:fldChar w:fldCharType="begin"/>
        </w:r>
        <w:r w:rsidRPr="00F122A8">
          <w:instrText>PAGE   \* MERGEFORMAT</w:instrText>
        </w:r>
        <w:r w:rsidRPr="00F122A8">
          <w:fldChar w:fldCharType="separate"/>
        </w:r>
        <w:r w:rsidR="00805E35">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4DD2"/>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3713"/>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5CF"/>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E35"/>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01F86"/>
    <w:rsid w:val="006228B2"/>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42C1E"/>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BB559-E95B-4BE3-86A8-0B683022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33292</Words>
  <Characters>18977</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2025-11-18T11:37:00Z</dcterms:created>
  <dcterms:modified xsi:type="dcterms:W3CDTF">2025-11-18T11:37:00Z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