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5015" w14:textId="6D540EA6" w:rsidR="003B7399" w:rsidRDefault="00DE5A75" w:rsidP="00197F1B">
      <w:pPr>
        <w:jc w:val="right"/>
        <w:rPr>
          <w:rFonts w:ascii="Arial" w:hAnsi="Arial" w:cs="Arial"/>
          <w:sz w:val="20"/>
          <w:szCs w:val="20"/>
          <w:lang w:val="en-US"/>
        </w:rPr>
      </w:pPr>
      <w:r>
        <w:rPr>
          <w:rFonts w:ascii="Arial" w:hAnsi="Arial" w:cs="Arial"/>
          <w:sz w:val="20"/>
          <w:szCs w:val="20"/>
        </w:rPr>
        <w:t>SPS p</w:t>
      </w:r>
      <w:r w:rsidR="00197F1B" w:rsidRPr="00C467F4">
        <w:rPr>
          <w:rFonts w:ascii="Arial" w:hAnsi="Arial" w:cs="Arial"/>
          <w:sz w:val="20"/>
          <w:szCs w:val="20"/>
        </w:rPr>
        <w:t xml:space="preserve">riedas Nr. </w:t>
      </w:r>
      <w:r w:rsidR="00103AAF">
        <w:rPr>
          <w:rFonts w:ascii="Arial" w:hAnsi="Arial" w:cs="Arial"/>
          <w:sz w:val="20"/>
          <w:szCs w:val="20"/>
        </w:rPr>
        <w:t>4</w:t>
      </w:r>
    </w:p>
    <w:p w14:paraId="6307FB16" w14:textId="30670D23" w:rsidR="00197F1B" w:rsidRPr="00BA4F5F" w:rsidRDefault="00197F1B" w:rsidP="00197F1B">
      <w:pPr>
        <w:tabs>
          <w:tab w:val="left" w:pos="480"/>
        </w:tabs>
        <w:spacing w:before="60" w:after="60"/>
        <w:jc w:val="center"/>
        <w:rPr>
          <w:rFonts w:ascii="Arial" w:hAnsi="Arial" w:cs="Arial"/>
          <w:b/>
          <w:bCs/>
          <w:i/>
          <w:color w:val="FF0000"/>
          <w:sz w:val="20"/>
          <w:szCs w:val="20"/>
          <w:u w:val="single"/>
        </w:rPr>
      </w:pPr>
      <w:r w:rsidRPr="00BA4F5F">
        <w:rPr>
          <w:rFonts w:ascii="Arial" w:hAnsi="Arial" w:cs="Arial"/>
          <w:b/>
          <w:bCs/>
          <w:sz w:val="20"/>
          <w:szCs w:val="20"/>
        </w:rPr>
        <w:t xml:space="preserve">PASIŪLYMŲ EKONOMINIO NAUDINGUMO VERTINIMO METODIKA </w:t>
      </w:r>
    </w:p>
    <w:p w14:paraId="44386371" w14:textId="77777777" w:rsidR="00197F1B" w:rsidRPr="00BA4F5F" w:rsidRDefault="00197F1B" w:rsidP="00197F1B">
      <w:pPr>
        <w:tabs>
          <w:tab w:val="left" w:pos="480"/>
        </w:tabs>
        <w:spacing w:before="60" w:after="60"/>
        <w:rPr>
          <w:rFonts w:ascii="Arial" w:hAnsi="Arial" w:cs="Arial"/>
          <w:sz w:val="20"/>
          <w:szCs w:val="20"/>
        </w:rPr>
      </w:pPr>
    </w:p>
    <w:p w14:paraId="009DEC56" w14:textId="77777777" w:rsidR="00507ED0" w:rsidRPr="00C1208C" w:rsidRDefault="00507ED0" w:rsidP="00507ED0">
      <w:pPr>
        <w:numPr>
          <w:ilvl w:val="0"/>
          <w:numId w:val="1"/>
        </w:numPr>
        <w:tabs>
          <w:tab w:val="left" w:pos="567"/>
        </w:tabs>
        <w:spacing w:before="60" w:after="60" w:line="240" w:lineRule="auto"/>
        <w:ind w:left="0" w:firstLine="0"/>
        <w:jc w:val="both"/>
        <w:rPr>
          <w:rFonts w:ascii="Arial" w:hAnsi="Arial" w:cs="Arial"/>
          <w:sz w:val="20"/>
          <w:szCs w:val="20"/>
        </w:rPr>
      </w:pPr>
      <w:r w:rsidRPr="00C1208C">
        <w:rPr>
          <w:rFonts w:ascii="Arial" w:hAnsi="Arial" w:cs="Arial"/>
          <w:sz w:val="20"/>
          <w:szCs w:val="20"/>
        </w:rPr>
        <w:t>Šiame Priede pateikiami ekonomiškai naudingiausio Pasiūlymo vertinimo kriterijai, jų parametrai, lyginamieji svoriai, formulės, pagal kurias bus skaičiuojamas pasiūlymų ekonominis naudingumas, aprašymas.</w:t>
      </w:r>
    </w:p>
    <w:p w14:paraId="703E11CA" w14:textId="77777777" w:rsidR="00197F1B" w:rsidRPr="00BA4F5F" w:rsidRDefault="00197F1B" w:rsidP="00197F1B">
      <w:pPr>
        <w:spacing w:before="60" w:after="60"/>
        <w:ind w:left="284"/>
        <w:jc w:val="both"/>
        <w:rPr>
          <w:rFonts w:ascii="Arial" w:hAnsi="Arial" w:cs="Arial"/>
          <w:sz w:val="20"/>
          <w:szCs w:val="20"/>
        </w:rPr>
      </w:pPr>
    </w:p>
    <w:p w14:paraId="183D634D" w14:textId="77777777" w:rsidR="00197F1B" w:rsidRPr="00BA4F5F" w:rsidRDefault="00197F1B" w:rsidP="00507ED0">
      <w:pPr>
        <w:spacing w:before="60" w:after="60"/>
        <w:jc w:val="right"/>
        <w:rPr>
          <w:rFonts w:ascii="Arial" w:hAnsi="Arial" w:cs="Arial"/>
          <w:i/>
          <w:sz w:val="20"/>
          <w:szCs w:val="20"/>
        </w:rPr>
      </w:pPr>
      <w:r w:rsidRPr="00BA4F5F">
        <w:rPr>
          <w:rFonts w:ascii="Arial" w:hAnsi="Arial" w:cs="Arial"/>
          <w:i/>
          <w:sz w:val="20"/>
          <w:szCs w:val="20"/>
        </w:rPr>
        <w:t>1 Lentelė. Pasiūlymų vertinimo kriterijai ir lyginamieji svoriai</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0096"/>
        <w:gridCol w:w="2929"/>
      </w:tblGrid>
      <w:tr w:rsidR="006B13FF" w:rsidRPr="00021FFB" w14:paraId="1955CC8F" w14:textId="77777777" w:rsidTr="00484E71">
        <w:trPr>
          <w:cantSplit/>
          <w:tblHeader/>
          <w:jc w:val="center"/>
        </w:trPr>
        <w:tc>
          <w:tcPr>
            <w:tcW w:w="295" w:type="pct"/>
            <w:shd w:val="clear" w:color="auto" w:fill="D9D9D9"/>
            <w:vAlign w:val="center"/>
          </w:tcPr>
          <w:p w14:paraId="66C1964C" w14:textId="77777777" w:rsidR="006B13FF" w:rsidRPr="00021FFB" w:rsidRDefault="006B13FF" w:rsidP="006B13FF">
            <w:pPr>
              <w:tabs>
                <w:tab w:val="num" w:pos="1080"/>
                <w:tab w:val="left" w:pos="7655"/>
              </w:tabs>
              <w:spacing w:after="0" w:line="240" w:lineRule="auto"/>
              <w:ind w:left="29"/>
              <w:contextualSpacing/>
              <w:jc w:val="center"/>
              <w:rPr>
                <w:rFonts w:ascii="Arial" w:hAnsi="Arial" w:cs="Arial"/>
                <w:b/>
                <w:noProof/>
                <w:sz w:val="20"/>
                <w:szCs w:val="20"/>
              </w:rPr>
            </w:pPr>
            <w:r w:rsidRPr="00021FFB">
              <w:rPr>
                <w:rFonts w:ascii="Arial" w:hAnsi="Arial" w:cs="Arial"/>
                <w:b/>
                <w:noProof/>
                <w:sz w:val="20"/>
                <w:szCs w:val="20"/>
              </w:rPr>
              <w:t>Eil. Nr.</w:t>
            </w:r>
          </w:p>
        </w:tc>
        <w:tc>
          <w:tcPr>
            <w:tcW w:w="3647" w:type="pct"/>
            <w:shd w:val="clear" w:color="auto" w:fill="D9D9D9"/>
            <w:vAlign w:val="center"/>
          </w:tcPr>
          <w:p w14:paraId="2BAFC215" w14:textId="3375A7AF" w:rsidR="006B13FF" w:rsidRPr="00021FFB" w:rsidRDefault="006B13FF" w:rsidP="006B13FF">
            <w:pPr>
              <w:tabs>
                <w:tab w:val="num" w:pos="1080"/>
                <w:tab w:val="left" w:pos="7655"/>
              </w:tabs>
              <w:spacing w:after="0" w:line="240" w:lineRule="auto"/>
              <w:ind w:left="720"/>
              <w:contextualSpacing/>
              <w:rPr>
                <w:rFonts w:ascii="Arial" w:hAnsi="Arial" w:cs="Arial"/>
                <w:b/>
                <w:noProof/>
                <w:sz w:val="20"/>
                <w:szCs w:val="20"/>
              </w:rPr>
            </w:pPr>
            <w:r w:rsidRPr="00BA4F5F">
              <w:rPr>
                <w:rFonts w:ascii="Arial" w:hAnsi="Arial" w:cs="Arial"/>
                <w:sz w:val="20"/>
                <w:szCs w:val="20"/>
              </w:rPr>
              <w:t>Vertinimo kriterijai ir parametrai</w:t>
            </w:r>
          </w:p>
        </w:tc>
        <w:tc>
          <w:tcPr>
            <w:tcW w:w="1058" w:type="pct"/>
            <w:shd w:val="clear" w:color="auto" w:fill="D9D9D9"/>
            <w:vAlign w:val="center"/>
          </w:tcPr>
          <w:p w14:paraId="10B560F8" w14:textId="77777777" w:rsidR="006B13FF" w:rsidRPr="00021FFB" w:rsidRDefault="006B13FF" w:rsidP="006B13FF">
            <w:pPr>
              <w:tabs>
                <w:tab w:val="num" w:pos="1080"/>
                <w:tab w:val="left" w:pos="7655"/>
              </w:tabs>
              <w:spacing w:after="0" w:line="240" w:lineRule="auto"/>
              <w:contextualSpacing/>
              <w:jc w:val="center"/>
              <w:rPr>
                <w:rFonts w:ascii="Arial" w:hAnsi="Arial" w:cs="Arial"/>
                <w:b/>
                <w:noProof/>
                <w:sz w:val="20"/>
                <w:szCs w:val="20"/>
              </w:rPr>
            </w:pPr>
            <w:r w:rsidRPr="00021FFB">
              <w:rPr>
                <w:rFonts w:ascii="Arial" w:hAnsi="Arial" w:cs="Arial"/>
                <w:b/>
                <w:noProof/>
                <w:sz w:val="20"/>
                <w:szCs w:val="20"/>
              </w:rPr>
              <w:t>Lyginamasis svoris ekonominio naudingumo įvertinime</w:t>
            </w:r>
          </w:p>
        </w:tc>
      </w:tr>
      <w:tr w:rsidR="006B13FF" w:rsidRPr="00021FFB" w14:paraId="4413F288" w14:textId="77777777" w:rsidTr="00484E71">
        <w:trPr>
          <w:cantSplit/>
          <w:trHeight w:val="737"/>
          <w:jc w:val="center"/>
        </w:trPr>
        <w:tc>
          <w:tcPr>
            <w:tcW w:w="295" w:type="pct"/>
            <w:shd w:val="clear" w:color="auto" w:fill="D9D9D9"/>
            <w:vAlign w:val="center"/>
          </w:tcPr>
          <w:p w14:paraId="0B9541D9" w14:textId="77777777" w:rsidR="006B13FF" w:rsidRPr="00021FFB" w:rsidRDefault="006B13FF" w:rsidP="00484E71">
            <w:pPr>
              <w:tabs>
                <w:tab w:val="num" w:pos="1080"/>
                <w:tab w:val="left" w:pos="7655"/>
              </w:tabs>
              <w:spacing w:after="0" w:line="240" w:lineRule="auto"/>
              <w:ind w:left="27"/>
              <w:contextualSpacing/>
              <w:jc w:val="center"/>
              <w:rPr>
                <w:rFonts w:ascii="Arial" w:hAnsi="Arial" w:cs="Arial"/>
                <w:b/>
                <w:noProof/>
                <w:sz w:val="20"/>
                <w:szCs w:val="20"/>
              </w:rPr>
            </w:pPr>
            <w:r w:rsidRPr="00021FFB">
              <w:rPr>
                <w:rFonts w:ascii="Arial" w:hAnsi="Arial" w:cs="Arial"/>
                <w:b/>
                <w:noProof/>
                <w:sz w:val="20"/>
                <w:szCs w:val="20"/>
              </w:rPr>
              <w:t>1.</w:t>
            </w:r>
          </w:p>
        </w:tc>
        <w:tc>
          <w:tcPr>
            <w:tcW w:w="3647" w:type="pct"/>
            <w:vAlign w:val="center"/>
          </w:tcPr>
          <w:p w14:paraId="7BE8A800" w14:textId="473733B6" w:rsidR="006B13FF" w:rsidRPr="00021FFB" w:rsidRDefault="00BF5E75" w:rsidP="00484E71">
            <w:pPr>
              <w:tabs>
                <w:tab w:val="num" w:pos="1080"/>
                <w:tab w:val="left" w:pos="7655"/>
              </w:tabs>
              <w:spacing w:after="0" w:line="240" w:lineRule="auto"/>
              <w:contextualSpacing/>
              <w:jc w:val="both"/>
              <w:rPr>
                <w:rFonts w:ascii="Arial" w:hAnsi="Arial" w:cs="Arial"/>
                <w:noProof/>
                <w:sz w:val="20"/>
                <w:szCs w:val="20"/>
              </w:rPr>
            </w:pPr>
            <w:r w:rsidRPr="00C1208C">
              <w:rPr>
                <w:rFonts w:ascii="Arial" w:hAnsi="Arial" w:cs="Arial"/>
                <w:b/>
                <w:noProof/>
                <w:sz w:val="20"/>
                <w:szCs w:val="20"/>
              </w:rPr>
              <w:t>Paslaugų kaina (C)*</w:t>
            </w:r>
          </w:p>
        </w:tc>
        <w:tc>
          <w:tcPr>
            <w:tcW w:w="1058" w:type="pct"/>
            <w:vAlign w:val="center"/>
          </w:tcPr>
          <w:p w14:paraId="278212B2" w14:textId="010191AF" w:rsidR="006B13FF" w:rsidRPr="00021FFB" w:rsidRDefault="006B13FF" w:rsidP="00484E71">
            <w:pPr>
              <w:tabs>
                <w:tab w:val="num" w:pos="1080"/>
                <w:tab w:val="left" w:pos="7655"/>
              </w:tabs>
              <w:spacing w:after="0" w:line="240" w:lineRule="auto"/>
              <w:contextualSpacing/>
              <w:jc w:val="center"/>
              <w:rPr>
                <w:rFonts w:ascii="Arial" w:hAnsi="Arial" w:cs="Arial"/>
                <w:b/>
                <w:noProof/>
                <w:sz w:val="20"/>
                <w:szCs w:val="20"/>
              </w:rPr>
            </w:pPr>
            <w:r w:rsidRPr="00021FFB">
              <w:rPr>
                <w:rFonts w:ascii="Arial" w:hAnsi="Arial" w:cs="Arial"/>
                <w:b/>
                <w:noProof/>
                <w:sz w:val="20"/>
                <w:szCs w:val="20"/>
              </w:rPr>
              <w:t>X=</w:t>
            </w:r>
            <w:r w:rsidR="00CC09FB">
              <w:rPr>
                <w:rFonts w:ascii="Arial" w:hAnsi="Arial" w:cs="Arial"/>
                <w:b/>
                <w:noProof/>
                <w:sz w:val="20"/>
                <w:szCs w:val="20"/>
              </w:rPr>
              <w:t>9</w:t>
            </w:r>
            <w:r w:rsidR="00E66712">
              <w:rPr>
                <w:rFonts w:ascii="Arial" w:hAnsi="Arial" w:cs="Arial"/>
                <w:b/>
                <w:noProof/>
                <w:sz w:val="20"/>
                <w:szCs w:val="20"/>
              </w:rPr>
              <w:t>5</w:t>
            </w:r>
            <w:r w:rsidRPr="00021FFB">
              <w:rPr>
                <w:rFonts w:ascii="Arial" w:hAnsi="Arial" w:cs="Arial"/>
                <w:b/>
                <w:noProof/>
                <w:sz w:val="20"/>
                <w:szCs w:val="20"/>
              </w:rPr>
              <w:t>*</w:t>
            </w:r>
          </w:p>
        </w:tc>
      </w:tr>
      <w:tr w:rsidR="00F44F3C" w:rsidRPr="00021FFB" w14:paraId="577E002F" w14:textId="77777777" w:rsidTr="00484E71">
        <w:trPr>
          <w:cantSplit/>
          <w:trHeight w:val="737"/>
          <w:jc w:val="center"/>
        </w:trPr>
        <w:tc>
          <w:tcPr>
            <w:tcW w:w="295" w:type="pct"/>
            <w:shd w:val="clear" w:color="auto" w:fill="D9D9D9"/>
            <w:vAlign w:val="center"/>
          </w:tcPr>
          <w:p w14:paraId="116A53F2" w14:textId="1BEDC52B" w:rsidR="00F44F3C" w:rsidRPr="00021FFB" w:rsidRDefault="00F44F3C" w:rsidP="00484E71">
            <w:pPr>
              <w:tabs>
                <w:tab w:val="num" w:pos="1080"/>
                <w:tab w:val="left" w:pos="7655"/>
              </w:tabs>
              <w:spacing w:after="0" w:line="240" w:lineRule="auto"/>
              <w:ind w:left="27"/>
              <w:contextualSpacing/>
              <w:jc w:val="center"/>
              <w:rPr>
                <w:rFonts w:ascii="Arial" w:hAnsi="Arial" w:cs="Arial"/>
                <w:b/>
                <w:noProof/>
                <w:sz w:val="20"/>
                <w:szCs w:val="20"/>
              </w:rPr>
            </w:pPr>
            <w:r>
              <w:rPr>
                <w:rFonts w:ascii="Arial" w:hAnsi="Arial" w:cs="Arial"/>
                <w:b/>
                <w:noProof/>
                <w:sz w:val="20"/>
                <w:szCs w:val="20"/>
              </w:rPr>
              <w:t>2.</w:t>
            </w:r>
          </w:p>
        </w:tc>
        <w:tc>
          <w:tcPr>
            <w:tcW w:w="3647" w:type="pct"/>
            <w:vAlign w:val="center"/>
          </w:tcPr>
          <w:p w14:paraId="451E08EA" w14:textId="77777777" w:rsidR="00CC09FB" w:rsidRPr="00CC09FB" w:rsidRDefault="00CC09FB" w:rsidP="00CC09FB">
            <w:pPr>
              <w:tabs>
                <w:tab w:val="num" w:pos="1080"/>
                <w:tab w:val="left" w:pos="7655"/>
              </w:tabs>
              <w:spacing w:after="0" w:line="240" w:lineRule="auto"/>
              <w:contextualSpacing/>
              <w:jc w:val="both"/>
              <w:rPr>
                <w:rFonts w:ascii="Arial" w:hAnsi="Arial" w:cs="Arial"/>
                <w:b/>
                <w:noProof/>
                <w:sz w:val="20"/>
                <w:szCs w:val="20"/>
              </w:rPr>
            </w:pPr>
            <w:r w:rsidRPr="00CC09FB">
              <w:rPr>
                <w:rFonts w:ascii="Arial" w:hAnsi="Arial" w:cs="Arial"/>
                <w:b/>
                <w:noProof/>
                <w:sz w:val="20"/>
                <w:szCs w:val="20"/>
              </w:rPr>
              <w:t>Saugios, darbuotojų sveikatą ir orumą užtikrinančios darbo sąlygos (S)</w:t>
            </w:r>
          </w:p>
          <w:p w14:paraId="2C48D5D8" w14:textId="7C30C0BA" w:rsidR="00CC09FB" w:rsidRPr="00CC09FB" w:rsidRDefault="00CC09FB" w:rsidP="00CC09FB">
            <w:pPr>
              <w:spacing w:before="60" w:after="60"/>
              <w:jc w:val="both"/>
              <w:rPr>
                <w:rFonts w:ascii="Arial" w:hAnsi="Arial" w:cs="Arial"/>
                <w:bCs/>
                <w:sz w:val="20"/>
                <w:szCs w:val="20"/>
              </w:rPr>
            </w:pPr>
            <w:r w:rsidRPr="00CC09FB">
              <w:rPr>
                <w:rFonts w:ascii="Arial" w:hAnsi="Arial" w:cs="Arial"/>
                <w:bCs/>
                <w:noProof/>
                <w:sz w:val="20"/>
                <w:szCs w:val="20"/>
              </w:rPr>
              <w:t>Vertinama ar Tiekėjas, Sutarties vykdymo laikotarpiu</w:t>
            </w:r>
            <w:r w:rsidRPr="00CC09FB">
              <w:rPr>
                <w:rFonts w:ascii="Arial" w:hAnsi="Arial" w:cs="Arial"/>
                <w:sz w:val="20"/>
                <w:szCs w:val="20"/>
              </w:rPr>
              <w:t xml:space="preserve"> </w:t>
            </w:r>
            <w:sdt>
              <w:sdtPr>
                <w:rPr>
                  <w:rStyle w:val="Style1"/>
                  <w:rFonts w:cs="Arial"/>
                  <w:sz w:val="20"/>
                  <w:szCs w:val="20"/>
                </w:rPr>
                <w:alias w:val="Pasirinkti"/>
                <w:tag w:val="Paslaugų teikimui"/>
                <w:id w:val="-1638709934"/>
                <w:placeholder>
                  <w:docPart w:val="471F1AFA2E0E4D8EA1153BEC9624A9C5"/>
                </w:placeholder>
                <w15:color w:val="000000"/>
                <w:dropDownList>
                  <w:listItem w:displayText="Paslaugų teikimui" w:value="Paslaugų teikimui"/>
                  <w:listItem w:displayText="Darbų atlikimui" w:value="Darbų atlikimui"/>
                  <w:listItem w:displayText="Prekių gamybai" w:value="Prekių gamybai"/>
                </w:dropDownList>
              </w:sdtPr>
              <w:sdtEndPr>
                <w:rPr>
                  <w:rStyle w:val="DefaultParagraphFont"/>
                  <w:rFonts w:asciiTheme="minorHAnsi" w:hAnsiTheme="minorHAnsi"/>
                </w:rPr>
              </w:sdtEndPr>
              <w:sdtContent>
                <w:r w:rsidRPr="00CC09FB">
                  <w:rPr>
                    <w:rStyle w:val="Style1"/>
                    <w:rFonts w:cs="Arial"/>
                    <w:sz w:val="20"/>
                    <w:szCs w:val="20"/>
                  </w:rPr>
                  <w:t>Paslaugų teikimui</w:t>
                </w:r>
              </w:sdtContent>
            </w:sdt>
            <w:r w:rsidRPr="00CC09FB">
              <w:rPr>
                <w:rStyle w:val="Style1"/>
                <w:rFonts w:cs="Arial"/>
                <w:sz w:val="20"/>
                <w:szCs w:val="20"/>
              </w:rPr>
              <w:t xml:space="preserve"> </w:t>
            </w:r>
            <w:r w:rsidRPr="00CC09FB">
              <w:rPr>
                <w:rFonts w:ascii="Arial" w:hAnsi="Arial" w:cs="Arial"/>
                <w:bCs/>
                <w:noProof/>
                <w:sz w:val="20"/>
                <w:szCs w:val="20"/>
              </w:rPr>
              <w:t xml:space="preserve">taikys darbuotojų sveikatos ir saugos vadybos priemones pagal </w:t>
            </w:r>
            <w:r w:rsidRPr="00CC6C8F">
              <w:rPr>
                <w:rFonts w:ascii="Arial" w:hAnsi="Arial" w:cs="Arial"/>
                <w:bCs/>
                <w:noProof/>
                <w:sz w:val="20"/>
                <w:szCs w:val="20"/>
              </w:rPr>
              <w:t xml:space="preserve">šios metodikos </w:t>
            </w:r>
            <w:r w:rsidR="009218CA" w:rsidRPr="00CC6C8F">
              <w:rPr>
                <w:rFonts w:ascii="Arial" w:hAnsi="Arial" w:cs="Arial"/>
                <w:bCs/>
                <w:noProof/>
                <w:sz w:val="20"/>
                <w:szCs w:val="20"/>
              </w:rPr>
              <w:t>2</w:t>
            </w:r>
            <w:r w:rsidR="00CC6C8F" w:rsidRPr="00CC6C8F">
              <w:rPr>
                <w:rFonts w:ascii="Arial" w:hAnsi="Arial" w:cs="Arial"/>
                <w:bCs/>
                <w:noProof/>
                <w:sz w:val="20"/>
                <w:szCs w:val="20"/>
              </w:rPr>
              <w:t>.2.</w:t>
            </w:r>
            <w:r w:rsidRPr="00CC6C8F">
              <w:rPr>
                <w:rFonts w:ascii="Arial" w:hAnsi="Arial" w:cs="Arial"/>
                <w:bCs/>
                <w:noProof/>
                <w:sz w:val="20"/>
                <w:szCs w:val="20"/>
              </w:rPr>
              <w:t xml:space="preserve"> punkte nurodytą</w:t>
            </w:r>
            <w:r w:rsidRPr="00CC09FB">
              <w:rPr>
                <w:rFonts w:ascii="Arial" w:hAnsi="Arial" w:cs="Arial"/>
                <w:bCs/>
                <w:noProof/>
                <w:sz w:val="20"/>
                <w:szCs w:val="20"/>
              </w:rPr>
              <w:t xml:space="preserve"> tvarką.</w:t>
            </w:r>
          </w:p>
          <w:p w14:paraId="01409B56" w14:textId="77777777" w:rsidR="00CC09FB" w:rsidRPr="00CC09FB" w:rsidRDefault="00CC09FB" w:rsidP="00CC09FB">
            <w:pPr>
              <w:tabs>
                <w:tab w:val="num" w:pos="1080"/>
                <w:tab w:val="left" w:pos="7655"/>
              </w:tabs>
              <w:spacing w:after="0" w:line="240" w:lineRule="auto"/>
              <w:contextualSpacing/>
              <w:jc w:val="both"/>
              <w:rPr>
                <w:rFonts w:ascii="Arial" w:hAnsi="Arial" w:cs="Arial"/>
                <w:b/>
                <w:bCs/>
                <w:sz w:val="20"/>
                <w:szCs w:val="20"/>
                <w:bdr w:val="none" w:sz="0" w:space="0" w:color="auto" w:frame="1"/>
              </w:rPr>
            </w:pPr>
          </w:p>
          <w:p w14:paraId="37231733" w14:textId="2693D9E2" w:rsidR="00F44F3C" w:rsidRPr="00C1208C" w:rsidRDefault="00CC09FB" w:rsidP="00CC09FB">
            <w:pPr>
              <w:tabs>
                <w:tab w:val="num" w:pos="1080"/>
                <w:tab w:val="left" w:pos="7655"/>
              </w:tabs>
              <w:spacing w:after="0" w:line="240" w:lineRule="auto"/>
              <w:contextualSpacing/>
              <w:jc w:val="both"/>
              <w:rPr>
                <w:rFonts w:ascii="Arial" w:hAnsi="Arial" w:cs="Arial"/>
                <w:b/>
                <w:noProof/>
                <w:sz w:val="20"/>
                <w:szCs w:val="20"/>
              </w:rPr>
            </w:pPr>
            <w:r w:rsidRPr="00CC09FB">
              <w:rPr>
                <w:rFonts w:ascii="Arial" w:hAnsi="Arial" w:cs="Arial"/>
                <w:b/>
                <w:bCs/>
                <w:sz w:val="20"/>
                <w:szCs w:val="20"/>
                <w:bdr w:val="none" w:sz="0" w:space="0" w:color="auto" w:frame="1"/>
              </w:rPr>
              <w:t>Tuo atveju jei Tiekėjas neatitinka aukščiau nurodyto reikalavimo, už šį kriterijų Dalyvio pasiūlymas gauna 0 balų.</w:t>
            </w:r>
          </w:p>
        </w:tc>
        <w:tc>
          <w:tcPr>
            <w:tcW w:w="1058" w:type="pct"/>
            <w:vAlign w:val="center"/>
          </w:tcPr>
          <w:p w14:paraId="583DD76B" w14:textId="5F60DEA7" w:rsidR="00F44F3C" w:rsidRPr="00021FFB" w:rsidRDefault="00571A31" w:rsidP="00484E71">
            <w:pPr>
              <w:tabs>
                <w:tab w:val="num" w:pos="1080"/>
                <w:tab w:val="left" w:pos="7655"/>
              </w:tabs>
              <w:spacing w:after="0" w:line="240" w:lineRule="auto"/>
              <w:contextualSpacing/>
              <w:jc w:val="center"/>
              <w:rPr>
                <w:rFonts w:ascii="Arial" w:hAnsi="Arial" w:cs="Arial"/>
                <w:b/>
                <w:noProof/>
                <w:sz w:val="20"/>
                <w:szCs w:val="20"/>
              </w:rPr>
            </w:pPr>
            <w:r w:rsidRPr="00571A31">
              <w:rPr>
                <w:rFonts w:ascii="Arial" w:hAnsi="Arial" w:cs="Arial"/>
                <w:b/>
                <w:noProof/>
                <w:sz w:val="20"/>
                <w:szCs w:val="20"/>
              </w:rPr>
              <w:t>Y=</w:t>
            </w:r>
            <w:r w:rsidR="00E66712">
              <w:rPr>
                <w:rFonts w:ascii="Arial" w:hAnsi="Arial" w:cs="Arial"/>
                <w:b/>
                <w:noProof/>
                <w:sz w:val="20"/>
                <w:szCs w:val="20"/>
              </w:rPr>
              <w:t>5</w:t>
            </w:r>
          </w:p>
        </w:tc>
      </w:tr>
    </w:tbl>
    <w:p w14:paraId="5AC17509" w14:textId="67D7FAB4" w:rsidR="00F675D7" w:rsidRDefault="00F675D7" w:rsidP="00894D87">
      <w:pPr>
        <w:keepNext/>
        <w:tabs>
          <w:tab w:val="left" w:pos="993"/>
        </w:tabs>
        <w:spacing w:after="0" w:line="240" w:lineRule="auto"/>
        <w:contextualSpacing/>
        <w:jc w:val="both"/>
        <w:outlineLvl w:val="1"/>
        <w:rPr>
          <w:rFonts w:ascii="Arial" w:eastAsia="Times New Roman" w:hAnsi="Arial" w:cs="Arial"/>
          <w:bCs/>
          <w:i/>
          <w:iCs/>
          <w:sz w:val="20"/>
          <w:szCs w:val="20"/>
        </w:rPr>
      </w:pPr>
      <w:r w:rsidRPr="00021FFB">
        <w:rPr>
          <w:rFonts w:ascii="Arial" w:eastAsia="Times New Roman" w:hAnsi="Arial" w:cs="Arial"/>
          <w:bCs/>
          <w:i/>
          <w:iCs/>
          <w:noProof/>
          <w:sz w:val="20"/>
          <w:szCs w:val="20"/>
        </w:rPr>
        <w:t xml:space="preserve">* </w:t>
      </w:r>
      <w:r w:rsidRPr="00021FFB">
        <w:rPr>
          <w:rFonts w:ascii="Arial" w:eastAsia="Times New Roman" w:hAnsi="Arial" w:cs="Arial"/>
          <w:bCs/>
          <w:i/>
          <w:iCs/>
          <w:sz w:val="20"/>
          <w:szCs w:val="20"/>
        </w:rPr>
        <w:t>Vertinimui naudojamos sumos, kuriose po kablelio yra 2 skaičiai.</w:t>
      </w:r>
    </w:p>
    <w:p w14:paraId="5CD8B551" w14:textId="77777777" w:rsidR="006B13FF" w:rsidRDefault="006B13FF" w:rsidP="006B13FF"/>
    <w:p w14:paraId="22F76FA5" w14:textId="4AE88DBA" w:rsidR="004F3BBA" w:rsidRPr="00C1208C" w:rsidRDefault="004F3BBA" w:rsidP="004F3BBA">
      <w:pPr>
        <w:pStyle w:val="ListParagraph"/>
        <w:numPr>
          <w:ilvl w:val="0"/>
          <w:numId w:val="1"/>
        </w:numPr>
        <w:tabs>
          <w:tab w:val="left" w:pos="426"/>
        </w:tabs>
        <w:ind w:left="0" w:firstLine="0"/>
        <w:rPr>
          <w:rFonts w:ascii="Arial" w:hAnsi="Arial" w:cs="Arial"/>
          <w:bCs/>
          <w:iCs/>
          <w:noProof/>
          <w:sz w:val="20"/>
          <w:szCs w:val="20"/>
        </w:rPr>
      </w:pPr>
      <w:r w:rsidRPr="00C1208C">
        <w:rPr>
          <w:rFonts w:ascii="Arial" w:hAnsi="Arial" w:cs="Arial"/>
          <w:bCs/>
          <w:iCs/>
          <w:noProof/>
          <w:sz w:val="20"/>
          <w:szCs w:val="20"/>
        </w:rPr>
        <w:t>Kiekvieno Dalyvio Pasiūlymo ekonominis naudingumas (N) apskaičiuojamas sudedant Paslaugų kainos (C) ir Socialinio kriterijaus (</w:t>
      </w:r>
      <w:r w:rsidR="001D59C4">
        <w:rPr>
          <w:rFonts w:ascii="Arial" w:hAnsi="Arial" w:cs="Arial"/>
          <w:bCs/>
          <w:iCs/>
          <w:noProof/>
          <w:sz w:val="20"/>
          <w:szCs w:val="20"/>
        </w:rPr>
        <w:t>S</w:t>
      </w:r>
      <w:r w:rsidRPr="00C1208C">
        <w:rPr>
          <w:rFonts w:ascii="Arial" w:hAnsi="Arial" w:cs="Arial"/>
          <w:bCs/>
          <w:iCs/>
          <w:noProof/>
          <w:sz w:val="20"/>
          <w:szCs w:val="20"/>
        </w:rPr>
        <w:t>) balus:</w:t>
      </w:r>
    </w:p>
    <w:p w14:paraId="0982C1FF" w14:textId="77777777" w:rsidR="004F3BBA" w:rsidRPr="00C1208C" w:rsidRDefault="004F3BBA" w:rsidP="004F3BBA">
      <w:pPr>
        <w:pStyle w:val="ListParagraph"/>
        <w:tabs>
          <w:tab w:val="left" w:pos="426"/>
        </w:tabs>
        <w:ind w:left="0"/>
        <w:rPr>
          <w:rFonts w:ascii="Arial" w:hAnsi="Arial" w:cs="Arial"/>
          <w:bCs/>
          <w:iCs/>
          <w:noProof/>
          <w:sz w:val="20"/>
          <w:szCs w:val="20"/>
        </w:rPr>
      </w:pPr>
    </w:p>
    <w:p w14:paraId="7858F7D3" w14:textId="0425301C" w:rsidR="004F3BBA" w:rsidRPr="00C1208C" w:rsidRDefault="004F3BBA" w:rsidP="004F3BBA">
      <w:pPr>
        <w:tabs>
          <w:tab w:val="left" w:pos="567"/>
          <w:tab w:val="left" w:pos="7655"/>
        </w:tabs>
        <w:ind w:left="360"/>
        <w:jc w:val="center"/>
        <w:rPr>
          <w:rFonts w:ascii="Arial" w:hAnsi="Arial" w:cs="Arial"/>
          <w:noProof/>
          <w:sz w:val="20"/>
          <w:szCs w:val="20"/>
          <w:lang w:val="en-US"/>
        </w:rPr>
      </w:pPr>
      <w:r w:rsidRPr="00C1208C">
        <w:rPr>
          <w:rFonts w:ascii="Arial" w:hAnsi="Arial" w:cs="Arial"/>
          <w:noProof/>
          <w:sz w:val="20"/>
          <w:szCs w:val="20"/>
        </w:rPr>
        <w:t>N</w:t>
      </w:r>
      <w:r w:rsidRPr="00C1208C">
        <w:rPr>
          <w:rFonts w:ascii="Arial" w:hAnsi="Arial" w:cs="Arial"/>
          <w:noProof/>
          <w:sz w:val="20"/>
          <w:szCs w:val="20"/>
          <w:lang w:val="en-US"/>
        </w:rPr>
        <w:t>=C+</w:t>
      </w:r>
      <w:r>
        <w:rPr>
          <w:rFonts w:ascii="Arial" w:hAnsi="Arial" w:cs="Arial"/>
          <w:noProof/>
          <w:sz w:val="20"/>
          <w:szCs w:val="20"/>
          <w:lang w:val="en-US"/>
        </w:rPr>
        <w:t>S</w:t>
      </w:r>
    </w:p>
    <w:p w14:paraId="2A93EFA3" w14:textId="08284F98" w:rsidR="003C1CDE" w:rsidRPr="00021FFB" w:rsidRDefault="003C1CDE" w:rsidP="004F3BBA">
      <w:pPr>
        <w:keepNext/>
        <w:tabs>
          <w:tab w:val="left" w:pos="142"/>
          <w:tab w:val="left" w:pos="426"/>
          <w:tab w:val="left" w:pos="851"/>
        </w:tabs>
        <w:spacing w:after="0" w:line="240" w:lineRule="auto"/>
        <w:jc w:val="both"/>
        <w:outlineLvl w:val="1"/>
        <w:rPr>
          <w:rFonts w:ascii="Arial" w:hAnsi="Arial" w:cs="Arial"/>
          <w:noProof/>
          <w:sz w:val="20"/>
          <w:szCs w:val="20"/>
        </w:rPr>
      </w:pPr>
    </w:p>
    <w:p w14:paraId="3C00397D" w14:textId="12BA468A" w:rsidR="00F51662" w:rsidRPr="00C1208C" w:rsidRDefault="00F51662" w:rsidP="00497EB8">
      <w:pPr>
        <w:pStyle w:val="ListParagraph"/>
        <w:numPr>
          <w:ilvl w:val="1"/>
          <w:numId w:val="1"/>
        </w:numPr>
        <w:tabs>
          <w:tab w:val="left" w:pos="567"/>
        </w:tabs>
        <w:ind w:left="0" w:firstLine="0"/>
        <w:jc w:val="both"/>
        <w:rPr>
          <w:rFonts w:ascii="Arial" w:hAnsi="Arial" w:cs="Arial"/>
          <w:sz w:val="20"/>
          <w:szCs w:val="20"/>
        </w:rPr>
      </w:pPr>
      <w:r w:rsidRPr="00C1208C">
        <w:rPr>
          <w:rFonts w:ascii="Arial" w:hAnsi="Arial" w:cs="Arial"/>
          <w:bCs/>
          <w:iCs/>
          <w:noProof/>
          <w:sz w:val="20"/>
          <w:szCs w:val="20"/>
        </w:rPr>
        <w:t>Paslaugų kainos (C) balai apskaičiuojami mažiausios Paslaugų kainos, nurodytos Pasiūlymo form</w:t>
      </w:r>
      <w:r w:rsidR="00EF431A">
        <w:rPr>
          <w:rFonts w:ascii="Arial" w:hAnsi="Arial" w:cs="Arial"/>
          <w:bCs/>
          <w:iCs/>
          <w:noProof/>
          <w:sz w:val="20"/>
          <w:szCs w:val="20"/>
        </w:rPr>
        <w:t>os</w:t>
      </w:r>
      <w:r w:rsidRPr="00C1208C">
        <w:rPr>
          <w:rFonts w:ascii="Arial" w:hAnsi="Arial" w:cs="Arial"/>
          <w:bCs/>
          <w:iCs/>
          <w:noProof/>
          <w:sz w:val="20"/>
          <w:szCs w:val="20"/>
        </w:rPr>
        <w:t xml:space="preserve"> priede „</w:t>
      </w:r>
      <w:r w:rsidRPr="00C1208C">
        <w:rPr>
          <w:rFonts w:ascii="Arial" w:hAnsi="Arial" w:cs="Arial"/>
          <w:bCs/>
          <w:sz w:val="20"/>
          <w:szCs w:val="20"/>
        </w:rPr>
        <w:t>Pasiūlymo kaina“ grafoje Pasiūlymo kaina EUR be PVM</w:t>
      </w:r>
      <w:r w:rsidRPr="00C1208C">
        <w:rPr>
          <w:rFonts w:ascii="Arial" w:hAnsi="Arial" w:cs="Arial"/>
          <w:bCs/>
          <w:iCs/>
          <w:noProof/>
          <w:sz w:val="20"/>
          <w:szCs w:val="20"/>
        </w:rPr>
        <w:t xml:space="preserve">“, </w:t>
      </w:r>
      <w:r w:rsidRPr="00C1208C">
        <w:rPr>
          <w:rFonts w:ascii="Arial" w:hAnsi="Arial" w:cs="Arial"/>
          <w:bCs/>
          <w:iCs/>
          <w:sz w:val="20"/>
          <w:szCs w:val="20"/>
        </w:rPr>
        <w:t>(C</w:t>
      </w:r>
      <w:r w:rsidRPr="00C1208C">
        <w:rPr>
          <w:rFonts w:ascii="Arial" w:hAnsi="Arial" w:cs="Arial"/>
          <w:bCs/>
          <w:iCs/>
          <w:sz w:val="20"/>
          <w:szCs w:val="20"/>
          <w:vertAlign w:val="subscript"/>
        </w:rPr>
        <w:t>min</w:t>
      </w:r>
      <w:r w:rsidRPr="00C1208C">
        <w:rPr>
          <w:rFonts w:ascii="Arial" w:hAnsi="Arial" w:cs="Arial"/>
          <w:bCs/>
          <w:iCs/>
          <w:sz w:val="20"/>
          <w:szCs w:val="20"/>
        </w:rPr>
        <w:t>) ir vertinamo pasiūlymo kainos (C</w:t>
      </w:r>
      <w:r w:rsidRPr="00C1208C">
        <w:rPr>
          <w:rFonts w:ascii="Arial" w:hAnsi="Arial" w:cs="Arial"/>
          <w:bCs/>
          <w:iCs/>
          <w:sz w:val="20"/>
          <w:szCs w:val="20"/>
          <w:vertAlign w:val="subscript"/>
        </w:rPr>
        <w:t>p</w:t>
      </w:r>
      <w:r w:rsidRPr="00C1208C">
        <w:rPr>
          <w:rFonts w:ascii="Arial" w:hAnsi="Arial" w:cs="Arial"/>
          <w:bCs/>
          <w:iCs/>
          <w:sz w:val="20"/>
          <w:szCs w:val="20"/>
        </w:rPr>
        <w:t>) santykį padauginant iš vertinamo kriterijaus parametro lyginamojo svorio (X):</w:t>
      </w:r>
    </w:p>
    <w:p w14:paraId="72D229E4" w14:textId="77777777" w:rsidR="003C1CDE" w:rsidRPr="00021FFB" w:rsidRDefault="003C1CDE" w:rsidP="003C1CDE">
      <w:pPr>
        <w:tabs>
          <w:tab w:val="left" w:pos="567"/>
        </w:tabs>
        <w:spacing w:after="0" w:line="240" w:lineRule="auto"/>
        <w:contextualSpacing/>
        <w:jc w:val="both"/>
        <w:outlineLvl w:val="1"/>
        <w:rPr>
          <w:rFonts w:ascii="Arial" w:eastAsia="Times New Roman" w:hAnsi="Arial" w:cs="Arial"/>
          <w:bCs/>
          <w:iCs/>
          <w:noProof/>
          <w:sz w:val="20"/>
          <w:szCs w:val="20"/>
        </w:rPr>
      </w:pPr>
    </w:p>
    <w:p w14:paraId="039DFC07" w14:textId="77777777" w:rsidR="003C1CDE" w:rsidRPr="00716AD0" w:rsidRDefault="003C1CDE" w:rsidP="003C1CDE">
      <w:pPr>
        <w:tabs>
          <w:tab w:val="left" w:pos="0"/>
          <w:tab w:val="left" w:pos="567"/>
        </w:tabs>
        <w:spacing w:after="0" w:line="240" w:lineRule="auto"/>
        <w:contextualSpacing/>
        <w:jc w:val="center"/>
        <w:rPr>
          <w:rFonts w:ascii="Arial" w:eastAsia="Times New Roman" w:hAnsi="Arial" w:cs="Arial"/>
          <w:sz w:val="20"/>
          <w:szCs w:val="20"/>
        </w:rPr>
      </w:pPr>
      <m:oMath>
        <m:r>
          <m:rPr>
            <m:sty m:val="p"/>
          </m:rPr>
          <w:rPr>
            <w:rFonts w:ascii="Cambria Math" w:eastAsia="Times New Roman" w:hAnsi="Cambria Math" w:cs="Arial"/>
            <w:sz w:val="20"/>
            <w:szCs w:val="20"/>
          </w:rPr>
          <m:t>C=</m:t>
        </m:r>
        <m:f>
          <m:fPr>
            <m:ctrlPr>
              <w:rPr>
                <w:rFonts w:ascii="Cambria Math" w:eastAsia="Times New Roman" w:hAnsi="Cambria Math" w:cs="Arial"/>
                <w:sz w:val="20"/>
                <w:szCs w:val="20"/>
              </w:rPr>
            </m:ctrlPr>
          </m:fPr>
          <m:num>
            <m:r>
              <m:rPr>
                <m:sty m:val="p"/>
              </m:rPr>
              <w:rPr>
                <w:rFonts w:ascii="Cambria Math" w:eastAsia="Times New Roman" w:hAnsi="Cambria Math" w:cs="Arial"/>
                <w:sz w:val="20"/>
                <w:szCs w:val="20"/>
              </w:rPr>
              <m:t>C</m:t>
            </m:r>
            <m:r>
              <m:rPr>
                <m:sty m:val="p"/>
              </m:rPr>
              <w:rPr>
                <w:rFonts w:ascii="Cambria Math" w:eastAsia="Times New Roman" w:hAnsi="Cambria Math" w:cs="Arial"/>
                <w:noProof/>
                <w:sz w:val="20"/>
                <w:szCs w:val="20"/>
              </w:rPr>
              <m:t>min</m:t>
            </m:r>
          </m:num>
          <m:den>
            <m:r>
              <m:rPr>
                <m:sty m:val="p"/>
              </m:rPr>
              <w:rPr>
                <w:rFonts w:ascii="Cambria Math" w:eastAsia="Times New Roman" w:hAnsi="Cambria Math" w:cs="Arial"/>
                <w:noProof/>
                <w:sz w:val="20"/>
                <w:szCs w:val="20"/>
              </w:rPr>
              <m:t>Cp</m:t>
            </m:r>
          </m:den>
        </m:f>
        <m:r>
          <m:rPr>
            <m:sty m:val="p"/>
          </m:rPr>
          <w:rPr>
            <w:rFonts w:ascii="Cambria Math" w:eastAsia="Times New Roman" w:hAnsi="Cambria Math" w:cs="Arial"/>
            <w:sz w:val="20"/>
            <w:szCs w:val="20"/>
          </w:rPr>
          <m:t xml:space="preserve"> ∙X</m:t>
        </m:r>
      </m:oMath>
      <w:r w:rsidRPr="00716AD0">
        <w:rPr>
          <w:rFonts w:ascii="Arial" w:eastAsia="Times New Roman" w:hAnsi="Arial" w:cs="Arial"/>
          <w:sz w:val="20"/>
          <w:szCs w:val="20"/>
        </w:rPr>
        <w:t>;</w:t>
      </w:r>
    </w:p>
    <w:p w14:paraId="5EDA571B" w14:textId="77777777" w:rsidR="003C1CDE" w:rsidRDefault="003C1CDE" w:rsidP="003C1CDE">
      <w:pPr>
        <w:tabs>
          <w:tab w:val="left" w:pos="0"/>
          <w:tab w:val="left" w:pos="567"/>
        </w:tabs>
        <w:spacing w:after="0" w:line="240" w:lineRule="auto"/>
        <w:contextualSpacing/>
        <w:jc w:val="center"/>
        <w:rPr>
          <w:rFonts w:ascii="Arial" w:eastAsia="Times New Roman" w:hAnsi="Arial" w:cs="Arial"/>
          <w:sz w:val="20"/>
          <w:szCs w:val="20"/>
        </w:rPr>
      </w:pPr>
    </w:p>
    <w:p w14:paraId="5080EE82" w14:textId="33C81E6A" w:rsidR="00723DA4" w:rsidRPr="00723DA4" w:rsidRDefault="00254D48" w:rsidP="00EF431A">
      <w:pPr>
        <w:pStyle w:val="ListParagraph"/>
        <w:numPr>
          <w:ilvl w:val="1"/>
          <w:numId w:val="1"/>
        </w:numPr>
        <w:tabs>
          <w:tab w:val="left" w:pos="567"/>
        </w:tabs>
        <w:ind w:left="0" w:firstLine="0"/>
        <w:jc w:val="both"/>
        <w:rPr>
          <w:rFonts w:ascii="Arial" w:hAnsi="Arial" w:cs="Arial"/>
          <w:sz w:val="20"/>
          <w:szCs w:val="20"/>
        </w:rPr>
      </w:pPr>
      <w:r w:rsidRPr="00C70B86">
        <w:rPr>
          <w:rFonts w:ascii="Arial" w:hAnsi="Arial" w:cs="Arial"/>
          <w:color w:val="FF0000"/>
          <w:sz w:val="20"/>
          <w:szCs w:val="20"/>
        </w:rPr>
        <w:t xml:space="preserve">Socialinio kriterijaus </w:t>
      </w:r>
      <w:r w:rsidR="00723DA4" w:rsidRPr="00723DA4">
        <w:rPr>
          <w:rFonts w:ascii="Arial" w:hAnsi="Arial" w:cs="Arial"/>
          <w:sz w:val="20"/>
          <w:szCs w:val="20"/>
        </w:rPr>
        <w:t>(S) balai suteikiami, jei Tiekėjas pagrindžia, kad Sutarties vykdymo laikotarpiu, taikys darbuotojų sveikatos ir saugos vadybos priemones, pagal 2 lentelėje nurodytą tvarką.</w:t>
      </w:r>
    </w:p>
    <w:p w14:paraId="01120239" w14:textId="0BBD1F5E" w:rsidR="00CD7BFD" w:rsidRDefault="00CD7BFD" w:rsidP="00723DA4">
      <w:pPr>
        <w:pStyle w:val="ListParagraph"/>
        <w:tabs>
          <w:tab w:val="left" w:pos="567"/>
          <w:tab w:val="left" w:pos="7655"/>
        </w:tabs>
        <w:spacing w:before="60" w:after="60"/>
        <w:ind w:left="0"/>
        <w:jc w:val="both"/>
        <w:rPr>
          <w:rFonts w:ascii="Arial" w:hAnsi="Arial" w:cs="Arial"/>
          <w:sz w:val="20"/>
          <w:szCs w:val="20"/>
        </w:rPr>
      </w:pPr>
    </w:p>
    <w:p w14:paraId="72CF2418" w14:textId="77777777" w:rsidR="000A23C0" w:rsidRDefault="000A23C0" w:rsidP="00EA0D92">
      <w:pPr>
        <w:pStyle w:val="ListParagraph"/>
        <w:tabs>
          <w:tab w:val="left" w:pos="284"/>
        </w:tabs>
        <w:ind w:left="360"/>
        <w:jc w:val="right"/>
        <w:rPr>
          <w:rFonts w:ascii="Arial" w:hAnsi="Arial" w:cs="Arial"/>
          <w:i/>
          <w:iCs/>
          <w:sz w:val="18"/>
          <w:szCs w:val="18"/>
        </w:rPr>
      </w:pPr>
    </w:p>
    <w:p w14:paraId="6EF15520" w14:textId="77777777" w:rsidR="00D22D6C" w:rsidRDefault="00D22D6C" w:rsidP="00EA0D92">
      <w:pPr>
        <w:pStyle w:val="ListParagraph"/>
        <w:tabs>
          <w:tab w:val="left" w:pos="284"/>
        </w:tabs>
        <w:ind w:left="360"/>
        <w:jc w:val="right"/>
        <w:rPr>
          <w:rFonts w:ascii="Arial" w:hAnsi="Arial" w:cs="Arial"/>
          <w:i/>
          <w:iCs/>
          <w:sz w:val="18"/>
          <w:szCs w:val="18"/>
        </w:rPr>
      </w:pPr>
    </w:p>
    <w:p w14:paraId="78B4DCAB" w14:textId="77777777" w:rsidR="000472C7" w:rsidRPr="00E93EF7" w:rsidRDefault="000472C7" w:rsidP="000472C7">
      <w:pPr>
        <w:pStyle w:val="ListParagraph"/>
        <w:tabs>
          <w:tab w:val="left" w:pos="284"/>
        </w:tabs>
        <w:ind w:left="0"/>
        <w:jc w:val="right"/>
        <w:rPr>
          <w:rFonts w:ascii="Arial" w:hAnsi="Arial" w:cs="Arial"/>
          <w:sz w:val="18"/>
          <w:szCs w:val="18"/>
        </w:rPr>
      </w:pPr>
      <w:r w:rsidRPr="00E93EF7">
        <w:rPr>
          <w:rFonts w:ascii="Arial" w:hAnsi="Arial" w:cs="Arial"/>
          <w:i/>
          <w:iCs/>
          <w:sz w:val="18"/>
          <w:szCs w:val="18"/>
        </w:rPr>
        <w:lastRenderedPageBreak/>
        <w:t>2 lentelė. Saugios, darbuotojų sveikatą ir orumą užtikrinančios darbo sąlygos (S) vertinimo kriterijai ir vertinimo skalė</w:t>
      </w:r>
      <w:r w:rsidRPr="00E93EF7">
        <w:rPr>
          <w:rFonts w:ascii="Arial" w:hAnsi="Arial" w:cs="Arial"/>
          <w:sz w:val="18"/>
          <w:szCs w:val="18"/>
        </w:rPr>
        <w:t xml:space="preserve"> </w:t>
      </w:r>
    </w:p>
    <w:tbl>
      <w:tblPr>
        <w:tblStyle w:val="TableGrid1"/>
        <w:tblW w:w="14034" w:type="dxa"/>
        <w:tblInd w:w="-5" w:type="dxa"/>
        <w:tblLook w:val="04A0" w:firstRow="1" w:lastRow="0" w:firstColumn="1" w:lastColumn="0" w:noHBand="0" w:noVBand="1"/>
      </w:tblPr>
      <w:tblGrid>
        <w:gridCol w:w="1236"/>
        <w:gridCol w:w="4434"/>
        <w:gridCol w:w="6096"/>
        <w:gridCol w:w="2268"/>
      </w:tblGrid>
      <w:tr w:rsidR="000472C7" w:rsidRPr="00E93EF7" w14:paraId="1EB0E059" w14:textId="77777777" w:rsidTr="004E1009">
        <w:trPr>
          <w:trHeight w:val="479"/>
        </w:trPr>
        <w:tc>
          <w:tcPr>
            <w:tcW w:w="1236"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4D82826F" w14:textId="77777777" w:rsidR="000472C7" w:rsidRPr="00E93EF7" w:rsidRDefault="000472C7" w:rsidP="00231E8E">
            <w:pPr>
              <w:tabs>
                <w:tab w:val="left" w:pos="284"/>
              </w:tabs>
              <w:contextualSpacing/>
              <w:jc w:val="center"/>
              <w:rPr>
                <w:rFonts w:ascii="Arial" w:hAnsi="Arial" w:cs="Arial"/>
                <w:sz w:val="18"/>
                <w:szCs w:val="18"/>
              </w:rPr>
            </w:pPr>
            <w:r w:rsidRPr="00E93EF7">
              <w:rPr>
                <w:rFonts w:ascii="Arial" w:hAnsi="Arial" w:cs="Arial"/>
                <w:b/>
                <w:bCs/>
                <w:sz w:val="18"/>
                <w:szCs w:val="18"/>
              </w:rPr>
              <w:t>Skiriamas balų skaičius (S)</w:t>
            </w:r>
          </w:p>
        </w:tc>
        <w:tc>
          <w:tcPr>
            <w:tcW w:w="4434"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22D2AEF9" w14:textId="77777777" w:rsidR="000472C7" w:rsidRPr="00E93EF7" w:rsidRDefault="000472C7" w:rsidP="00231E8E">
            <w:pPr>
              <w:tabs>
                <w:tab w:val="left" w:pos="284"/>
              </w:tabs>
              <w:contextualSpacing/>
              <w:jc w:val="center"/>
              <w:rPr>
                <w:rFonts w:ascii="Arial" w:hAnsi="Arial" w:cs="Arial"/>
                <w:sz w:val="18"/>
                <w:szCs w:val="18"/>
              </w:rPr>
            </w:pPr>
            <w:r w:rsidRPr="00E93EF7">
              <w:rPr>
                <w:rFonts w:ascii="Arial" w:hAnsi="Arial" w:cs="Arial"/>
                <w:b/>
                <w:noProof/>
                <w:sz w:val="18"/>
                <w:szCs w:val="18"/>
              </w:rPr>
              <w:t>Balo skyrimo metodika</w:t>
            </w:r>
          </w:p>
        </w:tc>
        <w:tc>
          <w:tcPr>
            <w:tcW w:w="836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8F4759" w14:textId="77777777" w:rsidR="000472C7" w:rsidRPr="00E93EF7" w:rsidRDefault="000472C7" w:rsidP="00231E8E">
            <w:pPr>
              <w:tabs>
                <w:tab w:val="left" w:pos="284"/>
              </w:tabs>
              <w:contextualSpacing/>
              <w:jc w:val="center"/>
              <w:rPr>
                <w:rFonts w:ascii="Arial" w:hAnsi="Arial" w:cs="Arial"/>
                <w:b/>
                <w:noProof/>
                <w:sz w:val="18"/>
                <w:szCs w:val="18"/>
              </w:rPr>
            </w:pPr>
            <w:r>
              <w:rPr>
                <w:rFonts w:ascii="Arial" w:hAnsi="Arial" w:cs="Arial"/>
                <w:b/>
                <w:noProof/>
                <w:sz w:val="18"/>
                <w:szCs w:val="18"/>
              </w:rPr>
              <w:t>Atitikį įrodantys dokumentai</w:t>
            </w:r>
          </w:p>
        </w:tc>
      </w:tr>
      <w:tr w:rsidR="000472C7" w:rsidRPr="00E93EF7" w14:paraId="6801B487" w14:textId="77777777" w:rsidTr="004E1009">
        <w:trPr>
          <w:trHeight w:val="479"/>
        </w:trPr>
        <w:tc>
          <w:tcPr>
            <w:tcW w:w="1236" w:type="dxa"/>
            <w:vMerge/>
            <w:tcBorders>
              <w:left w:val="single" w:sz="4" w:space="0" w:color="auto"/>
              <w:bottom w:val="single" w:sz="4" w:space="0" w:color="auto"/>
              <w:right w:val="single" w:sz="4" w:space="0" w:color="auto"/>
            </w:tcBorders>
            <w:shd w:val="clear" w:color="auto" w:fill="DEEAF6" w:themeFill="accent1" w:themeFillTint="33"/>
            <w:vAlign w:val="center"/>
          </w:tcPr>
          <w:p w14:paraId="029B86F5" w14:textId="77777777" w:rsidR="000472C7" w:rsidRPr="00E93EF7" w:rsidRDefault="000472C7" w:rsidP="00231E8E">
            <w:pPr>
              <w:tabs>
                <w:tab w:val="left" w:pos="284"/>
              </w:tabs>
              <w:contextualSpacing/>
              <w:jc w:val="center"/>
              <w:rPr>
                <w:rFonts w:ascii="Arial" w:hAnsi="Arial" w:cs="Arial"/>
                <w:b/>
                <w:bCs/>
                <w:sz w:val="18"/>
                <w:szCs w:val="18"/>
              </w:rPr>
            </w:pPr>
          </w:p>
        </w:tc>
        <w:tc>
          <w:tcPr>
            <w:tcW w:w="4434" w:type="dxa"/>
            <w:vMerge/>
            <w:tcBorders>
              <w:left w:val="single" w:sz="4" w:space="0" w:color="auto"/>
              <w:bottom w:val="single" w:sz="4" w:space="0" w:color="auto"/>
              <w:right w:val="single" w:sz="4" w:space="0" w:color="auto"/>
            </w:tcBorders>
            <w:shd w:val="clear" w:color="auto" w:fill="DEEAF6" w:themeFill="accent1" w:themeFillTint="33"/>
            <w:vAlign w:val="center"/>
          </w:tcPr>
          <w:p w14:paraId="23952991" w14:textId="77777777" w:rsidR="000472C7" w:rsidRPr="00E93EF7" w:rsidRDefault="000472C7" w:rsidP="00231E8E">
            <w:pPr>
              <w:tabs>
                <w:tab w:val="left" w:pos="284"/>
              </w:tabs>
              <w:contextualSpacing/>
              <w:jc w:val="center"/>
              <w:rPr>
                <w:rFonts w:ascii="Arial" w:hAnsi="Arial" w:cs="Arial"/>
                <w:b/>
                <w:noProof/>
                <w:sz w:val="18"/>
                <w:szCs w:val="18"/>
              </w:rPr>
            </w:pPr>
          </w:p>
        </w:tc>
        <w:tc>
          <w:tcPr>
            <w:tcW w:w="60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685ADF" w14:textId="77777777" w:rsidR="000472C7" w:rsidRPr="00E93EF7" w:rsidRDefault="000472C7" w:rsidP="00231E8E">
            <w:pPr>
              <w:tabs>
                <w:tab w:val="left" w:pos="284"/>
              </w:tabs>
              <w:contextualSpacing/>
              <w:jc w:val="center"/>
              <w:rPr>
                <w:rFonts w:ascii="Arial" w:hAnsi="Arial" w:cs="Arial"/>
                <w:b/>
                <w:noProof/>
                <w:sz w:val="18"/>
                <w:szCs w:val="18"/>
              </w:rPr>
            </w:pPr>
            <w:r>
              <w:rPr>
                <w:rFonts w:ascii="Arial" w:hAnsi="Arial" w:cs="Arial"/>
                <w:b/>
                <w:noProof/>
                <w:sz w:val="18"/>
                <w:szCs w:val="18"/>
              </w:rPr>
              <w:t>Pirkimo procedūrų metu pateikimai atitkį pagrindžiantys dokumentai</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72FA86" w14:textId="77777777" w:rsidR="000472C7" w:rsidRPr="00E93EF7" w:rsidRDefault="000472C7" w:rsidP="00231E8E">
            <w:pPr>
              <w:tabs>
                <w:tab w:val="left" w:pos="284"/>
              </w:tabs>
              <w:contextualSpacing/>
              <w:jc w:val="center"/>
              <w:rPr>
                <w:rFonts w:ascii="Arial" w:hAnsi="Arial" w:cs="Arial"/>
                <w:b/>
                <w:noProof/>
                <w:sz w:val="18"/>
                <w:szCs w:val="18"/>
              </w:rPr>
            </w:pPr>
            <w:r w:rsidRPr="00E14C58">
              <w:rPr>
                <w:rFonts w:ascii="Arial" w:hAnsi="Arial" w:cs="Arial"/>
                <w:b/>
                <w:noProof/>
                <w:sz w:val="18"/>
                <w:szCs w:val="18"/>
              </w:rPr>
              <w:t>Sutarties vykdymo metu pateikiami atitiktį pagrindžiantys įrodymai</w:t>
            </w:r>
          </w:p>
        </w:tc>
      </w:tr>
      <w:tr w:rsidR="000472C7" w:rsidRPr="00E93EF7" w14:paraId="1A627313" w14:textId="77777777" w:rsidTr="004E1009">
        <w:trPr>
          <w:trHeight w:val="64"/>
        </w:trPr>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794AF" w14:textId="31DA3B81" w:rsidR="000472C7" w:rsidRPr="00E93EF7" w:rsidRDefault="00E66712" w:rsidP="00231E8E">
            <w:pPr>
              <w:tabs>
                <w:tab w:val="left" w:pos="284"/>
              </w:tabs>
              <w:contextualSpacing/>
              <w:jc w:val="center"/>
              <w:rPr>
                <w:rFonts w:ascii="Arial" w:hAnsi="Arial" w:cs="Arial"/>
                <w:color w:val="FF0000"/>
                <w:sz w:val="18"/>
                <w:szCs w:val="18"/>
              </w:rPr>
            </w:pPr>
            <w:r>
              <w:rPr>
                <w:rFonts w:ascii="Arial" w:hAnsi="Arial" w:cs="Arial"/>
                <w:sz w:val="18"/>
                <w:szCs w:val="18"/>
              </w:rPr>
              <w:t>5</w:t>
            </w:r>
            <w:r w:rsidR="000472C7" w:rsidRPr="00CC6C8F">
              <w:rPr>
                <w:rFonts w:ascii="Arial" w:hAnsi="Arial" w:cs="Arial"/>
                <w:sz w:val="18"/>
                <w:szCs w:val="18"/>
              </w:rPr>
              <w:t xml:space="preserve"> bal</w:t>
            </w:r>
            <w:r>
              <w:rPr>
                <w:rFonts w:ascii="Arial" w:hAnsi="Arial" w:cs="Arial"/>
                <w:sz w:val="18"/>
                <w:szCs w:val="18"/>
              </w:rPr>
              <w:t>ai</w:t>
            </w:r>
          </w:p>
        </w:tc>
        <w:tc>
          <w:tcPr>
            <w:tcW w:w="44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FB7CC" w14:textId="77777777" w:rsidR="000472C7" w:rsidRPr="00E93EF7" w:rsidRDefault="000472C7" w:rsidP="00231E8E">
            <w:pPr>
              <w:tabs>
                <w:tab w:val="left" w:pos="284"/>
              </w:tabs>
              <w:contextualSpacing/>
              <w:jc w:val="both"/>
              <w:rPr>
                <w:rFonts w:ascii="Arial" w:hAnsi="Arial" w:cs="Arial"/>
                <w:sz w:val="18"/>
                <w:szCs w:val="18"/>
              </w:rPr>
            </w:pPr>
            <w:r>
              <w:rPr>
                <w:rStyle w:val="Laukeliai"/>
                <w:rFonts w:cs="Arial"/>
                <w:sz w:val="18"/>
                <w:szCs w:val="18"/>
              </w:rPr>
              <w:t>S</w:t>
            </w:r>
            <w:r>
              <w:rPr>
                <w:rStyle w:val="Laukeliai"/>
                <w:sz w:val="18"/>
                <w:szCs w:val="18"/>
              </w:rPr>
              <w:t>kiriama, je</w:t>
            </w:r>
            <w:r>
              <w:rPr>
                <w:rStyle w:val="Laukeliai"/>
              </w:rPr>
              <w:t>i</w:t>
            </w:r>
            <w:r>
              <w:rPr>
                <w:rStyle w:val="Laukeliai"/>
                <w:sz w:val="18"/>
                <w:szCs w:val="18"/>
              </w:rPr>
              <w:t xml:space="preserve"> </w:t>
            </w:r>
            <w:r w:rsidRPr="004478C7">
              <w:rPr>
                <w:rStyle w:val="Laukeliai"/>
                <w:rFonts w:cs="Arial"/>
                <w:sz w:val="18"/>
                <w:szCs w:val="18"/>
              </w:rPr>
              <w:t>Tiekėjas pirkimo sutarties vykdymo laikotarpiu, taik</w:t>
            </w:r>
            <w:r>
              <w:rPr>
                <w:rStyle w:val="Laukeliai"/>
                <w:rFonts w:cs="Arial"/>
                <w:sz w:val="18"/>
                <w:szCs w:val="18"/>
              </w:rPr>
              <w:t>ys</w:t>
            </w:r>
            <w:r w:rsidRPr="004478C7">
              <w:rPr>
                <w:rStyle w:val="Laukeliai"/>
                <w:rFonts w:cs="Arial"/>
                <w:sz w:val="18"/>
                <w:szCs w:val="18"/>
              </w:rPr>
              <w:t xml:space="preserve"> darbuotojų sveikatos ir saugos vadybos sistemos reikalavimus pagal standartą LST EN ISO 45001, ar kitus darbuotojų sveikatos ir 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168AC5C2" w14:textId="77777777" w:rsidR="000472C7" w:rsidRPr="00422E59" w:rsidRDefault="000472C7" w:rsidP="00231E8E">
            <w:pPr>
              <w:tabs>
                <w:tab w:val="left" w:pos="284"/>
              </w:tabs>
              <w:contextualSpacing/>
              <w:jc w:val="both"/>
              <w:rPr>
                <w:rStyle w:val="Laukeliai"/>
                <w:rFonts w:cs="Arial"/>
                <w:sz w:val="18"/>
                <w:szCs w:val="18"/>
              </w:rPr>
            </w:pPr>
            <w:r w:rsidRPr="00422E59">
              <w:rPr>
                <w:rStyle w:val="Laukeliai"/>
                <w:rFonts w:cs="Arial"/>
                <w:sz w:val="18"/>
                <w:szCs w:val="18"/>
              </w:rPr>
              <w:t xml:space="preserve">LST EN ISO 45001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taikys darbuotojų sveikatos ir saugos vadybos priemones. </w:t>
            </w:r>
          </w:p>
          <w:p w14:paraId="64D1633D" w14:textId="53143F52" w:rsidR="000472C7" w:rsidRPr="00422E59" w:rsidRDefault="000472C7" w:rsidP="00231E8E">
            <w:pPr>
              <w:tabs>
                <w:tab w:val="left" w:pos="284"/>
              </w:tabs>
              <w:contextualSpacing/>
              <w:jc w:val="both"/>
              <w:rPr>
                <w:rStyle w:val="Laukeliai"/>
                <w:rFonts w:cs="Arial"/>
                <w:sz w:val="18"/>
                <w:szCs w:val="18"/>
              </w:rPr>
            </w:pPr>
            <w:r w:rsidRPr="00422E59">
              <w:rPr>
                <w:rStyle w:val="Laukeliai"/>
                <w:rFonts w:cs="Arial"/>
                <w:sz w:val="18"/>
                <w:szCs w:val="18"/>
              </w:rPr>
              <w:t xml:space="preserve">Jeigu tiekėjas negali pateikti pirkimo vykdytojo reikalaujamų aukščiau nurodytų dokumentų, jis turi teisę pateikti kitus pirkimo vykdytojui priimtinus dokumentus - lygiaverčius darbuotojų sveikatos ir saugos vadybos užtikrinimo priemonių įrodymus -  aprašą, kuriame nurodomas Tiekėjo, sutarties vykdymo laikotarpiu, </w:t>
            </w:r>
            <w:sdt>
              <w:sdtPr>
                <w:rPr>
                  <w:rStyle w:val="Style1"/>
                </w:rPr>
                <w:alias w:val="Pasirinkti"/>
                <w:tag w:val="Paslaugų teikimui"/>
                <w:id w:val="-1947374649"/>
                <w:placeholder>
                  <w:docPart w:val="1CCCBDB2FE25475DBC6732F2BE5BC486"/>
                </w:placeholder>
                <w15:color w:val="000000"/>
                <w:dropDownList>
                  <w:listItem w:displayText="Paslaugų teikimui" w:value="Paslaugų teikimui"/>
                  <w:listItem w:displayText="Darbų atlikimui" w:value="Darbų atlikimui"/>
                  <w:listItem w:displayText="Prekių gamybai" w:value="Prekių gamybai"/>
                </w:dropDownList>
              </w:sdtPr>
              <w:sdtEndPr>
                <w:rPr>
                  <w:rStyle w:val="DefaultParagraphFont"/>
                  <w:rFonts w:asciiTheme="minorHAnsi" w:hAnsiTheme="minorHAnsi" w:cs="Arial"/>
                  <w:sz w:val="20"/>
                  <w:szCs w:val="20"/>
                </w:rPr>
              </w:sdtEndPr>
              <w:sdtContent>
                <w:r>
                  <w:rPr>
                    <w:rStyle w:val="Style1"/>
                  </w:rPr>
                  <w:t>Paslaugų teikimui</w:t>
                </w:r>
              </w:sdtContent>
            </w:sdt>
            <w:r w:rsidRPr="00E93EF7">
              <w:rPr>
                <w:rFonts w:ascii="Arial" w:hAnsi="Arial" w:cs="Arial"/>
                <w:bCs/>
                <w:noProof/>
                <w:sz w:val="18"/>
                <w:szCs w:val="18"/>
              </w:rPr>
              <w:t xml:space="preserve"> </w:t>
            </w:r>
            <w:r w:rsidRPr="00422E59">
              <w:rPr>
                <w:rStyle w:val="Laukeliai"/>
                <w:rFonts w:cs="Arial"/>
                <w:sz w:val="18"/>
                <w:szCs w:val="18"/>
              </w:rPr>
              <w:t xml:space="preserve">taikomų darbuotojų sveikatos ir saugos vadybos priemonių aprašymas, tenkinantis visus šiuos reikalavimus: </w:t>
            </w:r>
          </w:p>
          <w:p w14:paraId="4FD90B1A" w14:textId="77777777" w:rsidR="000472C7" w:rsidRPr="00422E59" w:rsidRDefault="000472C7" w:rsidP="00231E8E">
            <w:pPr>
              <w:tabs>
                <w:tab w:val="left" w:pos="284"/>
              </w:tabs>
              <w:contextualSpacing/>
              <w:jc w:val="both"/>
              <w:rPr>
                <w:rStyle w:val="Laukeliai"/>
                <w:rFonts w:cs="Arial"/>
                <w:sz w:val="18"/>
                <w:szCs w:val="18"/>
              </w:rPr>
            </w:pPr>
            <w:r w:rsidRPr="00422E59">
              <w:rPr>
                <w:rStyle w:val="Laukeliai"/>
                <w:rFonts w:cs="Arial"/>
                <w:sz w:val="18"/>
                <w:szCs w:val="18"/>
              </w:rPr>
              <w:t>1. nustatyta, įgyvendinta ir prižiūrėta darbuotojų sveikatos ir saugos politika;</w:t>
            </w:r>
          </w:p>
          <w:p w14:paraId="548BCC85" w14:textId="77777777" w:rsidR="000472C7" w:rsidRPr="00422E59" w:rsidRDefault="000472C7" w:rsidP="00231E8E">
            <w:pPr>
              <w:tabs>
                <w:tab w:val="left" w:pos="284"/>
              </w:tabs>
              <w:contextualSpacing/>
              <w:jc w:val="both"/>
              <w:rPr>
                <w:rStyle w:val="Laukeliai"/>
                <w:rFonts w:cs="Arial"/>
                <w:sz w:val="18"/>
                <w:szCs w:val="18"/>
              </w:rPr>
            </w:pPr>
            <w:r w:rsidRPr="00422E59">
              <w:rPr>
                <w:rStyle w:val="Laukeliai"/>
                <w:rFonts w:cs="Arial"/>
                <w:sz w:val="18"/>
                <w:szCs w:val="18"/>
              </w:rPr>
              <w:t>2.  organizacijoje nustatyti, įdiegti ir prižiūrėti tęstiniai ir aktyvūs pavojų nustatymo procesai įskaitant darbuotojų sveikatos ir saugos rizikas, bei nustatyti aktualūs teisiniai reikalavimai taikytini pavojams ir rizikos veiksniams;</w:t>
            </w:r>
          </w:p>
          <w:p w14:paraId="1231EF9F" w14:textId="77777777" w:rsidR="000472C7" w:rsidRPr="00422E59" w:rsidRDefault="000472C7" w:rsidP="00231E8E">
            <w:pPr>
              <w:tabs>
                <w:tab w:val="left" w:pos="284"/>
              </w:tabs>
              <w:contextualSpacing/>
              <w:jc w:val="both"/>
              <w:rPr>
                <w:rStyle w:val="Laukeliai"/>
                <w:rFonts w:cs="Arial"/>
                <w:sz w:val="18"/>
                <w:szCs w:val="18"/>
              </w:rPr>
            </w:pPr>
            <w:r w:rsidRPr="00422E59">
              <w:rPr>
                <w:rStyle w:val="Laukeliai"/>
                <w:rFonts w:cs="Arial"/>
                <w:sz w:val="18"/>
                <w:szCs w:val="18"/>
              </w:rPr>
              <w:t>3. organizacija rengia ir saugo dokumentuotą informaciją apie darbuotojų sveikatos ir saugos tikslus ir jų pasiekimo planus;</w:t>
            </w:r>
          </w:p>
          <w:p w14:paraId="20C2706B" w14:textId="77777777" w:rsidR="000472C7" w:rsidRPr="00422E59" w:rsidRDefault="000472C7" w:rsidP="00231E8E">
            <w:pPr>
              <w:tabs>
                <w:tab w:val="left" w:pos="284"/>
              </w:tabs>
              <w:contextualSpacing/>
              <w:jc w:val="both"/>
              <w:rPr>
                <w:rStyle w:val="Laukeliai"/>
                <w:rFonts w:cs="Arial"/>
                <w:sz w:val="18"/>
                <w:szCs w:val="18"/>
              </w:rPr>
            </w:pPr>
            <w:r w:rsidRPr="00422E59">
              <w:rPr>
                <w:rStyle w:val="Laukeliai"/>
                <w:rFonts w:cs="Arial"/>
                <w:sz w:val="18"/>
                <w:szCs w:val="18"/>
              </w:rPr>
              <w:t xml:space="preserve">4. organizacija užtikrina, kad darbuotojams nustatyta būtina kompetencija, kuri daro ar gali daryti įtaką darbuotojų sveikatai ir saugumui ir darbuotojai yra kompetentingi; </w:t>
            </w:r>
          </w:p>
          <w:p w14:paraId="5E5F818D" w14:textId="77777777" w:rsidR="000472C7" w:rsidRPr="00422E59" w:rsidRDefault="000472C7" w:rsidP="00231E8E">
            <w:pPr>
              <w:tabs>
                <w:tab w:val="left" w:pos="284"/>
              </w:tabs>
              <w:contextualSpacing/>
              <w:jc w:val="both"/>
              <w:rPr>
                <w:rStyle w:val="Laukeliai"/>
                <w:rFonts w:cs="Arial"/>
                <w:sz w:val="18"/>
                <w:szCs w:val="18"/>
              </w:rPr>
            </w:pPr>
            <w:r w:rsidRPr="00422E59">
              <w:rPr>
                <w:rStyle w:val="Laukeliai"/>
                <w:rFonts w:cs="Arial"/>
                <w:sz w:val="18"/>
                <w:szCs w:val="18"/>
              </w:rPr>
              <w:t xml:space="preserve">5. užtikrina, kad rangovai ir jų darbuotojai laikytųsi darbuotojų sveikatos ir saugos vadybos sistemos reikalavimų: atrenkant rangovus darbuotojų sveikatos ir saugos kriterijai rangovams yra nustatyti ir taikomi </w:t>
            </w:r>
          </w:p>
          <w:p w14:paraId="10F9DF68" w14:textId="77777777" w:rsidR="000472C7" w:rsidRPr="00422E59" w:rsidRDefault="000472C7" w:rsidP="00231E8E">
            <w:pPr>
              <w:tabs>
                <w:tab w:val="left" w:pos="284"/>
              </w:tabs>
              <w:contextualSpacing/>
              <w:jc w:val="both"/>
              <w:rPr>
                <w:rStyle w:val="Laukeliai"/>
                <w:rFonts w:cs="Arial"/>
                <w:sz w:val="18"/>
                <w:szCs w:val="18"/>
              </w:rPr>
            </w:pPr>
            <w:r w:rsidRPr="00422E59">
              <w:rPr>
                <w:rStyle w:val="Laukeliai"/>
                <w:rFonts w:cs="Arial"/>
                <w:sz w:val="18"/>
                <w:szCs w:val="18"/>
              </w:rPr>
              <w:t xml:space="preserve">6. parengtas reagavimo į galimas avarines situacijas planas; </w:t>
            </w:r>
          </w:p>
          <w:p w14:paraId="5CFC62CF" w14:textId="77777777" w:rsidR="000472C7" w:rsidRPr="00422E59" w:rsidRDefault="000472C7" w:rsidP="00231E8E">
            <w:pPr>
              <w:tabs>
                <w:tab w:val="left" w:pos="284"/>
              </w:tabs>
              <w:contextualSpacing/>
              <w:jc w:val="both"/>
              <w:rPr>
                <w:rStyle w:val="Laukeliai"/>
                <w:rFonts w:cs="Arial"/>
                <w:sz w:val="18"/>
                <w:szCs w:val="18"/>
              </w:rPr>
            </w:pPr>
            <w:r w:rsidRPr="00422E59">
              <w:rPr>
                <w:rStyle w:val="Laukeliai"/>
                <w:rFonts w:cs="Arial"/>
                <w:sz w:val="18"/>
                <w:szCs w:val="18"/>
              </w:rPr>
              <w:t xml:space="preserve">7. organizacija atlieka darbuotojų sveikatos ir saugos teisinių reikalavimų laikymosi proceso įvertinimą pagal numatytą dažnumą ir metodą ir prireikus imasi veiksmų atitikties užtikrinimui; </w:t>
            </w:r>
          </w:p>
          <w:p w14:paraId="59678AB8" w14:textId="77777777" w:rsidR="000472C7" w:rsidRPr="00422E59" w:rsidRDefault="000472C7" w:rsidP="00231E8E">
            <w:pPr>
              <w:tabs>
                <w:tab w:val="left" w:pos="284"/>
              </w:tabs>
              <w:contextualSpacing/>
              <w:jc w:val="both"/>
              <w:rPr>
                <w:rStyle w:val="Laukeliai"/>
                <w:rFonts w:cs="Arial"/>
                <w:sz w:val="18"/>
                <w:szCs w:val="18"/>
              </w:rPr>
            </w:pPr>
            <w:r w:rsidRPr="00422E59">
              <w:rPr>
                <w:rStyle w:val="Laukeliai"/>
                <w:rFonts w:cs="Arial"/>
                <w:sz w:val="18"/>
                <w:szCs w:val="18"/>
              </w:rPr>
              <w:t>8. organizacijos vadovybė planuotais laiko tarpais atlieka organizacijos darbuotojų sveikatos ir saugos vadybos sistemos vertinamąją analizę, kad būtų užtikrintas jos nuolatinis tinkamumas, adekvatumas ir rezultatyvumas;.</w:t>
            </w:r>
          </w:p>
          <w:p w14:paraId="7441A7C8" w14:textId="77777777" w:rsidR="000472C7" w:rsidRPr="00422E59" w:rsidRDefault="000472C7" w:rsidP="00231E8E">
            <w:pPr>
              <w:tabs>
                <w:tab w:val="left" w:pos="284"/>
              </w:tabs>
              <w:contextualSpacing/>
              <w:jc w:val="both"/>
              <w:rPr>
                <w:rStyle w:val="Laukeliai"/>
                <w:rFonts w:cs="Arial"/>
                <w:sz w:val="18"/>
                <w:szCs w:val="18"/>
              </w:rPr>
            </w:pPr>
            <w:r w:rsidRPr="00422E59">
              <w:rPr>
                <w:rStyle w:val="Laukeliai"/>
                <w:rFonts w:cs="Arial"/>
                <w:sz w:val="18"/>
                <w:szCs w:val="18"/>
              </w:rPr>
              <w:t>9. sukurtas, įdiegtas ir prižiūrimas incidentų ir neatitikčių valdymo procesas įskaitant ataskaitų teikimą, tyrimų ir veiksmų vykdymą.</w:t>
            </w:r>
          </w:p>
          <w:p w14:paraId="15CE95ED" w14:textId="77777777" w:rsidR="000472C7" w:rsidRPr="00422E59" w:rsidRDefault="000472C7" w:rsidP="00231E8E">
            <w:pPr>
              <w:tabs>
                <w:tab w:val="left" w:pos="284"/>
              </w:tabs>
              <w:contextualSpacing/>
              <w:jc w:val="both"/>
              <w:rPr>
                <w:rStyle w:val="Laukeliai"/>
                <w:rFonts w:cs="Arial"/>
                <w:sz w:val="18"/>
                <w:szCs w:val="18"/>
              </w:rPr>
            </w:pPr>
          </w:p>
          <w:p w14:paraId="315A58B9" w14:textId="77777777" w:rsidR="000472C7" w:rsidRPr="00E93EF7" w:rsidRDefault="000472C7" w:rsidP="00231E8E">
            <w:pPr>
              <w:tabs>
                <w:tab w:val="left" w:pos="284"/>
              </w:tabs>
              <w:contextualSpacing/>
              <w:jc w:val="both"/>
              <w:rPr>
                <w:rStyle w:val="Laukeliai"/>
                <w:rFonts w:cs="Arial"/>
                <w:sz w:val="18"/>
                <w:szCs w:val="18"/>
              </w:rPr>
            </w:pPr>
            <w:r w:rsidRPr="00422E59">
              <w:rPr>
                <w:rStyle w:val="Laukeliai"/>
                <w:rFonts w:cs="Arial"/>
                <w:sz w:val="18"/>
                <w:szCs w:val="18"/>
              </w:rPr>
              <w:t>Tiekėjas taip pat turi pateikti aprašymą pagrindžiančius dokumentus (pateikiamos šių dokumentų kopijos).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A90D0" w14:textId="77777777" w:rsidR="000472C7" w:rsidRPr="00E93EF7" w:rsidRDefault="000472C7" w:rsidP="00231E8E">
            <w:pPr>
              <w:tabs>
                <w:tab w:val="left" w:pos="284"/>
              </w:tabs>
              <w:contextualSpacing/>
              <w:jc w:val="center"/>
              <w:rPr>
                <w:rStyle w:val="Laukeliai"/>
                <w:rFonts w:cs="Arial"/>
                <w:sz w:val="18"/>
                <w:szCs w:val="18"/>
              </w:rPr>
            </w:pPr>
            <w:r>
              <w:rPr>
                <w:rStyle w:val="Laukeliai"/>
                <w:rFonts w:cs="Arial"/>
                <w:sz w:val="18"/>
                <w:szCs w:val="18"/>
              </w:rPr>
              <w:lastRenderedPageBreak/>
              <w:t>-</w:t>
            </w:r>
          </w:p>
        </w:tc>
      </w:tr>
      <w:tr w:rsidR="000472C7" w:rsidRPr="00E93EF7" w14:paraId="6D08D8CC" w14:textId="77777777" w:rsidTr="004E1009">
        <w:trPr>
          <w:trHeight w:val="484"/>
        </w:trPr>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56EF3" w14:textId="77777777" w:rsidR="000472C7" w:rsidRPr="00E93EF7" w:rsidRDefault="000472C7" w:rsidP="00231E8E">
            <w:pPr>
              <w:tabs>
                <w:tab w:val="left" w:pos="284"/>
              </w:tabs>
              <w:contextualSpacing/>
              <w:jc w:val="center"/>
              <w:rPr>
                <w:rFonts w:ascii="Arial" w:hAnsi="Arial" w:cs="Arial"/>
                <w:color w:val="FF0000"/>
                <w:sz w:val="18"/>
                <w:szCs w:val="18"/>
                <w:lang w:val="en-US"/>
              </w:rPr>
            </w:pPr>
            <w:r w:rsidRPr="00EB3E24">
              <w:rPr>
                <w:rFonts w:ascii="Arial" w:hAnsi="Arial" w:cs="Arial"/>
                <w:sz w:val="18"/>
                <w:szCs w:val="18"/>
                <w:lang w:val="en-US"/>
              </w:rPr>
              <w:t>0 balų</w:t>
            </w:r>
          </w:p>
        </w:tc>
        <w:tc>
          <w:tcPr>
            <w:tcW w:w="127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E5251" w14:textId="77777777" w:rsidR="000472C7" w:rsidRDefault="000472C7" w:rsidP="00231E8E">
            <w:pPr>
              <w:tabs>
                <w:tab w:val="left" w:pos="284"/>
              </w:tabs>
              <w:contextualSpacing/>
              <w:rPr>
                <w:rStyle w:val="Laukeliai"/>
                <w:rFonts w:cs="Arial"/>
                <w:sz w:val="18"/>
                <w:szCs w:val="18"/>
              </w:rPr>
            </w:pPr>
            <w:r>
              <w:rPr>
                <w:rStyle w:val="Laukeliai"/>
                <w:rFonts w:cs="Arial"/>
                <w:sz w:val="18"/>
                <w:szCs w:val="18"/>
              </w:rPr>
              <w:t xml:space="preserve">Skiriama, kai Tiekėjas neatitinka vertinimo kriterijaus ar nepateikia atitiktį įrodančių dokumentų. </w:t>
            </w:r>
          </w:p>
        </w:tc>
      </w:tr>
    </w:tbl>
    <w:p w14:paraId="39BF7332" w14:textId="77777777" w:rsidR="00CD7BFD" w:rsidRDefault="00CD7BFD" w:rsidP="003C1CDE">
      <w:pPr>
        <w:tabs>
          <w:tab w:val="left" w:pos="7655"/>
        </w:tabs>
        <w:spacing w:after="0" w:line="240" w:lineRule="auto"/>
        <w:contextualSpacing/>
        <w:jc w:val="both"/>
        <w:rPr>
          <w:rFonts w:ascii="Arial" w:hAnsi="Arial" w:cs="Arial"/>
          <w:b/>
          <w:bCs/>
          <w:sz w:val="20"/>
          <w:szCs w:val="20"/>
        </w:rPr>
      </w:pPr>
    </w:p>
    <w:p w14:paraId="72B7CB22" w14:textId="77777777" w:rsidR="00CD7BFD" w:rsidRDefault="00CD7BFD" w:rsidP="003C1CDE">
      <w:pPr>
        <w:tabs>
          <w:tab w:val="left" w:pos="7655"/>
        </w:tabs>
        <w:spacing w:after="0" w:line="240" w:lineRule="auto"/>
        <w:contextualSpacing/>
        <w:jc w:val="both"/>
        <w:rPr>
          <w:rFonts w:ascii="Arial" w:hAnsi="Arial" w:cs="Arial"/>
          <w:b/>
          <w:bCs/>
          <w:sz w:val="20"/>
          <w:szCs w:val="20"/>
        </w:rPr>
      </w:pPr>
    </w:p>
    <w:p w14:paraId="6D56359E" w14:textId="77777777" w:rsidR="003B7399" w:rsidRDefault="003B7399" w:rsidP="003C1CDE">
      <w:pPr>
        <w:tabs>
          <w:tab w:val="left" w:pos="7655"/>
        </w:tabs>
        <w:spacing w:after="0" w:line="240" w:lineRule="auto"/>
        <w:contextualSpacing/>
        <w:jc w:val="both"/>
        <w:rPr>
          <w:rFonts w:ascii="Arial" w:hAnsi="Arial" w:cs="Arial"/>
          <w:b/>
          <w:bCs/>
          <w:sz w:val="20"/>
          <w:szCs w:val="20"/>
        </w:rPr>
      </w:pPr>
    </w:p>
    <w:p w14:paraId="1903972B" w14:textId="4893E8C9" w:rsidR="003C1CDE" w:rsidRPr="00021FFB" w:rsidRDefault="003C1CDE" w:rsidP="003C1CDE">
      <w:pPr>
        <w:tabs>
          <w:tab w:val="left" w:pos="7655"/>
        </w:tabs>
        <w:spacing w:after="0" w:line="240" w:lineRule="auto"/>
        <w:contextualSpacing/>
        <w:jc w:val="both"/>
        <w:rPr>
          <w:rFonts w:ascii="Arial" w:hAnsi="Arial" w:cs="Arial"/>
          <w:sz w:val="20"/>
          <w:szCs w:val="20"/>
        </w:rPr>
      </w:pPr>
      <w:r w:rsidRPr="00021FFB">
        <w:rPr>
          <w:rFonts w:ascii="Arial" w:hAnsi="Arial" w:cs="Arial"/>
          <w:b/>
          <w:bCs/>
          <w:sz w:val="20"/>
          <w:szCs w:val="20"/>
        </w:rPr>
        <w:t>Ekonomiškai naudingiausiu bus pripažintas Pasiūlymas, surinkęs daugiausiai balų.</w:t>
      </w:r>
    </w:p>
    <w:p w14:paraId="39CB0292" w14:textId="77777777" w:rsidR="003C1CDE" w:rsidRPr="00021FFB" w:rsidRDefault="003C1CDE" w:rsidP="003C1CDE">
      <w:pPr>
        <w:tabs>
          <w:tab w:val="left" w:pos="480"/>
        </w:tabs>
        <w:spacing w:after="0" w:line="240" w:lineRule="auto"/>
        <w:rPr>
          <w:rFonts w:ascii="Arial" w:hAnsi="Arial" w:cs="Arial"/>
          <w:b/>
          <w:bCs/>
          <w:i/>
          <w:color w:val="FF0000"/>
          <w:sz w:val="20"/>
          <w:szCs w:val="20"/>
          <w:u w:val="single"/>
        </w:rPr>
      </w:pPr>
    </w:p>
    <w:p w14:paraId="0F5A6A17" w14:textId="6AA88D0B" w:rsidR="00197F1B" w:rsidRDefault="00197F1B" w:rsidP="003C1CDE">
      <w:pPr>
        <w:pStyle w:val="Heading2"/>
        <w:tabs>
          <w:tab w:val="left" w:pos="284"/>
          <w:tab w:val="left" w:pos="426"/>
          <w:tab w:val="left" w:pos="851"/>
        </w:tabs>
        <w:spacing w:before="0" w:after="0"/>
        <w:jc w:val="both"/>
      </w:pPr>
    </w:p>
    <w:sectPr w:rsidR="00197F1B" w:rsidSect="00205C3C">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C3275" w14:textId="77777777" w:rsidR="002B70F3" w:rsidRDefault="002B70F3" w:rsidP="00197F1B">
      <w:pPr>
        <w:spacing w:after="0" w:line="240" w:lineRule="auto"/>
      </w:pPr>
      <w:r>
        <w:separator/>
      </w:r>
    </w:p>
  </w:endnote>
  <w:endnote w:type="continuationSeparator" w:id="0">
    <w:p w14:paraId="29EB8DDD" w14:textId="77777777" w:rsidR="002B70F3" w:rsidRDefault="002B70F3" w:rsidP="00197F1B">
      <w:pPr>
        <w:spacing w:after="0" w:line="240" w:lineRule="auto"/>
      </w:pPr>
      <w:r>
        <w:continuationSeparator/>
      </w:r>
    </w:p>
  </w:endnote>
  <w:endnote w:type="continuationNotice" w:id="1">
    <w:p w14:paraId="50F2F20E" w14:textId="77777777" w:rsidR="002B70F3" w:rsidRDefault="002B7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9A88" w14:textId="77777777" w:rsidR="00197F1B" w:rsidRDefault="00197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8E1B" w14:textId="77777777" w:rsidR="00197F1B" w:rsidRDefault="00197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EB00" w14:textId="77777777" w:rsidR="00197F1B" w:rsidRDefault="0019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AB17B" w14:textId="77777777" w:rsidR="002B70F3" w:rsidRDefault="002B70F3" w:rsidP="00197F1B">
      <w:pPr>
        <w:spacing w:after="0" w:line="240" w:lineRule="auto"/>
      </w:pPr>
      <w:r>
        <w:separator/>
      </w:r>
    </w:p>
  </w:footnote>
  <w:footnote w:type="continuationSeparator" w:id="0">
    <w:p w14:paraId="34047751" w14:textId="77777777" w:rsidR="002B70F3" w:rsidRDefault="002B70F3" w:rsidP="00197F1B">
      <w:pPr>
        <w:spacing w:after="0" w:line="240" w:lineRule="auto"/>
      </w:pPr>
      <w:r>
        <w:continuationSeparator/>
      </w:r>
    </w:p>
  </w:footnote>
  <w:footnote w:type="continuationNotice" w:id="1">
    <w:p w14:paraId="132CB05D" w14:textId="77777777" w:rsidR="002B70F3" w:rsidRDefault="002B7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E544" w14:textId="48E7D87F" w:rsidR="00197F1B" w:rsidRDefault="00197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7A90" w14:textId="2B8F4534" w:rsidR="00197F1B" w:rsidRDefault="00197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AAA8" w14:textId="1B112850" w:rsidR="00197F1B" w:rsidRDefault="00197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5AA5D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EC439E"/>
    <w:multiLevelType w:val="multilevel"/>
    <w:tmpl w:val="FBD264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EDE2FC4"/>
    <w:multiLevelType w:val="multilevel"/>
    <w:tmpl w:val="3F7CDB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591164409">
    <w:abstractNumId w:val="1"/>
  </w:num>
  <w:num w:numId="2" w16cid:durableId="789935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1906769">
    <w:abstractNumId w:val="1"/>
  </w:num>
  <w:num w:numId="4" w16cid:durableId="21441551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565467">
    <w:abstractNumId w:val="3"/>
  </w:num>
  <w:num w:numId="6" w16cid:durableId="8634424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5580373">
    <w:abstractNumId w:val="2"/>
  </w:num>
  <w:num w:numId="8" w16cid:durableId="786237317">
    <w:abstractNumId w:val="6"/>
  </w:num>
  <w:num w:numId="9" w16cid:durableId="1774856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0413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1B"/>
    <w:rsid w:val="00012D5A"/>
    <w:rsid w:val="000219B7"/>
    <w:rsid w:val="00033E69"/>
    <w:rsid w:val="000472C7"/>
    <w:rsid w:val="000479D3"/>
    <w:rsid w:val="0006302C"/>
    <w:rsid w:val="000A23C0"/>
    <w:rsid w:val="000B4509"/>
    <w:rsid w:val="00103AAF"/>
    <w:rsid w:val="00123092"/>
    <w:rsid w:val="00124399"/>
    <w:rsid w:val="00125826"/>
    <w:rsid w:val="001440FC"/>
    <w:rsid w:val="001570D0"/>
    <w:rsid w:val="00197F1B"/>
    <w:rsid w:val="001A6ECF"/>
    <w:rsid w:val="001B0882"/>
    <w:rsid w:val="001B3249"/>
    <w:rsid w:val="001D59C4"/>
    <w:rsid w:val="001F2557"/>
    <w:rsid w:val="0020212E"/>
    <w:rsid w:val="00205C3C"/>
    <w:rsid w:val="00227C73"/>
    <w:rsid w:val="0023181E"/>
    <w:rsid w:val="002442FB"/>
    <w:rsid w:val="002503AB"/>
    <w:rsid w:val="00254D48"/>
    <w:rsid w:val="00255528"/>
    <w:rsid w:val="00276868"/>
    <w:rsid w:val="002B70F3"/>
    <w:rsid w:val="002D1C97"/>
    <w:rsid w:val="002D38D3"/>
    <w:rsid w:val="002E001D"/>
    <w:rsid w:val="002E50EE"/>
    <w:rsid w:val="002F5083"/>
    <w:rsid w:val="00306871"/>
    <w:rsid w:val="003441A8"/>
    <w:rsid w:val="003713E0"/>
    <w:rsid w:val="00371C10"/>
    <w:rsid w:val="00380523"/>
    <w:rsid w:val="00391C1A"/>
    <w:rsid w:val="003B1581"/>
    <w:rsid w:val="003B7399"/>
    <w:rsid w:val="003C1CDE"/>
    <w:rsid w:val="003C3736"/>
    <w:rsid w:val="003D1EB8"/>
    <w:rsid w:val="00405968"/>
    <w:rsid w:val="004709D4"/>
    <w:rsid w:val="00476D8C"/>
    <w:rsid w:val="004831B3"/>
    <w:rsid w:val="00497EB8"/>
    <w:rsid w:val="004E1009"/>
    <w:rsid w:val="004E249F"/>
    <w:rsid w:val="004F1E8A"/>
    <w:rsid w:val="004F3BBA"/>
    <w:rsid w:val="00507ED0"/>
    <w:rsid w:val="00536443"/>
    <w:rsid w:val="0054022B"/>
    <w:rsid w:val="005679FF"/>
    <w:rsid w:val="00571A31"/>
    <w:rsid w:val="005835CB"/>
    <w:rsid w:val="0059285B"/>
    <w:rsid w:val="00594C18"/>
    <w:rsid w:val="00595E18"/>
    <w:rsid w:val="005A0C02"/>
    <w:rsid w:val="005C0031"/>
    <w:rsid w:val="00605ABD"/>
    <w:rsid w:val="006110DD"/>
    <w:rsid w:val="0062680A"/>
    <w:rsid w:val="0063191B"/>
    <w:rsid w:val="00652F25"/>
    <w:rsid w:val="006751A3"/>
    <w:rsid w:val="006A2E46"/>
    <w:rsid w:val="006A6FE4"/>
    <w:rsid w:val="006B13FF"/>
    <w:rsid w:val="006B149B"/>
    <w:rsid w:val="006B74A3"/>
    <w:rsid w:val="006E7FE8"/>
    <w:rsid w:val="006F0317"/>
    <w:rsid w:val="006F76AD"/>
    <w:rsid w:val="00716AD0"/>
    <w:rsid w:val="00723DA4"/>
    <w:rsid w:val="0074162E"/>
    <w:rsid w:val="00771941"/>
    <w:rsid w:val="00785665"/>
    <w:rsid w:val="007A6E7C"/>
    <w:rsid w:val="007B6CAD"/>
    <w:rsid w:val="007C3444"/>
    <w:rsid w:val="007E2779"/>
    <w:rsid w:val="007E76C9"/>
    <w:rsid w:val="008633A0"/>
    <w:rsid w:val="00894D87"/>
    <w:rsid w:val="008A7C79"/>
    <w:rsid w:val="008C541E"/>
    <w:rsid w:val="008D538E"/>
    <w:rsid w:val="009126C1"/>
    <w:rsid w:val="009138B7"/>
    <w:rsid w:val="00916534"/>
    <w:rsid w:val="00920B56"/>
    <w:rsid w:val="009218CA"/>
    <w:rsid w:val="00937F1A"/>
    <w:rsid w:val="0096652E"/>
    <w:rsid w:val="009861B6"/>
    <w:rsid w:val="009966A1"/>
    <w:rsid w:val="009C2581"/>
    <w:rsid w:val="009C7BD4"/>
    <w:rsid w:val="009D5897"/>
    <w:rsid w:val="009E631B"/>
    <w:rsid w:val="00A0210A"/>
    <w:rsid w:val="00A037BE"/>
    <w:rsid w:val="00A9350D"/>
    <w:rsid w:val="00AB788F"/>
    <w:rsid w:val="00AD5A4C"/>
    <w:rsid w:val="00AE1E94"/>
    <w:rsid w:val="00AF222E"/>
    <w:rsid w:val="00B24461"/>
    <w:rsid w:val="00B55C65"/>
    <w:rsid w:val="00B736C0"/>
    <w:rsid w:val="00B73DC7"/>
    <w:rsid w:val="00B95629"/>
    <w:rsid w:val="00BA6FF3"/>
    <w:rsid w:val="00BC13D7"/>
    <w:rsid w:val="00BF5E75"/>
    <w:rsid w:val="00C076C9"/>
    <w:rsid w:val="00C2193E"/>
    <w:rsid w:val="00C26748"/>
    <w:rsid w:val="00C55451"/>
    <w:rsid w:val="00CB516A"/>
    <w:rsid w:val="00CC09FB"/>
    <w:rsid w:val="00CC6C8F"/>
    <w:rsid w:val="00CC70D1"/>
    <w:rsid w:val="00CC7B9C"/>
    <w:rsid w:val="00CD7BFD"/>
    <w:rsid w:val="00CE06E7"/>
    <w:rsid w:val="00CF0B5B"/>
    <w:rsid w:val="00D124E2"/>
    <w:rsid w:val="00D22D6C"/>
    <w:rsid w:val="00D95CAC"/>
    <w:rsid w:val="00DB7C70"/>
    <w:rsid w:val="00DE5A75"/>
    <w:rsid w:val="00DF5D4C"/>
    <w:rsid w:val="00E10FB3"/>
    <w:rsid w:val="00E122EB"/>
    <w:rsid w:val="00E51DA0"/>
    <w:rsid w:val="00E66712"/>
    <w:rsid w:val="00E9070E"/>
    <w:rsid w:val="00E97F93"/>
    <w:rsid w:val="00EA0D92"/>
    <w:rsid w:val="00EB46AA"/>
    <w:rsid w:val="00EE453B"/>
    <w:rsid w:val="00EE4BA5"/>
    <w:rsid w:val="00EF431A"/>
    <w:rsid w:val="00EF48D7"/>
    <w:rsid w:val="00F44F3C"/>
    <w:rsid w:val="00F51662"/>
    <w:rsid w:val="00F675D7"/>
    <w:rsid w:val="00F90C28"/>
    <w:rsid w:val="00FA69F6"/>
    <w:rsid w:val="00FB484B"/>
    <w:rsid w:val="00FB78ED"/>
    <w:rsid w:val="00FC01BB"/>
    <w:rsid w:val="00FD3BF0"/>
    <w:rsid w:val="00FF1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49EDA"/>
  <w15:chartTrackingRefBased/>
  <w15:docId w15:val="{3BCA3E83-D616-47E2-BC54-0D10D857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197F1B"/>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97F1B"/>
    <w:rPr>
      <w:rFonts w:ascii="Cambria" w:eastAsia="Times New Roman" w:hAnsi="Cambria" w:cs="Times New Roman"/>
      <w:b/>
      <w:bCs/>
      <w:i/>
      <w:iCs/>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197F1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99"/>
    <w:rsid w:val="00197F1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97F1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97F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7F1B"/>
  </w:style>
  <w:style w:type="paragraph" w:styleId="Footer">
    <w:name w:val="footer"/>
    <w:basedOn w:val="Normal"/>
    <w:link w:val="FooterChar"/>
    <w:uiPriority w:val="99"/>
    <w:unhideWhenUsed/>
    <w:rsid w:val="00197F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7F1B"/>
  </w:style>
  <w:style w:type="paragraph" w:styleId="BalloonText">
    <w:name w:val="Balloon Text"/>
    <w:basedOn w:val="Normal"/>
    <w:link w:val="BalloonTextChar"/>
    <w:uiPriority w:val="99"/>
    <w:semiHidden/>
    <w:unhideWhenUsed/>
    <w:rsid w:val="007C3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444"/>
    <w:rPr>
      <w:rFonts w:ascii="Segoe UI" w:hAnsi="Segoe UI" w:cs="Segoe UI"/>
      <w:sz w:val="18"/>
      <w:szCs w:val="18"/>
    </w:rPr>
  </w:style>
  <w:style w:type="character" w:styleId="CommentReference">
    <w:name w:val="annotation reference"/>
    <w:basedOn w:val="DefaultParagraphFont"/>
    <w:uiPriority w:val="99"/>
    <w:semiHidden/>
    <w:unhideWhenUsed/>
    <w:rsid w:val="009E631B"/>
    <w:rPr>
      <w:sz w:val="16"/>
      <w:szCs w:val="16"/>
    </w:rPr>
  </w:style>
  <w:style w:type="paragraph" w:styleId="CommentText">
    <w:name w:val="annotation text"/>
    <w:basedOn w:val="Normal"/>
    <w:link w:val="CommentTextChar"/>
    <w:uiPriority w:val="99"/>
    <w:unhideWhenUsed/>
    <w:rsid w:val="009E631B"/>
    <w:pPr>
      <w:spacing w:line="240" w:lineRule="auto"/>
    </w:pPr>
    <w:rPr>
      <w:sz w:val="20"/>
      <w:szCs w:val="20"/>
    </w:rPr>
  </w:style>
  <w:style w:type="character" w:customStyle="1" w:styleId="CommentTextChar">
    <w:name w:val="Comment Text Char"/>
    <w:basedOn w:val="DefaultParagraphFont"/>
    <w:link w:val="CommentText"/>
    <w:uiPriority w:val="99"/>
    <w:rsid w:val="009E631B"/>
    <w:rPr>
      <w:sz w:val="20"/>
      <w:szCs w:val="20"/>
    </w:rPr>
  </w:style>
  <w:style w:type="paragraph" w:styleId="CommentSubject">
    <w:name w:val="annotation subject"/>
    <w:basedOn w:val="CommentText"/>
    <w:next w:val="CommentText"/>
    <w:link w:val="CommentSubjectChar"/>
    <w:uiPriority w:val="99"/>
    <w:semiHidden/>
    <w:unhideWhenUsed/>
    <w:rsid w:val="009E631B"/>
    <w:rPr>
      <w:b/>
      <w:bCs/>
    </w:rPr>
  </w:style>
  <w:style w:type="character" w:customStyle="1" w:styleId="CommentSubjectChar">
    <w:name w:val="Comment Subject Char"/>
    <w:basedOn w:val="CommentTextChar"/>
    <w:link w:val="CommentSubject"/>
    <w:uiPriority w:val="99"/>
    <w:semiHidden/>
    <w:rsid w:val="009E631B"/>
    <w:rPr>
      <w:b/>
      <w:bCs/>
      <w:sz w:val="20"/>
      <w:szCs w:val="20"/>
    </w:rPr>
  </w:style>
  <w:style w:type="character" w:customStyle="1" w:styleId="Laukeliai">
    <w:name w:val="Laukeliai"/>
    <w:basedOn w:val="DefaultParagraphFont"/>
    <w:uiPriority w:val="1"/>
    <w:qFormat/>
    <w:rsid w:val="00CC70D1"/>
    <w:rPr>
      <w:rFonts w:ascii="Arial" w:hAnsi="Arial"/>
      <w:sz w:val="20"/>
    </w:rPr>
  </w:style>
  <w:style w:type="table" w:customStyle="1" w:styleId="TableGrid1">
    <w:name w:val="Table Grid1"/>
    <w:basedOn w:val="TableNormal"/>
    <w:uiPriority w:val="39"/>
    <w:rsid w:val="002F50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EB8"/>
    <w:rPr>
      <w:color w:val="666666"/>
    </w:rPr>
  </w:style>
  <w:style w:type="character" w:customStyle="1" w:styleId="Style1">
    <w:name w:val="Style1"/>
    <w:basedOn w:val="DefaultParagraphFont"/>
    <w:uiPriority w:val="1"/>
    <w:rsid w:val="003D1EB8"/>
    <w:rPr>
      <w:rFonts w:ascii="Arial" w:hAnsi="Arial"/>
      <w:sz w:val="18"/>
    </w:rPr>
  </w:style>
  <w:style w:type="paragraph" w:styleId="Revision">
    <w:name w:val="Revision"/>
    <w:hidden/>
    <w:uiPriority w:val="99"/>
    <w:semiHidden/>
    <w:rsid w:val="00EF4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1F1AFA2E0E4D8EA1153BEC9624A9C5"/>
        <w:category>
          <w:name w:val="General"/>
          <w:gallery w:val="placeholder"/>
        </w:category>
        <w:types>
          <w:type w:val="bbPlcHdr"/>
        </w:types>
        <w:behaviors>
          <w:behavior w:val="content"/>
        </w:behaviors>
        <w:guid w:val="{6F0738EB-DAB9-404B-91EC-C7189C525B45}"/>
      </w:docPartPr>
      <w:docPartBody>
        <w:p w:rsidR="00FB476B" w:rsidRDefault="00FB476B" w:rsidP="00FB476B">
          <w:pPr>
            <w:pStyle w:val="471F1AFA2E0E4D8EA1153BEC9624A9C5"/>
          </w:pPr>
          <w:r w:rsidRPr="00C00288">
            <w:rPr>
              <w:rStyle w:val="PlaceholderText"/>
            </w:rPr>
            <w:t>Choose an item.</w:t>
          </w:r>
        </w:p>
      </w:docPartBody>
    </w:docPart>
    <w:docPart>
      <w:docPartPr>
        <w:name w:val="1CCCBDB2FE25475DBC6732F2BE5BC486"/>
        <w:category>
          <w:name w:val="General"/>
          <w:gallery w:val="placeholder"/>
        </w:category>
        <w:types>
          <w:type w:val="bbPlcHdr"/>
        </w:types>
        <w:behaviors>
          <w:behavior w:val="content"/>
        </w:behaviors>
        <w:guid w:val="{9EB55CF1-00A0-4A1D-8BBE-A48622A49D3D}"/>
      </w:docPartPr>
      <w:docPartBody>
        <w:p w:rsidR="00FB476B" w:rsidRDefault="00FB476B" w:rsidP="00FB476B">
          <w:pPr>
            <w:pStyle w:val="1CCCBDB2FE25475DBC6732F2BE5BC486"/>
          </w:pPr>
          <w:r w:rsidRPr="00C002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91"/>
    <w:rsid w:val="00124399"/>
    <w:rsid w:val="00227C73"/>
    <w:rsid w:val="002D38D3"/>
    <w:rsid w:val="005835CB"/>
    <w:rsid w:val="006B149B"/>
    <w:rsid w:val="0072769A"/>
    <w:rsid w:val="00737E91"/>
    <w:rsid w:val="0074162E"/>
    <w:rsid w:val="0085099A"/>
    <w:rsid w:val="00BA6FF3"/>
    <w:rsid w:val="00CD242F"/>
    <w:rsid w:val="00FB476B"/>
    <w:rsid w:val="00FB7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476B"/>
    <w:rPr>
      <w:color w:val="666666"/>
    </w:rPr>
  </w:style>
  <w:style w:type="paragraph" w:customStyle="1" w:styleId="471F1AFA2E0E4D8EA1153BEC9624A9C5">
    <w:name w:val="471F1AFA2E0E4D8EA1153BEC9624A9C5"/>
    <w:rsid w:val="00FB476B"/>
  </w:style>
  <w:style w:type="paragraph" w:customStyle="1" w:styleId="1CCCBDB2FE25475DBC6732F2BE5BC486">
    <w:name w:val="1CCCBDB2FE25475DBC6732F2BE5BC486"/>
    <w:rsid w:val="00FB4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55</TotalTime>
  <Pages>3</Pages>
  <Words>3168</Words>
  <Characters>1807</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Versija 5 (20191015)</dc:description>
  <cp:lastModifiedBy>Jūratė Kaupinienė</cp:lastModifiedBy>
  <cp:revision>135</cp:revision>
  <dcterms:created xsi:type="dcterms:W3CDTF">2019-05-16T13:00:00Z</dcterms:created>
  <dcterms:modified xsi:type="dcterms:W3CDTF">2025-11-18T09:11:00Z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2019-06-11T07:19:21.2492494Z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f01ab589-3d03-4a47-8f50-da3e645bfe7d</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2022-04-05T11:00:22Z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f01ab589-3d03-4a47-8f50-da3e645bfe7d</vt:lpwstr>
  </property>
  <property fmtid="{D5CDD505-2E9C-101B-9397-08002B2CF9AE}" pid="16" name="MSIP_Label_190751af-2442-49a7-b7b9-9f0bcce858c9_ContentBits">
    <vt:lpwstr>0</vt:lpwstr>
  </property>
</Properties>
</file>