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77777777" w:rsidR="00205AB1" w:rsidRDefault="00205AB1" w:rsidP="00205AB1">
      <w:pPr>
        <w:pStyle w:val="Body2"/>
        <w:rPr>
          <w:color w:val="000000" w:themeColor="text1"/>
          <w:lang w:val="lt-LT"/>
        </w:rPr>
      </w:pPr>
    </w:p>
    <w:p w14:paraId="19BC5DAF" w14:textId="77777777" w:rsidR="006A3FD4" w:rsidRPr="00BE4004" w:rsidRDefault="006A3FD4" w:rsidP="00205AB1">
      <w:pPr>
        <w:pStyle w:val="Body2"/>
        <w:rPr>
          <w:color w:val="000000" w:themeColor="text1"/>
          <w:lang w:val="lt-LT"/>
        </w:rPr>
      </w:pPr>
    </w:p>
    <w:p w14:paraId="5C3A2980" w14:textId="77777777" w:rsidR="006B4340" w:rsidRPr="002E33FD" w:rsidRDefault="006B4340" w:rsidP="006B4340">
      <w:pPr>
        <w:pStyle w:val="Heading"/>
        <w:jc w:val="center"/>
        <w:rPr>
          <w:rFonts w:cs="Times New Roman"/>
          <w:color w:val="auto"/>
          <w:lang w:val="lt-LT"/>
        </w:rPr>
      </w:pPr>
      <w:r w:rsidRPr="002E33FD">
        <w:rPr>
          <w:rFonts w:cs="Times New Roman"/>
          <w:color w:val="auto"/>
          <w:lang w:val="lt-LT"/>
        </w:rPr>
        <w:t>Gynybos resursų agentūra prie K</w:t>
      </w:r>
      <w:r>
        <w:rPr>
          <w:rFonts w:cs="Times New Roman"/>
          <w:color w:val="auto"/>
          <w:lang w:val="lt-LT"/>
        </w:rPr>
        <w:t>rašto apsaugos ministerijos</w:t>
      </w:r>
    </w:p>
    <w:p w14:paraId="3E56F355" w14:textId="77777777" w:rsidR="006B4340" w:rsidRDefault="006B4340" w:rsidP="006B4340">
      <w:pPr>
        <w:pStyle w:val="Heading"/>
        <w:jc w:val="center"/>
        <w:rPr>
          <w:rFonts w:cs="Times New Roman"/>
          <w:color w:val="auto"/>
          <w:sz w:val="24"/>
          <w:szCs w:val="24"/>
          <w:lang w:val="lt-LT"/>
        </w:rPr>
      </w:pPr>
    </w:p>
    <w:p w14:paraId="2E795721" w14:textId="77777777" w:rsidR="006A3FD4" w:rsidRPr="002772AA" w:rsidRDefault="006A3FD4" w:rsidP="002772AA">
      <w:pPr>
        <w:pStyle w:val="Body2"/>
        <w:rPr>
          <w:lang w:val="lt-LT"/>
        </w:rPr>
      </w:pPr>
    </w:p>
    <w:p w14:paraId="31D9E686" w14:textId="0BD17171" w:rsidR="006B4340" w:rsidRPr="00A5393A" w:rsidRDefault="006B4340" w:rsidP="006B4340">
      <w:pPr>
        <w:pStyle w:val="Heading"/>
        <w:jc w:val="center"/>
        <w:rPr>
          <w:rFonts w:cs="Times New Roman"/>
          <w:color w:val="auto"/>
          <w:sz w:val="24"/>
          <w:szCs w:val="24"/>
          <w:lang w:val="lt-LT"/>
        </w:rPr>
      </w:pPr>
      <w:r>
        <w:rPr>
          <w:rFonts w:cs="Times New Roman"/>
          <w:color w:val="auto"/>
          <w:sz w:val="24"/>
          <w:szCs w:val="24"/>
          <w:lang w:val="lt-LT"/>
        </w:rPr>
        <w:t>AKSELBANTAI IR SAGOS</w:t>
      </w:r>
    </w:p>
    <w:p w14:paraId="0F6D6140" w14:textId="77777777" w:rsidR="006B4340" w:rsidRPr="00A5393A" w:rsidRDefault="006B4340" w:rsidP="006B4340">
      <w:pPr>
        <w:pStyle w:val="Body2"/>
        <w:spacing w:after="0"/>
        <w:rPr>
          <w:sz w:val="24"/>
          <w:szCs w:val="24"/>
          <w:lang w:val="lt-LT"/>
        </w:rPr>
      </w:pPr>
    </w:p>
    <w:p w14:paraId="5B5E0362" w14:textId="77777777" w:rsidR="006A3FD4" w:rsidRPr="002B18A4" w:rsidRDefault="006A3FD4" w:rsidP="006A3FD4">
      <w:pPr>
        <w:pStyle w:val="Heading"/>
        <w:jc w:val="center"/>
        <w:rPr>
          <w:rFonts w:cs="Times New Roman"/>
          <w:color w:val="auto"/>
          <w:lang w:val="lt-LT"/>
        </w:rPr>
      </w:pPr>
      <w:r w:rsidRPr="002B18A4">
        <w:rPr>
          <w:rFonts w:cs="Times New Roman"/>
          <w:color w:val="auto"/>
          <w:lang w:val="lt-LT"/>
        </w:rPr>
        <w:t>Atviras konkursas (VPĮ)</w:t>
      </w:r>
    </w:p>
    <w:p w14:paraId="72387B0F" w14:textId="77777777" w:rsidR="006B4340" w:rsidRPr="002772AA" w:rsidRDefault="006B4340" w:rsidP="006B4340">
      <w:pPr>
        <w:pStyle w:val="Body2"/>
        <w:spacing w:after="0"/>
        <w:jc w:val="center"/>
        <w:rPr>
          <w:b/>
          <w:lang w:val="lt-LT"/>
        </w:rPr>
      </w:pPr>
      <w:r w:rsidRPr="002772AA">
        <w:rPr>
          <w:b/>
          <w:lang w:val="lt-LT"/>
        </w:rPr>
        <w:t>PIRKIMO SĄLYGOS</w:t>
      </w:r>
    </w:p>
    <w:p w14:paraId="49237ADB" w14:textId="77777777" w:rsidR="001E7BF8" w:rsidRDefault="001E7BF8" w:rsidP="00205AB1">
      <w:pPr>
        <w:pStyle w:val="Body2"/>
        <w:rPr>
          <w:lang w:val="lt-LT"/>
        </w:rPr>
      </w:pPr>
    </w:p>
    <w:p w14:paraId="570912D7" w14:textId="77777777" w:rsidR="006B4340" w:rsidRDefault="00205AB1" w:rsidP="006B4340">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993"/>
        </w:tabs>
        <w:ind w:firstLine="992"/>
        <w:jc w:val="both"/>
        <w:rPr>
          <w:lang w:val="lt-LT"/>
        </w:rPr>
      </w:pPr>
      <w:r w:rsidRPr="006B4340">
        <w:rPr>
          <w:lang w:val="lt-LT"/>
        </w:rPr>
        <w:tab/>
      </w:r>
      <w:r w:rsidRPr="006B4340">
        <w:rPr>
          <w:b/>
          <w:lang w:val="lt-LT"/>
        </w:rPr>
        <w:t>1. BENDROSIOS NUOSTATOS</w:t>
      </w:r>
      <w:r w:rsidRPr="006B4340">
        <w:rPr>
          <w:b/>
          <w:lang w:val="lt-LT"/>
        </w:rPr>
        <w:tab/>
      </w:r>
      <w:r w:rsidRPr="006B4340">
        <w:rPr>
          <w:b/>
          <w:lang w:val="lt-LT"/>
        </w:rPr>
        <w:br/>
      </w:r>
      <w:r w:rsidRPr="006B4340">
        <w:rPr>
          <w:b/>
          <w:lang w:val="lt-LT"/>
        </w:rPr>
        <w:tab/>
      </w:r>
    </w:p>
    <w:p w14:paraId="483E11A6" w14:textId="1224B31A" w:rsidR="006B4340" w:rsidRPr="006B4340" w:rsidRDefault="006B4340" w:rsidP="006B4340">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993"/>
        </w:tabs>
        <w:ind w:firstLine="663"/>
        <w:jc w:val="both"/>
        <w:rPr>
          <w:rFonts w:eastAsia="Times New Roman"/>
          <w:sz w:val="22"/>
          <w:szCs w:val="22"/>
          <w:bdr w:val="none" w:sz="0" w:space="0" w:color="auto"/>
          <w:lang w:val="lt-LT"/>
        </w:rPr>
      </w:pPr>
      <w:r>
        <w:rPr>
          <w:lang w:val="lt-LT"/>
        </w:rPr>
        <w:t xml:space="preserve">1.1. </w:t>
      </w:r>
      <w:r w:rsidRPr="006B4340">
        <w:rPr>
          <w:rFonts w:eastAsia="Times New Roman"/>
          <w:sz w:val="22"/>
          <w:szCs w:val="22"/>
          <w:bdr w:val="none" w:sz="0" w:space="0" w:color="auto"/>
          <w:lang w:val="lt-LT"/>
        </w:rPr>
        <w:t>Perkančioji organizacija - Gynybos resursų agentūra prie Krašto apsaugos ministerijos (toliau – KAM), juridinio asmens kodas 304740061, adresas Giedraičių g. 41, LT-09303 Vilnius, Lietuva (toliau - perkančioji organizacija), vykdydama šį viešąjį pirkimą numato įsigyti pirkimo sąlygų techninėje specifikacijoje nurodytus pirkimo objektus.</w:t>
      </w:r>
      <w:r w:rsidRPr="006B4340">
        <w:rPr>
          <w:rFonts w:eastAsia="Times New Roman"/>
          <w:sz w:val="22"/>
          <w:szCs w:val="22"/>
          <w:bdr w:val="none" w:sz="0" w:space="0" w:color="auto"/>
          <w:lang w:val="lt-LT"/>
        </w:rPr>
        <w:tab/>
      </w:r>
    </w:p>
    <w:p w14:paraId="1037DD7B" w14:textId="77777777" w:rsidR="006B4340" w:rsidRPr="006B4340" w:rsidRDefault="006B4340" w:rsidP="006B4340">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993"/>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 xml:space="preserve">1.2. Šis viešasis pirkimas atliekamas vadovaujantis Lietuvos Respublikos viešųjų pirkimų įstatymu (toliau-VPĮ), Lietuvos Respublikos civiliniu kodeksu, kitais viešuosius pirkimus reglamentuojančiais teisės aktais bei šiomis pirkimo sąlygomis. Vartojamos sąvokos, apibrėžtos VPĮ. </w:t>
      </w:r>
      <w:r w:rsidRPr="006B4340">
        <w:rPr>
          <w:rFonts w:eastAsia="Times New Roman"/>
          <w:sz w:val="22"/>
          <w:szCs w:val="22"/>
          <w:bdr w:val="none" w:sz="0" w:space="0" w:color="auto"/>
          <w:lang w:val="lt-LT"/>
        </w:rPr>
        <w:tab/>
      </w:r>
    </w:p>
    <w:p w14:paraId="4A3878CC" w14:textId="77777777" w:rsidR="006B4340" w:rsidRPr="006B4340" w:rsidRDefault="006B4340" w:rsidP="006B434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1.3. Išankstinis skelbimas apie pirkimą nebuvo skelbtas.</w:t>
      </w:r>
      <w:r w:rsidRPr="006B4340">
        <w:rPr>
          <w:rFonts w:eastAsia="Times New Roman"/>
          <w:sz w:val="22"/>
          <w:szCs w:val="22"/>
          <w:bdr w:val="none" w:sz="0" w:space="0" w:color="auto"/>
          <w:lang w:val="lt-LT"/>
        </w:rPr>
        <w:tab/>
      </w:r>
      <w:r w:rsidRPr="006B4340">
        <w:rPr>
          <w:rFonts w:eastAsia="Times New Roman"/>
          <w:sz w:val="22"/>
          <w:szCs w:val="22"/>
          <w:bdr w:val="none" w:sz="0" w:space="0" w:color="auto"/>
          <w:lang w:val="lt-LT"/>
        </w:rPr>
        <w:br/>
        <w:t xml:space="preserve">          1.4. Pirkimo dokumentų sudedamoji dalis yra skelbimas apie pirkimą, todėl perkančioji organizacija didžiosios dalies skelbime esančios informacijos šiame dokumente pakartotinai neteikia.</w:t>
      </w:r>
      <w:r w:rsidRPr="006B4340">
        <w:rPr>
          <w:rFonts w:eastAsia="Times New Roman"/>
          <w:sz w:val="22"/>
          <w:szCs w:val="22"/>
          <w:bdr w:val="none" w:sz="0" w:space="0" w:color="auto"/>
          <w:lang w:val="lt-LT"/>
        </w:rPr>
        <w:tab/>
      </w:r>
    </w:p>
    <w:p w14:paraId="737EFE07" w14:textId="77777777" w:rsidR="006B4340" w:rsidRPr="006B4340" w:rsidRDefault="006B4340" w:rsidP="006B4340">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567"/>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Pr="006B4340">
          <w:rPr>
            <w:rFonts w:eastAsia="Times New Roman"/>
            <w:color w:val="467886"/>
            <w:sz w:val="22"/>
            <w:szCs w:val="22"/>
            <w:u w:val="single"/>
            <w:bdr w:val="none" w:sz="0" w:space="0" w:color="auto" w:frame="1"/>
            <w:shd w:val="clear" w:color="auto" w:fill="FFFFFF"/>
            <w:lang w:val="lt-LT"/>
          </w:rPr>
          <w:t>https://viesiejipirkimai.lt</w:t>
        </w:r>
      </w:hyperlink>
      <w:r w:rsidRPr="006B4340">
        <w:rPr>
          <w:rFonts w:eastAsia="Times New Roman"/>
          <w:sz w:val="22"/>
          <w:szCs w:val="22"/>
          <w:bdr w:val="none" w:sz="0" w:space="0" w:color="auto"/>
          <w:lang w:val="lt-LT"/>
        </w:rPr>
        <w:t xml:space="preserve">. Dėl klausimų, susijusių su CVP IS sistemos veikimo ypatumais, kreiptis adresu </w:t>
      </w:r>
      <w:hyperlink r:id="rId8" w:history="1">
        <w:r w:rsidRPr="006B4340">
          <w:rPr>
            <w:rFonts w:eastAsia="Times New Roman"/>
            <w:color w:val="0000FF"/>
            <w:sz w:val="22"/>
            <w:szCs w:val="22"/>
            <w:u w:val="single"/>
            <w:bdr w:val="none" w:sz="0" w:space="0" w:color="auto"/>
            <w:lang w:val="lt-LT"/>
          </w:rPr>
          <w:t>pagalba@vpt.lt</w:t>
        </w:r>
      </w:hyperlink>
      <w:r w:rsidRPr="006B4340">
        <w:rPr>
          <w:rFonts w:eastAsia="Times New Roman"/>
          <w:sz w:val="22"/>
          <w:szCs w:val="22"/>
          <w:bdr w:val="none" w:sz="0" w:space="0" w:color="auto"/>
          <w:lang w:val="lt-LT"/>
        </w:rPr>
        <w:t>.</w:t>
      </w:r>
    </w:p>
    <w:p w14:paraId="69E43D2A" w14:textId="77777777" w:rsidR="006B4340" w:rsidRPr="006B4340" w:rsidRDefault="006B4340" w:rsidP="006B4340">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0"/>
          <w:tab w:val="left" w:pos="567"/>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1.6. Pirkimas atliekamas laikantis lygiateisiškumo, nediskriminavimo, abipusio pripažinimo, proporcingumo ir skaidrumo principų bei konfidencialumo ir nešališkumo reikalavimų.</w:t>
      </w:r>
    </w:p>
    <w:p w14:paraId="740B6060" w14:textId="77777777" w:rsidR="006B4340" w:rsidRPr="006B4340" w:rsidRDefault="006B4340" w:rsidP="006B4340">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firstLine="567"/>
        <w:contextualSpacing/>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1.7. Pateikdamas pasiūlymą, tiekėjas patvirtina, kad sutinka su pirkimo sąlygose nustatytomis tolesnėmis pirkimo procedūromis ir būsimos sutarties sąlygomis.</w:t>
      </w:r>
    </w:p>
    <w:p w14:paraId="737D4732" w14:textId="77777777" w:rsidR="006B4340" w:rsidRPr="006B4340" w:rsidRDefault="006B4340" w:rsidP="006B4340">
      <w:pPr>
        <w:suppressAutoHyphens/>
        <w:spacing w:after="40"/>
        <w:ind w:firstLine="567"/>
        <w:jc w:val="both"/>
        <w:rPr>
          <w:color w:val="000000"/>
          <w:sz w:val="22"/>
          <w:szCs w:val="22"/>
          <w:lang w:val="lt-LT"/>
        </w:rPr>
      </w:pPr>
      <w:r w:rsidRPr="006B4340">
        <w:rPr>
          <w:color w:val="000000"/>
          <w:sz w:val="22"/>
          <w:szCs w:val="22"/>
          <w:lang w:val="lt-LT"/>
        </w:rPr>
        <w:t xml:space="preserve">1.8. </w:t>
      </w:r>
      <w:r w:rsidRPr="006B4340">
        <w:rPr>
          <w:rFonts w:cstheme="minorHAnsi"/>
          <w:color w:val="000000"/>
          <w:sz w:val="22"/>
          <w:szCs w:val="22"/>
          <w:lang w:val="lt-LT"/>
        </w:rPr>
        <w:t>Atliekamas žaliasis pirkimas. Pirkimas vykdomas vadovaujantis Lietuvos Respublikos aplinkos ministro 2011 m. birželio 28 d. įsakymo Nr. D1-508 „</w:t>
      </w:r>
      <w:hyperlink r:id="rId9" w:history="1">
        <w:r w:rsidRPr="006B4340">
          <w:rPr>
            <w:rFonts w:cstheme="minorHAnsi"/>
            <w:color w:val="0070C0"/>
            <w:sz w:val="22"/>
            <w:szCs w:val="22"/>
            <w:u w:val="single"/>
            <w:lang w:val="lt-LT"/>
          </w:rPr>
          <w:t>Dėl Aplinkos apsaugos kriterijų taikymo, vykdant žaliuosius pirkimus, tvarkos aprašo patvirtinimo</w:t>
        </w:r>
      </w:hyperlink>
      <w:r w:rsidRPr="006B4340">
        <w:rPr>
          <w:rFonts w:cstheme="minorHAnsi"/>
          <w:color w:val="000000"/>
          <w:sz w:val="22"/>
          <w:szCs w:val="22"/>
          <w:lang w:val="lt-LT"/>
        </w:rPr>
        <w:t>“</w:t>
      </w:r>
      <w:r w:rsidRPr="006B4340">
        <w:rPr>
          <w:color w:val="000000"/>
          <w:sz w:val="22"/>
          <w:szCs w:val="22"/>
          <w:lang w:val="lt-LT"/>
        </w:rPr>
        <w:t xml:space="preserve"> 4.1 papunkčiu. Aplinkos apsaugos kriterijai nustatyti pirkimo sąlygų 1 priede „Techninė specifikacija“. </w:t>
      </w:r>
    </w:p>
    <w:p w14:paraId="282140FA" w14:textId="77777777" w:rsidR="006B4340" w:rsidRPr="006B4340" w:rsidRDefault="006B4340" w:rsidP="006B43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 xml:space="preserve">1.9. Vadovaujantis VPĮ 17 straipsnio 5 dalimi, tiekėjas, jo subtiekėjas ir ūkio subjektas, kurio </w:t>
      </w:r>
      <w:proofErr w:type="spellStart"/>
      <w:r w:rsidRPr="006B4340">
        <w:rPr>
          <w:rFonts w:eastAsia="Times New Roman"/>
          <w:sz w:val="22"/>
          <w:szCs w:val="22"/>
          <w:bdr w:val="none" w:sz="0" w:space="0" w:color="auto"/>
          <w:lang w:val="lt-LT"/>
        </w:rPr>
        <w:t>pajėgumais</w:t>
      </w:r>
      <w:proofErr w:type="spellEnd"/>
      <w:r w:rsidRPr="006B4340">
        <w:rPr>
          <w:rFonts w:eastAsia="Times New Roman"/>
          <w:sz w:val="22"/>
          <w:szCs w:val="22"/>
          <w:bdr w:val="none" w:sz="0" w:space="0" w:color="auto"/>
          <w:lang w:val="lt-LT"/>
        </w:rPr>
        <w:t xml:space="preserve"> remiamasi, privalo būti registruotas (jeigu tiekėjas, jų subtiekėjas ar ūkio subjektas, kurio </w:t>
      </w:r>
      <w:proofErr w:type="spellStart"/>
      <w:r w:rsidRPr="006B4340">
        <w:rPr>
          <w:rFonts w:eastAsia="Times New Roman"/>
          <w:sz w:val="22"/>
          <w:szCs w:val="22"/>
          <w:bdr w:val="none" w:sz="0" w:space="0" w:color="auto"/>
          <w:lang w:val="lt-LT"/>
        </w:rPr>
        <w:t>pajėgumais</w:t>
      </w:r>
      <w:proofErr w:type="spellEnd"/>
      <w:r w:rsidRPr="006B4340">
        <w:rPr>
          <w:rFonts w:eastAsia="Times New Roman"/>
          <w:sz w:val="22"/>
          <w:szCs w:val="22"/>
          <w:bdr w:val="none" w:sz="0" w:space="0" w:color="auto"/>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1EC67B62" w14:textId="77777777" w:rsidR="006B4340" w:rsidRPr="006B4340" w:rsidRDefault="006B4340" w:rsidP="006B43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6B4340">
        <w:rPr>
          <w:rFonts w:eastAsia="Times New Roman"/>
          <w:sz w:val="22"/>
          <w:szCs w:val="22"/>
          <w:bdr w:val="none" w:sz="0" w:space="0" w:color="auto"/>
          <w:lang w:val="lt-LT"/>
        </w:rPr>
        <w:t>1.10. Vadovaudamasi VPĮ 29 straipsnio 3 ir 4 dalimis perkančioji organizacija privalo nutraukti pradėtas pirkimo procedūras, jeigu buvo pažeisti šio įstatymo 17 straipsnio 1 dalyje nustatyti principai ir atitinkamos padėties negalima ištaisyti. Vadovaudamasi VPĮ 29 str. 4 d.</w:t>
      </w:r>
      <w:r w:rsidRPr="006B4340">
        <w:rPr>
          <w:lang w:val="lt-LT"/>
        </w:rPr>
        <w:t xml:space="preserve">, </w:t>
      </w:r>
      <w:r w:rsidRPr="006B4340">
        <w:rPr>
          <w:rFonts w:eastAsia="Times New Roman"/>
          <w:sz w:val="22"/>
          <w:szCs w:val="22"/>
          <w:bdr w:val="none" w:sz="0" w:space="0" w:color="auto"/>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F7819CC" w14:textId="77777777" w:rsidR="006B4340" w:rsidRPr="006B4340" w:rsidRDefault="006B4340" w:rsidP="006B4340">
      <w:pPr>
        <w:suppressAutoHyphens/>
        <w:spacing w:after="40"/>
        <w:ind w:firstLine="567"/>
        <w:jc w:val="both"/>
        <w:rPr>
          <w:color w:val="000000"/>
          <w:sz w:val="22"/>
          <w:szCs w:val="22"/>
          <w:lang w:val="lt-LT"/>
        </w:rPr>
      </w:pPr>
      <w:r w:rsidRPr="006B4340">
        <w:rPr>
          <w:color w:val="000000"/>
          <w:sz w:val="22"/>
          <w:szCs w:val="22"/>
          <w:lang w:val="lt-LT"/>
        </w:rPr>
        <w:t>1.11. Pirkimas nevykdomas iš Centrinės perkančiosios organizacijos (toliau – CPO), kadangi CPO kataloge ketinamų įsigyti prekių nėra.</w:t>
      </w:r>
    </w:p>
    <w:p w14:paraId="1280A451" w14:textId="3BAF0017" w:rsidR="000F5ABE" w:rsidRPr="00C94CA8" w:rsidRDefault="00A4004E" w:rsidP="006A3FD4">
      <w:pPr>
        <w:pStyle w:val="Body2"/>
        <w:ind w:firstLine="567"/>
        <w:rPr>
          <w:rStyle w:val="Hyperlink"/>
          <w:lang w:val="lt-LT"/>
        </w:rPr>
      </w:pPr>
      <w:r>
        <w:rPr>
          <w:lang w:val="lt-LT"/>
        </w:rPr>
        <w:t>1.</w:t>
      </w:r>
      <w:r w:rsidR="006A3FD4">
        <w:rPr>
          <w:lang w:val="lt-LT"/>
        </w:rPr>
        <w:t>12</w:t>
      </w:r>
      <w:r>
        <w:rPr>
          <w:lang w:val="lt-LT"/>
        </w:rPr>
        <w:t xml:space="preserve">. </w:t>
      </w:r>
      <w:r w:rsidR="00030BD1" w:rsidRPr="00D14812">
        <w:rPr>
          <w:lang w:val="lt-LT"/>
        </w:rPr>
        <w:t xml:space="preserve">Tiesioginį ryšį su tiekėjais įgalioti palaikyti CVP IS priemonėmis: </w:t>
      </w:r>
      <w:r w:rsidR="000F5ABE">
        <w:rPr>
          <w:lang w:val="lt-LT"/>
        </w:rPr>
        <w:t>Danielė Antanavičiūtė</w:t>
      </w:r>
      <w:r w:rsidR="00030BD1" w:rsidRPr="00D14812">
        <w:rPr>
          <w:lang w:val="lt-LT"/>
        </w:rPr>
        <w:t xml:space="preserve">, </w:t>
      </w:r>
      <w:r w:rsidR="00030BD1" w:rsidRPr="000F5ABE">
        <w:rPr>
          <w:color w:val="auto"/>
          <w:lang w:val="lt-LT"/>
        </w:rPr>
        <w:t xml:space="preserve">tel. </w:t>
      </w:r>
      <w:r w:rsidR="000F5ABE" w:rsidRPr="000F5ABE">
        <w:rPr>
          <w:rFonts w:cs="Times New Roman"/>
          <w:color w:val="auto"/>
          <w:lang w:eastAsia="lt-LT"/>
        </w:rPr>
        <w:t>+370 680 62 448</w:t>
      </w:r>
      <w:r w:rsidR="00030BD1" w:rsidRPr="000F5ABE">
        <w:rPr>
          <w:color w:val="auto"/>
          <w:lang w:val="lt-LT"/>
        </w:rPr>
        <w:t xml:space="preserve">, </w:t>
      </w:r>
      <w:r w:rsidR="00030BD1" w:rsidRPr="00D14812">
        <w:rPr>
          <w:lang w:val="lt-LT"/>
        </w:rPr>
        <w:t>el. p</w:t>
      </w:r>
      <w:r w:rsidR="00030BD1">
        <w:rPr>
          <w:lang w:val="lt-LT"/>
        </w:rPr>
        <w:t>aštas</w:t>
      </w:r>
      <w:r w:rsidR="00030BD1" w:rsidRPr="00D14812">
        <w:rPr>
          <w:lang w:val="lt-LT"/>
        </w:rPr>
        <w:t xml:space="preserve"> </w:t>
      </w:r>
      <w:hyperlink r:id="rId10" w:history="1">
        <w:r w:rsidR="000F5ABE" w:rsidRPr="002B4B71">
          <w:rPr>
            <w:rStyle w:val="Hyperlink"/>
            <w:lang w:val="lt-LT"/>
          </w:rPr>
          <w:t>daniele.antanaviciute@kam.lt</w:t>
        </w:r>
      </w:hyperlink>
      <w:r w:rsidR="00030BD1">
        <w:rPr>
          <w:lang w:val="lt-LT"/>
        </w:rPr>
        <w:t>, ja</w:t>
      </w:r>
      <w:r w:rsidR="000F5ABE">
        <w:rPr>
          <w:lang w:val="lt-LT"/>
        </w:rPr>
        <w:t>i</w:t>
      </w:r>
      <w:r w:rsidR="00030BD1" w:rsidRPr="00D14812">
        <w:rPr>
          <w:lang w:val="lt-LT"/>
        </w:rPr>
        <w:t xml:space="preserve"> nesant – </w:t>
      </w:r>
      <w:r w:rsidR="000F5ABE">
        <w:rPr>
          <w:lang w:val="lt-LT"/>
        </w:rPr>
        <w:t>Ramunė Skliaustienė</w:t>
      </w:r>
      <w:r w:rsidR="00030BD1">
        <w:rPr>
          <w:lang w:val="lt-LT"/>
        </w:rPr>
        <w:t xml:space="preserve">, tel. </w:t>
      </w:r>
      <w:r w:rsidR="000F5ABE" w:rsidRPr="000F5ABE">
        <w:rPr>
          <w:lang w:val="lt-LT"/>
        </w:rPr>
        <w:t>+ 370 706 80 389</w:t>
      </w:r>
      <w:r w:rsidR="00030BD1">
        <w:rPr>
          <w:lang w:val="lt-LT"/>
        </w:rPr>
        <w:t xml:space="preserve">, el. paštas </w:t>
      </w:r>
      <w:hyperlink r:id="rId11" w:history="1">
        <w:r w:rsidR="000F5ABE" w:rsidRPr="002B4B71">
          <w:rPr>
            <w:rStyle w:val="Hyperlink"/>
            <w:lang w:val="lt-LT"/>
          </w:rPr>
          <w:t>ramune.skliaustiene</w:t>
        </w:r>
        <w:r w:rsidR="000F5ABE" w:rsidRPr="00C94CA8">
          <w:rPr>
            <w:rStyle w:val="Hyperlink"/>
            <w:lang w:val="lt-LT"/>
          </w:rPr>
          <w:t>@kam.lt</w:t>
        </w:r>
      </w:hyperlink>
      <w:r w:rsidR="00030BD1" w:rsidRPr="00C94CA8">
        <w:rPr>
          <w:rStyle w:val="Hyperlink"/>
          <w:lang w:val="lt-LT"/>
        </w:rPr>
        <w:t>.</w:t>
      </w:r>
    </w:p>
    <w:p w14:paraId="6DFABD86" w14:textId="4C85EA89" w:rsidR="00215206" w:rsidRDefault="00205AB1" w:rsidP="00A4004E">
      <w:pPr>
        <w:pStyle w:val="Body2"/>
        <w:ind w:firstLine="720"/>
        <w:rPr>
          <w:lang w:val="lt-LT"/>
        </w:rPr>
      </w:pPr>
      <w:r w:rsidRPr="00C94CA8">
        <w:rPr>
          <w:b/>
          <w:lang w:val="lt-LT"/>
        </w:rPr>
        <w:lastRenderedPageBreak/>
        <w:tab/>
      </w:r>
      <w:r w:rsidRPr="00C94CA8">
        <w:rPr>
          <w:b/>
          <w:lang w:val="lt-LT"/>
        </w:rPr>
        <w:br/>
      </w:r>
      <w:r w:rsidRPr="00C94CA8">
        <w:rPr>
          <w:b/>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w:t>
      </w:r>
      <w:r w:rsidR="00215206">
        <w:rPr>
          <w:lang w:val="lt-LT"/>
        </w:rPr>
        <w:t xml:space="preserve"> – </w:t>
      </w:r>
      <w:proofErr w:type="spellStart"/>
      <w:r w:rsidR="000F5ABE">
        <w:rPr>
          <w:b/>
          <w:lang w:val="lt-LT"/>
        </w:rPr>
        <w:t>Akselbantai</w:t>
      </w:r>
      <w:proofErr w:type="spellEnd"/>
      <w:r w:rsidR="000F5ABE">
        <w:rPr>
          <w:b/>
          <w:lang w:val="lt-LT"/>
        </w:rPr>
        <w:t xml:space="preserve"> (dvigubi, koncertiniai, viengubi) ir sagos (didelės su </w:t>
      </w:r>
      <w:r w:rsidR="00386FFE">
        <w:rPr>
          <w:b/>
          <w:lang w:val="lt-LT"/>
        </w:rPr>
        <w:t>V</w:t>
      </w:r>
      <w:r w:rsidR="000F5ABE">
        <w:rPr>
          <w:b/>
          <w:lang w:val="lt-LT"/>
        </w:rPr>
        <w:t xml:space="preserve">yčiu, didelės su inkaru, mažos su </w:t>
      </w:r>
      <w:r w:rsidR="00386FFE">
        <w:rPr>
          <w:b/>
          <w:lang w:val="lt-LT"/>
        </w:rPr>
        <w:t>V</w:t>
      </w:r>
      <w:r w:rsidR="000F5ABE">
        <w:rPr>
          <w:b/>
          <w:lang w:val="lt-LT"/>
        </w:rPr>
        <w:t>yčiu, mažos su inkaru)</w:t>
      </w:r>
      <w:r w:rsidRPr="00370648">
        <w:rPr>
          <w:lang w:val="lt-LT"/>
        </w:rPr>
        <w:tab/>
      </w:r>
    </w:p>
    <w:p w14:paraId="21A3867C" w14:textId="2183E940" w:rsidR="00375709" w:rsidRDefault="00205AB1" w:rsidP="00A4004E">
      <w:pPr>
        <w:pStyle w:val="Body2"/>
        <w:ind w:firstLine="720"/>
        <w:rPr>
          <w:lang w:val="lt-LT"/>
        </w:rPr>
      </w:pPr>
      <w:r w:rsidRPr="00370648">
        <w:rPr>
          <w:lang w:val="lt-LT"/>
        </w:rPr>
        <w:t xml:space="preserve">2.2. </w:t>
      </w:r>
      <w:r w:rsidR="00030BD1" w:rsidRPr="00370648">
        <w:rPr>
          <w:lang w:val="lt-LT"/>
        </w:rPr>
        <w:t xml:space="preserve">Pirkimas yra skaidomas į </w:t>
      </w:r>
      <w:r w:rsidR="00030BD1">
        <w:rPr>
          <w:lang w:val="lt-LT"/>
        </w:rPr>
        <w:t>2</w:t>
      </w:r>
      <w:r w:rsidR="00242577">
        <w:rPr>
          <w:lang w:val="lt-LT"/>
        </w:rPr>
        <w:t xml:space="preserve"> (dvi)</w:t>
      </w:r>
      <w:r w:rsidR="00030BD1">
        <w:rPr>
          <w:lang w:val="lt-LT"/>
        </w:rPr>
        <w:t xml:space="preserve"> </w:t>
      </w:r>
      <w:r w:rsidR="00030BD1" w:rsidRPr="00370648">
        <w:rPr>
          <w:lang w:val="lt-LT"/>
        </w:rPr>
        <w:t>pirkimo dalis</w:t>
      </w:r>
      <w:r w:rsidR="00375709">
        <w:rPr>
          <w:lang w:val="lt-LT"/>
        </w:rPr>
        <w:t>:</w:t>
      </w:r>
    </w:p>
    <w:tbl>
      <w:tblPr>
        <w:tblStyle w:val="TableGrid"/>
        <w:tblW w:w="9497" w:type="dxa"/>
        <w:tblInd w:w="421" w:type="dxa"/>
        <w:tblLayout w:type="fixed"/>
        <w:tblLook w:val="04A0" w:firstRow="1" w:lastRow="0" w:firstColumn="1" w:lastColumn="0" w:noHBand="0" w:noVBand="1"/>
      </w:tblPr>
      <w:tblGrid>
        <w:gridCol w:w="1701"/>
        <w:gridCol w:w="4110"/>
        <w:gridCol w:w="993"/>
        <w:gridCol w:w="1417"/>
        <w:gridCol w:w="1276"/>
      </w:tblGrid>
      <w:tr w:rsidR="00386FFE" w:rsidRPr="002E1037" w14:paraId="33C1E789" w14:textId="77777777" w:rsidTr="00386FFE">
        <w:trPr>
          <w:trHeight w:val="559"/>
        </w:trPr>
        <w:tc>
          <w:tcPr>
            <w:tcW w:w="1701" w:type="dxa"/>
            <w:tcBorders>
              <w:top w:val="single" w:sz="4" w:space="0" w:color="auto"/>
              <w:left w:val="single" w:sz="4" w:space="0" w:color="auto"/>
              <w:bottom w:val="single" w:sz="12" w:space="0" w:color="auto"/>
              <w:right w:val="single" w:sz="4" w:space="0" w:color="auto"/>
            </w:tcBorders>
            <w:vAlign w:val="center"/>
            <w:hideMark/>
          </w:tcPr>
          <w:p w14:paraId="2C4E6B57" w14:textId="790A69E9" w:rsidR="008F6F0A" w:rsidRPr="002E1037" w:rsidRDefault="008F6F0A" w:rsidP="00EC357F">
            <w:pPr>
              <w:widowControl w:val="0"/>
              <w:spacing w:line="276" w:lineRule="auto"/>
              <w:jc w:val="center"/>
              <w:rPr>
                <w:bCs/>
                <w:i/>
                <w:szCs w:val="22"/>
                <w:bdr w:val="none" w:sz="0" w:space="0" w:color="auto" w:frame="1"/>
                <w:lang w:val="lt-LT"/>
              </w:rPr>
            </w:pPr>
            <w:r>
              <w:rPr>
                <w:rFonts w:eastAsia="Calibri"/>
                <w:bCs/>
                <w:i/>
                <w:szCs w:val="22"/>
                <w:bdr w:val="none" w:sz="0" w:space="0" w:color="auto" w:frame="1"/>
                <w:lang w:val="lt-LT"/>
              </w:rPr>
              <w:t>Pirkimo dalies</w:t>
            </w:r>
            <w:r w:rsidRPr="002E1037">
              <w:rPr>
                <w:rFonts w:eastAsia="Calibri"/>
                <w:bCs/>
                <w:i/>
                <w:szCs w:val="22"/>
                <w:bdr w:val="none" w:sz="0" w:space="0" w:color="auto" w:frame="1"/>
                <w:lang w:val="lt-LT"/>
              </w:rPr>
              <w:t xml:space="preserve"> Nr.</w:t>
            </w:r>
          </w:p>
        </w:tc>
        <w:tc>
          <w:tcPr>
            <w:tcW w:w="4110" w:type="dxa"/>
            <w:tcBorders>
              <w:top w:val="single" w:sz="4" w:space="0" w:color="auto"/>
              <w:left w:val="single" w:sz="4" w:space="0" w:color="auto"/>
              <w:bottom w:val="single" w:sz="12" w:space="0" w:color="auto"/>
              <w:right w:val="single" w:sz="4" w:space="0" w:color="auto"/>
            </w:tcBorders>
            <w:vAlign w:val="center"/>
            <w:hideMark/>
          </w:tcPr>
          <w:p w14:paraId="63115A6D" w14:textId="4D918228" w:rsidR="008F6F0A" w:rsidRDefault="006A3FD4">
            <w:pPr>
              <w:jc w:val="center"/>
              <w:rPr>
                <w:i/>
                <w:szCs w:val="22"/>
                <w:bdr w:val="none" w:sz="0" w:space="0" w:color="auto" w:frame="1"/>
                <w:lang w:val="lt-LT"/>
              </w:rPr>
            </w:pPr>
            <w:r>
              <w:rPr>
                <w:i/>
                <w:szCs w:val="22"/>
                <w:bdr w:val="none" w:sz="0" w:space="0" w:color="auto" w:frame="1"/>
                <w:lang w:val="lt-LT"/>
              </w:rPr>
              <w:t>Pirkimo dalies p</w:t>
            </w:r>
            <w:r w:rsidR="008F6F0A" w:rsidRPr="002E1037">
              <w:rPr>
                <w:i/>
                <w:szCs w:val="22"/>
                <w:bdr w:val="none" w:sz="0" w:space="0" w:color="auto" w:frame="1"/>
                <w:lang w:val="lt-LT"/>
              </w:rPr>
              <w:t>avadinimas</w:t>
            </w:r>
          </w:p>
          <w:p w14:paraId="5778BF26" w14:textId="024279B0" w:rsidR="006A3FD4" w:rsidRPr="002E1037" w:rsidRDefault="006A3FD4">
            <w:pPr>
              <w:jc w:val="center"/>
              <w:rPr>
                <w:i/>
                <w:szCs w:val="22"/>
                <w:bdr w:val="none" w:sz="0" w:space="0" w:color="auto" w:frame="1"/>
                <w:lang w:val="lt-LT"/>
              </w:rPr>
            </w:pPr>
            <w:r>
              <w:rPr>
                <w:i/>
                <w:szCs w:val="22"/>
                <w:bdr w:val="none" w:sz="0" w:space="0" w:color="auto" w:frame="1"/>
                <w:lang w:val="lt-LT"/>
              </w:rPr>
              <w:t>*Pirkimo dalies objektai</w:t>
            </w:r>
          </w:p>
        </w:tc>
        <w:tc>
          <w:tcPr>
            <w:tcW w:w="993" w:type="dxa"/>
            <w:tcBorders>
              <w:top w:val="single" w:sz="4" w:space="0" w:color="auto"/>
              <w:left w:val="single" w:sz="4" w:space="0" w:color="auto"/>
              <w:bottom w:val="single" w:sz="12" w:space="0" w:color="auto"/>
              <w:right w:val="single" w:sz="4" w:space="0" w:color="auto"/>
            </w:tcBorders>
            <w:vAlign w:val="center"/>
            <w:hideMark/>
          </w:tcPr>
          <w:p w14:paraId="4E49E6C7" w14:textId="77777777" w:rsidR="008F6F0A" w:rsidRPr="000A2318" w:rsidRDefault="008F6F0A" w:rsidP="00EC357F">
            <w:pPr>
              <w:jc w:val="center"/>
              <w:rPr>
                <w:i/>
                <w:szCs w:val="22"/>
                <w:bdr w:val="none" w:sz="0" w:space="0" w:color="auto" w:frame="1"/>
                <w:lang w:val="lt-LT"/>
              </w:rPr>
            </w:pPr>
            <w:r w:rsidRPr="000A2318">
              <w:rPr>
                <w:i/>
                <w:szCs w:val="22"/>
                <w:bdr w:val="none" w:sz="0" w:space="0" w:color="auto" w:frame="1"/>
                <w:lang w:val="lt-LT"/>
              </w:rPr>
              <w:t>Mato vienetas</w:t>
            </w:r>
          </w:p>
        </w:tc>
        <w:tc>
          <w:tcPr>
            <w:tcW w:w="1417" w:type="dxa"/>
            <w:tcBorders>
              <w:top w:val="single" w:sz="4" w:space="0" w:color="auto"/>
              <w:left w:val="single" w:sz="4" w:space="0" w:color="auto"/>
              <w:bottom w:val="single" w:sz="12" w:space="0" w:color="auto"/>
              <w:right w:val="single" w:sz="4" w:space="0" w:color="auto"/>
            </w:tcBorders>
          </w:tcPr>
          <w:p w14:paraId="04272F32" w14:textId="77777777" w:rsidR="008F6F0A" w:rsidRPr="002E1037" w:rsidRDefault="008F6F0A" w:rsidP="00EC357F">
            <w:pPr>
              <w:jc w:val="center"/>
              <w:rPr>
                <w:i/>
                <w:szCs w:val="22"/>
                <w:bdr w:val="none" w:sz="0" w:space="0" w:color="auto" w:frame="1"/>
                <w:lang w:val="lt-LT"/>
              </w:rPr>
            </w:pPr>
            <w:r>
              <w:rPr>
                <w:i/>
                <w:szCs w:val="22"/>
                <w:bdr w:val="none" w:sz="0" w:space="0" w:color="auto" w:frame="1"/>
                <w:lang w:val="lt-LT"/>
              </w:rPr>
              <w:t>Maksimalus kiekis</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6E4A4EE7" w14:textId="77777777" w:rsidR="008F6F0A" w:rsidRPr="002E1037" w:rsidRDefault="008F6F0A" w:rsidP="00EC357F">
            <w:pPr>
              <w:jc w:val="center"/>
              <w:rPr>
                <w:i/>
                <w:szCs w:val="22"/>
                <w:bdr w:val="none" w:sz="0" w:space="0" w:color="auto" w:frame="1"/>
                <w:lang w:val="lt-LT"/>
              </w:rPr>
            </w:pPr>
            <w:r>
              <w:rPr>
                <w:i/>
                <w:szCs w:val="22"/>
                <w:bdr w:val="none" w:sz="0" w:space="0" w:color="auto" w:frame="1"/>
                <w:lang w:val="lt-LT"/>
              </w:rPr>
              <w:t>Minimalus k</w:t>
            </w:r>
            <w:r w:rsidRPr="002E1037">
              <w:rPr>
                <w:i/>
                <w:szCs w:val="22"/>
                <w:bdr w:val="none" w:sz="0" w:space="0" w:color="auto" w:frame="1"/>
                <w:lang w:val="lt-LT"/>
              </w:rPr>
              <w:t>iekis</w:t>
            </w:r>
          </w:p>
        </w:tc>
      </w:tr>
      <w:tr w:rsidR="000F5ABE" w:rsidRPr="002E1037" w14:paraId="1EB88FE0" w14:textId="77777777" w:rsidTr="002772AA">
        <w:trPr>
          <w:trHeight w:val="152"/>
        </w:trPr>
        <w:tc>
          <w:tcPr>
            <w:tcW w:w="1701" w:type="dxa"/>
            <w:vMerge w:val="restart"/>
            <w:tcBorders>
              <w:top w:val="single" w:sz="12" w:space="0" w:color="auto"/>
              <w:left w:val="single" w:sz="4" w:space="0" w:color="auto"/>
              <w:right w:val="single" w:sz="4" w:space="0" w:color="auto"/>
            </w:tcBorders>
            <w:shd w:val="clear" w:color="auto" w:fill="EDEDED" w:themeFill="accent3" w:themeFillTint="33"/>
            <w:hideMark/>
          </w:tcPr>
          <w:p w14:paraId="48CFB94E" w14:textId="18A4185D" w:rsidR="000F5ABE" w:rsidRDefault="000F5ABE" w:rsidP="002772AA">
            <w:pPr>
              <w:jc w:val="center"/>
              <w:rPr>
                <w:b/>
                <w:szCs w:val="22"/>
                <w:bdr w:val="none" w:sz="0" w:space="0" w:color="auto" w:frame="1"/>
                <w:lang w:val="lt-LT"/>
              </w:rPr>
            </w:pPr>
          </w:p>
          <w:p w14:paraId="327A0A06" w14:textId="1AE9AD46" w:rsidR="000F5ABE" w:rsidRPr="002E1037" w:rsidRDefault="000F5ABE" w:rsidP="002772AA">
            <w:pPr>
              <w:jc w:val="center"/>
              <w:rPr>
                <w:b/>
                <w:szCs w:val="22"/>
                <w:bdr w:val="none" w:sz="0" w:space="0" w:color="auto" w:frame="1"/>
                <w:lang w:val="lt-LT"/>
              </w:rPr>
            </w:pPr>
            <w:r>
              <w:rPr>
                <w:b/>
                <w:szCs w:val="22"/>
                <w:bdr w:val="none" w:sz="0" w:space="0" w:color="auto" w:frame="1"/>
                <w:lang w:val="lt-LT"/>
              </w:rPr>
              <w:t>1</w:t>
            </w:r>
            <w:r w:rsidRPr="002E1037">
              <w:rPr>
                <w:b/>
                <w:szCs w:val="22"/>
                <w:bdr w:val="none" w:sz="0" w:space="0" w:color="auto" w:frame="1"/>
                <w:lang w:val="lt-LT"/>
              </w:rPr>
              <w:t xml:space="preserve"> </w:t>
            </w:r>
          </w:p>
        </w:tc>
        <w:tc>
          <w:tcPr>
            <w:tcW w:w="4110" w:type="dxa"/>
            <w:tcBorders>
              <w:top w:val="single" w:sz="12" w:space="0" w:color="auto"/>
              <w:left w:val="single" w:sz="4" w:space="0" w:color="auto"/>
              <w:bottom w:val="single" w:sz="4" w:space="0" w:color="auto"/>
              <w:right w:val="single" w:sz="4" w:space="0" w:color="auto"/>
            </w:tcBorders>
            <w:shd w:val="clear" w:color="auto" w:fill="auto"/>
          </w:tcPr>
          <w:p w14:paraId="0EDF52D0" w14:textId="7AFDDD66" w:rsidR="000F5ABE" w:rsidRPr="006A3FD4" w:rsidRDefault="000F5ABE" w:rsidP="002772AA">
            <w:pPr>
              <w:jc w:val="both"/>
              <w:rPr>
                <w:b/>
                <w:szCs w:val="22"/>
                <w:bdr w:val="none" w:sz="0" w:space="0" w:color="auto" w:frame="1"/>
                <w:lang w:val="lt-LT"/>
              </w:rPr>
            </w:pPr>
            <w:proofErr w:type="spellStart"/>
            <w:r w:rsidRPr="006A3FD4">
              <w:rPr>
                <w:b/>
                <w:szCs w:val="22"/>
                <w:bdr w:val="none" w:sz="0" w:space="0" w:color="auto" w:frame="1"/>
                <w:lang w:val="lt-LT"/>
              </w:rPr>
              <w:t>Akselbantai</w:t>
            </w:r>
            <w:proofErr w:type="spellEnd"/>
            <w:r w:rsidRPr="006A3FD4">
              <w:rPr>
                <w:b/>
                <w:szCs w:val="22"/>
                <w:bdr w:val="none" w:sz="0" w:space="0" w:color="auto" w:frame="1"/>
                <w:lang w:val="lt-LT"/>
              </w:rPr>
              <w:t xml:space="preserve"> (dvigubi, koncertiniai, viengubi)</w:t>
            </w:r>
            <w:r w:rsidR="006A3FD4" w:rsidRPr="006A3FD4">
              <w:rPr>
                <w:b/>
                <w:szCs w:val="22"/>
                <w:bdr w:val="none" w:sz="0" w:space="0" w:color="auto" w:frame="1"/>
                <w:lang w:val="lt-LT"/>
              </w:rPr>
              <w:t>:</w:t>
            </w:r>
          </w:p>
        </w:tc>
        <w:tc>
          <w:tcPr>
            <w:tcW w:w="993" w:type="dxa"/>
            <w:tcBorders>
              <w:top w:val="single" w:sz="12" w:space="0" w:color="auto"/>
              <w:left w:val="single" w:sz="4" w:space="0" w:color="auto"/>
              <w:bottom w:val="single" w:sz="4" w:space="0" w:color="auto"/>
              <w:right w:val="single" w:sz="4" w:space="0" w:color="auto"/>
            </w:tcBorders>
            <w:shd w:val="clear" w:color="auto" w:fill="auto"/>
          </w:tcPr>
          <w:p w14:paraId="2878A5BE" w14:textId="77777777" w:rsidR="000F5ABE" w:rsidRPr="006A3FD4" w:rsidRDefault="000F5ABE" w:rsidP="002772AA">
            <w:pPr>
              <w:jc w:val="center"/>
              <w:rPr>
                <w:szCs w:val="22"/>
                <w:bdr w:val="none" w:sz="0" w:space="0" w:color="auto" w:frame="1"/>
                <w:lang w:val="lt-LT"/>
              </w:rPr>
            </w:pPr>
            <w:r w:rsidRPr="006A3FD4">
              <w:rPr>
                <w:szCs w:val="22"/>
                <w:bdr w:val="none" w:sz="0" w:space="0" w:color="auto" w:frame="1"/>
                <w:lang w:val="lt-LT"/>
              </w:rPr>
              <w:t>vnt.</w:t>
            </w:r>
          </w:p>
        </w:tc>
        <w:tc>
          <w:tcPr>
            <w:tcW w:w="1417" w:type="dxa"/>
            <w:tcBorders>
              <w:top w:val="single" w:sz="12" w:space="0" w:color="auto"/>
              <w:left w:val="single" w:sz="4" w:space="0" w:color="auto"/>
              <w:bottom w:val="single" w:sz="4" w:space="0" w:color="auto"/>
              <w:right w:val="single" w:sz="4" w:space="0" w:color="auto"/>
            </w:tcBorders>
            <w:shd w:val="clear" w:color="auto" w:fill="auto"/>
          </w:tcPr>
          <w:p w14:paraId="377B3BFF" w14:textId="62B288B9" w:rsidR="000F5ABE" w:rsidRPr="006A3FD4" w:rsidRDefault="00386FFE" w:rsidP="002772AA">
            <w:pPr>
              <w:jc w:val="center"/>
              <w:rPr>
                <w:b/>
                <w:szCs w:val="22"/>
                <w:bdr w:val="none" w:sz="0" w:space="0" w:color="auto" w:frame="1"/>
                <w:lang w:val="lt-LT"/>
              </w:rPr>
            </w:pPr>
            <w:r w:rsidRPr="006A3FD4">
              <w:rPr>
                <w:b/>
                <w:szCs w:val="22"/>
                <w:bdr w:val="none" w:sz="0" w:space="0" w:color="auto" w:frame="1"/>
                <w:lang w:val="lt-LT"/>
              </w:rPr>
              <w:t>1561</w:t>
            </w:r>
          </w:p>
        </w:tc>
        <w:tc>
          <w:tcPr>
            <w:tcW w:w="1276" w:type="dxa"/>
            <w:tcBorders>
              <w:top w:val="single" w:sz="12" w:space="0" w:color="auto"/>
              <w:left w:val="single" w:sz="4" w:space="0" w:color="auto"/>
              <w:bottom w:val="single" w:sz="4" w:space="0" w:color="auto"/>
              <w:right w:val="single" w:sz="4" w:space="0" w:color="auto"/>
            </w:tcBorders>
            <w:shd w:val="clear" w:color="auto" w:fill="auto"/>
          </w:tcPr>
          <w:p w14:paraId="0DB9748A" w14:textId="3F78027A" w:rsidR="000F5ABE" w:rsidRPr="006A3FD4" w:rsidRDefault="00386FFE" w:rsidP="002772AA">
            <w:pPr>
              <w:jc w:val="center"/>
              <w:rPr>
                <w:b/>
                <w:szCs w:val="22"/>
                <w:bdr w:val="none" w:sz="0" w:space="0" w:color="auto" w:frame="1"/>
                <w:lang w:val="lt-LT"/>
              </w:rPr>
            </w:pPr>
            <w:r w:rsidRPr="006A3FD4">
              <w:rPr>
                <w:b/>
                <w:szCs w:val="22"/>
                <w:bdr w:val="none" w:sz="0" w:space="0" w:color="auto" w:frame="1"/>
                <w:lang w:val="lt-LT"/>
              </w:rPr>
              <w:t>1201</w:t>
            </w:r>
          </w:p>
        </w:tc>
      </w:tr>
      <w:tr w:rsidR="000F5ABE" w:rsidRPr="002E1037" w14:paraId="5DA97566" w14:textId="77777777" w:rsidTr="00386FFE">
        <w:trPr>
          <w:trHeight w:val="152"/>
        </w:trPr>
        <w:tc>
          <w:tcPr>
            <w:tcW w:w="1701" w:type="dxa"/>
            <w:vMerge/>
            <w:tcBorders>
              <w:left w:val="single" w:sz="4" w:space="0" w:color="auto"/>
              <w:right w:val="single" w:sz="4" w:space="0" w:color="auto"/>
            </w:tcBorders>
            <w:shd w:val="clear" w:color="auto" w:fill="EDEDED" w:themeFill="accent3" w:themeFillTint="33"/>
          </w:tcPr>
          <w:p w14:paraId="0A951468" w14:textId="77777777" w:rsidR="000F5ABE" w:rsidRDefault="000F5ABE" w:rsidP="002772AA">
            <w:pPr>
              <w:jc w:val="center"/>
              <w:rPr>
                <w:b/>
                <w:szCs w:val="22"/>
                <w:bdr w:val="none" w:sz="0" w:space="0" w:color="auto" w:frame="1"/>
                <w:lang w:val="lt-LT"/>
              </w:rPr>
            </w:pP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3C9427" w14:textId="52507221" w:rsidR="000F5ABE" w:rsidRPr="002772AA" w:rsidRDefault="006A3FD4" w:rsidP="002772AA">
            <w:pPr>
              <w:jc w:val="both"/>
              <w:rPr>
                <w:color w:val="808080" w:themeColor="background1" w:themeShade="80"/>
                <w:szCs w:val="22"/>
                <w:bdr w:val="none" w:sz="0" w:space="0" w:color="auto" w:frame="1"/>
                <w:lang w:val="lt-LT"/>
              </w:rPr>
            </w:pPr>
            <w:r>
              <w:rPr>
                <w:color w:val="808080" w:themeColor="background1" w:themeShade="80"/>
                <w:szCs w:val="22"/>
                <w:bdr w:val="none" w:sz="0" w:space="0" w:color="auto" w:frame="1"/>
                <w:lang w:val="lt-LT"/>
              </w:rPr>
              <w:t>*</w:t>
            </w:r>
            <w:r w:rsidR="000F5ABE" w:rsidRPr="002772AA">
              <w:rPr>
                <w:color w:val="808080" w:themeColor="background1" w:themeShade="80"/>
                <w:szCs w:val="22"/>
                <w:bdr w:val="none" w:sz="0" w:space="0" w:color="auto" w:frame="1"/>
                <w:lang w:val="lt-LT"/>
              </w:rPr>
              <w:t>Dvigubi</w:t>
            </w:r>
          </w:p>
        </w:tc>
        <w:tc>
          <w:tcPr>
            <w:tcW w:w="9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30C62BF" w14:textId="0C971D4F" w:rsidR="000F5ABE" w:rsidRPr="002772AA" w:rsidRDefault="000F5AB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vnt.</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353DA3" w14:textId="152283BD" w:rsidR="000F5AB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1079</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E8A609E" w14:textId="419BF352" w:rsidR="000F5AB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830</w:t>
            </w:r>
          </w:p>
        </w:tc>
      </w:tr>
      <w:tr w:rsidR="000F5ABE" w:rsidRPr="002E1037" w14:paraId="72CD9883" w14:textId="77777777" w:rsidTr="00386FFE">
        <w:trPr>
          <w:trHeight w:val="152"/>
        </w:trPr>
        <w:tc>
          <w:tcPr>
            <w:tcW w:w="1701" w:type="dxa"/>
            <w:vMerge/>
            <w:tcBorders>
              <w:left w:val="single" w:sz="4" w:space="0" w:color="auto"/>
              <w:right w:val="single" w:sz="4" w:space="0" w:color="auto"/>
            </w:tcBorders>
            <w:shd w:val="clear" w:color="auto" w:fill="EDEDED" w:themeFill="accent3" w:themeFillTint="33"/>
          </w:tcPr>
          <w:p w14:paraId="46418967" w14:textId="77777777" w:rsidR="000F5ABE" w:rsidRDefault="000F5ABE" w:rsidP="002772AA">
            <w:pPr>
              <w:jc w:val="center"/>
              <w:rPr>
                <w:b/>
                <w:szCs w:val="22"/>
                <w:bdr w:val="none" w:sz="0" w:space="0" w:color="auto" w:frame="1"/>
                <w:lang w:val="lt-LT"/>
              </w:rPr>
            </w:pP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B4105B7" w14:textId="1D9CF14A" w:rsidR="000F5ABE" w:rsidRPr="002772AA" w:rsidRDefault="006A3FD4" w:rsidP="002772AA">
            <w:pPr>
              <w:jc w:val="both"/>
              <w:rPr>
                <w:color w:val="808080" w:themeColor="background1" w:themeShade="80"/>
                <w:szCs w:val="22"/>
                <w:bdr w:val="none" w:sz="0" w:space="0" w:color="auto" w:frame="1"/>
                <w:lang w:val="lt-LT"/>
              </w:rPr>
            </w:pPr>
            <w:r>
              <w:rPr>
                <w:color w:val="808080" w:themeColor="background1" w:themeShade="80"/>
                <w:szCs w:val="22"/>
                <w:bdr w:val="none" w:sz="0" w:space="0" w:color="auto" w:frame="1"/>
                <w:lang w:val="lt-LT"/>
              </w:rPr>
              <w:t>*</w:t>
            </w:r>
            <w:r w:rsidR="000F5ABE" w:rsidRPr="002772AA">
              <w:rPr>
                <w:color w:val="808080" w:themeColor="background1" w:themeShade="80"/>
                <w:szCs w:val="22"/>
                <w:bdr w:val="none" w:sz="0" w:space="0" w:color="auto" w:frame="1"/>
                <w:lang w:val="lt-LT"/>
              </w:rPr>
              <w:t>Koncertiniai</w:t>
            </w:r>
          </w:p>
        </w:tc>
        <w:tc>
          <w:tcPr>
            <w:tcW w:w="9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8851A64" w14:textId="36C32CFE" w:rsidR="000F5ABE" w:rsidRPr="002772AA" w:rsidRDefault="000F5AB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vnt.</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525128" w14:textId="22CBAFD8" w:rsidR="000F5AB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318</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005BC6" w14:textId="6113906D" w:rsidR="000F5AB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245</w:t>
            </w:r>
          </w:p>
        </w:tc>
      </w:tr>
      <w:tr w:rsidR="000F5ABE" w:rsidRPr="002E1037" w14:paraId="6426999A" w14:textId="77777777" w:rsidTr="00386FFE">
        <w:trPr>
          <w:trHeight w:val="152"/>
        </w:trPr>
        <w:tc>
          <w:tcPr>
            <w:tcW w:w="1701" w:type="dxa"/>
            <w:vMerge/>
            <w:tcBorders>
              <w:left w:val="single" w:sz="4" w:space="0" w:color="auto"/>
              <w:bottom w:val="single" w:sz="12" w:space="0" w:color="auto"/>
              <w:right w:val="single" w:sz="4" w:space="0" w:color="auto"/>
            </w:tcBorders>
            <w:shd w:val="clear" w:color="auto" w:fill="EDEDED" w:themeFill="accent3" w:themeFillTint="33"/>
          </w:tcPr>
          <w:p w14:paraId="1C5D1646" w14:textId="77777777" w:rsidR="000F5ABE" w:rsidRDefault="000F5ABE" w:rsidP="002772AA">
            <w:pPr>
              <w:jc w:val="center"/>
              <w:rPr>
                <w:b/>
                <w:szCs w:val="22"/>
                <w:bdr w:val="none" w:sz="0" w:space="0" w:color="auto" w:frame="1"/>
                <w:lang w:val="lt-LT"/>
              </w:rPr>
            </w:pPr>
          </w:p>
        </w:tc>
        <w:tc>
          <w:tcPr>
            <w:tcW w:w="4110"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3A2C4011" w14:textId="19B58D74" w:rsidR="000F5ABE" w:rsidRPr="002772AA" w:rsidRDefault="006A3FD4" w:rsidP="002772AA">
            <w:pPr>
              <w:jc w:val="both"/>
              <w:rPr>
                <w:color w:val="808080" w:themeColor="background1" w:themeShade="80"/>
                <w:szCs w:val="22"/>
                <w:bdr w:val="none" w:sz="0" w:space="0" w:color="auto" w:frame="1"/>
                <w:lang w:val="lt-LT"/>
              </w:rPr>
            </w:pPr>
            <w:r>
              <w:rPr>
                <w:color w:val="808080" w:themeColor="background1" w:themeShade="80"/>
                <w:szCs w:val="22"/>
                <w:bdr w:val="none" w:sz="0" w:space="0" w:color="auto" w:frame="1"/>
                <w:lang w:val="lt-LT"/>
              </w:rPr>
              <w:t>*</w:t>
            </w:r>
            <w:r w:rsidR="000F5ABE" w:rsidRPr="002772AA">
              <w:rPr>
                <w:color w:val="808080" w:themeColor="background1" w:themeShade="80"/>
                <w:szCs w:val="22"/>
                <w:bdr w:val="none" w:sz="0" w:space="0" w:color="auto" w:frame="1"/>
                <w:lang w:val="lt-LT"/>
              </w:rPr>
              <w:t>Viengubi</w:t>
            </w:r>
          </w:p>
        </w:tc>
        <w:tc>
          <w:tcPr>
            <w:tcW w:w="993"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4EA28E56" w14:textId="57FD23EE" w:rsidR="000F5ABE" w:rsidRPr="002772AA" w:rsidRDefault="000F5AB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vnt.</w:t>
            </w:r>
          </w:p>
        </w:tc>
        <w:tc>
          <w:tcPr>
            <w:tcW w:w="1417"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4D3B61FE" w14:textId="4C7D5E9A" w:rsidR="000F5AB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164</w:t>
            </w:r>
          </w:p>
        </w:tc>
        <w:tc>
          <w:tcPr>
            <w:tcW w:w="1276"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7A2B2490" w14:textId="3F0EA7BD" w:rsidR="000F5AB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126</w:t>
            </w:r>
          </w:p>
        </w:tc>
      </w:tr>
      <w:tr w:rsidR="00386FFE" w:rsidRPr="002E1037" w14:paraId="3600E1C7" w14:textId="77777777" w:rsidTr="002772AA">
        <w:trPr>
          <w:trHeight w:val="540"/>
        </w:trPr>
        <w:tc>
          <w:tcPr>
            <w:tcW w:w="1701" w:type="dxa"/>
            <w:vMerge w:val="restart"/>
            <w:tcBorders>
              <w:top w:val="single" w:sz="12" w:space="0" w:color="auto"/>
              <w:left w:val="single" w:sz="4" w:space="0" w:color="auto"/>
              <w:right w:val="single" w:sz="4" w:space="0" w:color="auto"/>
            </w:tcBorders>
            <w:shd w:val="clear" w:color="auto" w:fill="EDEDED" w:themeFill="accent3" w:themeFillTint="33"/>
          </w:tcPr>
          <w:p w14:paraId="58FDFC1D" w14:textId="77777777" w:rsidR="00386FFE" w:rsidRDefault="00386FFE" w:rsidP="002772AA">
            <w:pPr>
              <w:jc w:val="center"/>
              <w:rPr>
                <w:b/>
                <w:szCs w:val="22"/>
                <w:bdr w:val="none" w:sz="0" w:space="0" w:color="auto" w:frame="1"/>
                <w:lang w:val="lt-LT"/>
              </w:rPr>
            </w:pPr>
          </w:p>
          <w:p w14:paraId="48FE21F2" w14:textId="7D2CBA9C" w:rsidR="00386FFE" w:rsidRPr="002E1037" w:rsidRDefault="00386FFE" w:rsidP="002772AA">
            <w:pPr>
              <w:jc w:val="center"/>
              <w:rPr>
                <w:b/>
                <w:szCs w:val="22"/>
                <w:bdr w:val="none" w:sz="0" w:space="0" w:color="auto" w:frame="1"/>
                <w:lang w:val="lt-LT"/>
              </w:rPr>
            </w:pPr>
            <w:r>
              <w:rPr>
                <w:b/>
                <w:szCs w:val="22"/>
                <w:bdr w:val="none" w:sz="0" w:space="0" w:color="auto" w:frame="1"/>
                <w:lang w:val="lt-LT"/>
              </w:rPr>
              <w:t>2</w:t>
            </w:r>
            <w:r w:rsidRPr="002E1037">
              <w:rPr>
                <w:b/>
                <w:szCs w:val="22"/>
                <w:bdr w:val="none" w:sz="0" w:space="0" w:color="auto" w:frame="1"/>
                <w:lang w:val="lt-LT"/>
              </w:rPr>
              <w:t xml:space="preserve"> </w:t>
            </w:r>
          </w:p>
        </w:tc>
        <w:tc>
          <w:tcPr>
            <w:tcW w:w="4110" w:type="dxa"/>
            <w:tcBorders>
              <w:top w:val="single" w:sz="12" w:space="0" w:color="auto"/>
              <w:left w:val="single" w:sz="4" w:space="0" w:color="auto"/>
              <w:bottom w:val="single" w:sz="4" w:space="0" w:color="auto"/>
              <w:right w:val="single" w:sz="4" w:space="0" w:color="auto"/>
            </w:tcBorders>
            <w:shd w:val="clear" w:color="auto" w:fill="auto"/>
          </w:tcPr>
          <w:p w14:paraId="58691D13" w14:textId="51D0F6D4" w:rsidR="00386FFE" w:rsidRDefault="00386FFE" w:rsidP="002772AA">
            <w:pPr>
              <w:jc w:val="both"/>
              <w:rPr>
                <w:b/>
                <w:szCs w:val="22"/>
                <w:bdr w:val="none" w:sz="0" w:space="0" w:color="auto" w:frame="1"/>
                <w:lang w:val="lt-LT"/>
              </w:rPr>
            </w:pPr>
            <w:r>
              <w:rPr>
                <w:b/>
                <w:szCs w:val="22"/>
                <w:bdr w:val="none" w:sz="0" w:space="0" w:color="auto" w:frame="1"/>
                <w:lang w:val="lt-LT"/>
              </w:rPr>
              <w:t>Sagos (</w:t>
            </w:r>
            <w:r>
              <w:rPr>
                <w:b/>
                <w:lang w:val="lt-LT"/>
              </w:rPr>
              <w:t>didelės su Vyčiu, didelės su inkaru, mažos su Vyčiu, mažos su inkaru)</w:t>
            </w:r>
            <w:r w:rsidR="006A3FD4">
              <w:rPr>
                <w:b/>
                <w:lang w:val="lt-LT"/>
              </w:rPr>
              <w:t>:</w:t>
            </w:r>
          </w:p>
        </w:tc>
        <w:tc>
          <w:tcPr>
            <w:tcW w:w="993" w:type="dxa"/>
            <w:tcBorders>
              <w:top w:val="single" w:sz="12" w:space="0" w:color="auto"/>
              <w:left w:val="single" w:sz="4" w:space="0" w:color="auto"/>
              <w:bottom w:val="single" w:sz="4" w:space="0" w:color="auto"/>
              <w:right w:val="single" w:sz="4" w:space="0" w:color="auto"/>
            </w:tcBorders>
            <w:shd w:val="clear" w:color="auto" w:fill="auto"/>
          </w:tcPr>
          <w:p w14:paraId="538D4BC6" w14:textId="77777777" w:rsidR="00386FFE" w:rsidRDefault="00386FFE" w:rsidP="002772AA">
            <w:pPr>
              <w:jc w:val="center"/>
              <w:rPr>
                <w:szCs w:val="22"/>
                <w:bdr w:val="none" w:sz="0" w:space="0" w:color="auto" w:frame="1"/>
                <w:lang w:val="lt-LT"/>
              </w:rPr>
            </w:pPr>
            <w:r>
              <w:rPr>
                <w:szCs w:val="22"/>
                <w:bdr w:val="none" w:sz="0" w:space="0" w:color="auto" w:frame="1"/>
                <w:lang w:val="lt-LT"/>
              </w:rPr>
              <w:t>vnt.</w:t>
            </w:r>
          </w:p>
        </w:tc>
        <w:tc>
          <w:tcPr>
            <w:tcW w:w="1417" w:type="dxa"/>
            <w:tcBorders>
              <w:top w:val="single" w:sz="12" w:space="0" w:color="auto"/>
              <w:left w:val="single" w:sz="4" w:space="0" w:color="auto"/>
              <w:bottom w:val="single" w:sz="4" w:space="0" w:color="auto"/>
              <w:right w:val="single" w:sz="4" w:space="0" w:color="auto"/>
            </w:tcBorders>
            <w:shd w:val="clear" w:color="auto" w:fill="auto"/>
          </w:tcPr>
          <w:p w14:paraId="6EA0DE04" w14:textId="4E7D41DB" w:rsidR="00386FFE" w:rsidRDefault="00386FFE" w:rsidP="002772AA">
            <w:pPr>
              <w:jc w:val="center"/>
              <w:rPr>
                <w:b/>
                <w:szCs w:val="22"/>
                <w:bdr w:val="none" w:sz="0" w:space="0" w:color="auto" w:frame="1"/>
                <w:lang w:val="lt-LT"/>
              </w:rPr>
            </w:pPr>
            <w:r>
              <w:rPr>
                <w:b/>
                <w:szCs w:val="22"/>
                <w:bdr w:val="none" w:sz="0" w:space="0" w:color="auto" w:frame="1"/>
                <w:lang w:val="lt-LT"/>
              </w:rPr>
              <w:t>66020</w:t>
            </w:r>
          </w:p>
        </w:tc>
        <w:tc>
          <w:tcPr>
            <w:tcW w:w="1276" w:type="dxa"/>
            <w:tcBorders>
              <w:top w:val="single" w:sz="12" w:space="0" w:color="auto"/>
              <w:left w:val="single" w:sz="4" w:space="0" w:color="auto"/>
              <w:bottom w:val="single" w:sz="4" w:space="0" w:color="auto"/>
              <w:right w:val="single" w:sz="4" w:space="0" w:color="auto"/>
            </w:tcBorders>
            <w:shd w:val="clear" w:color="auto" w:fill="auto"/>
          </w:tcPr>
          <w:p w14:paraId="2C723FA8" w14:textId="04B094F3" w:rsidR="00386FFE" w:rsidRDefault="00386FFE" w:rsidP="002772AA">
            <w:pPr>
              <w:jc w:val="center"/>
              <w:rPr>
                <w:b/>
                <w:szCs w:val="22"/>
                <w:bdr w:val="none" w:sz="0" w:space="0" w:color="auto" w:frame="1"/>
                <w:lang w:val="lt-LT"/>
              </w:rPr>
            </w:pPr>
            <w:r>
              <w:rPr>
                <w:b/>
                <w:szCs w:val="22"/>
                <w:bdr w:val="none" w:sz="0" w:space="0" w:color="auto" w:frame="1"/>
                <w:lang w:val="lt-LT"/>
              </w:rPr>
              <w:t>50785</w:t>
            </w:r>
          </w:p>
        </w:tc>
      </w:tr>
      <w:tr w:rsidR="00386FFE" w:rsidRPr="002E1037" w14:paraId="015E4C23" w14:textId="77777777" w:rsidTr="00386FFE">
        <w:trPr>
          <w:trHeight w:val="152"/>
        </w:trPr>
        <w:tc>
          <w:tcPr>
            <w:tcW w:w="1701" w:type="dxa"/>
            <w:vMerge/>
            <w:tcBorders>
              <w:left w:val="single" w:sz="4" w:space="0" w:color="auto"/>
              <w:right w:val="single" w:sz="4" w:space="0" w:color="auto"/>
            </w:tcBorders>
            <w:shd w:val="clear" w:color="auto" w:fill="EDEDED" w:themeFill="accent3" w:themeFillTint="33"/>
          </w:tcPr>
          <w:p w14:paraId="44B76AF3" w14:textId="77777777" w:rsidR="00386FFE" w:rsidRDefault="00386FFE" w:rsidP="002772AA">
            <w:pPr>
              <w:jc w:val="center"/>
              <w:rPr>
                <w:b/>
                <w:szCs w:val="22"/>
                <w:bdr w:val="none" w:sz="0" w:space="0" w:color="auto" w:frame="1"/>
                <w:lang w:val="lt-LT"/>
              </w:rPr>
            </w:pP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B8EC957" w14:textId="371CDD02" w:rsidR="00386FFE" w:rsidRPr="002772AA" w:rsidRDefault="006A3FD4" w:rsidP="002772AA">
            <w:pPr>
              <w:jc w:val="both"/>
              <w:rPr>
                <w:color w:val="808080" w:themeColor="background1" w:themeShade="80"/>
                <w:szCs w:val="22"/>
                <w:bdr w:val="none" w:sz="0" w:space="0" w:color="auto" w:frame="1"/>
                <w:lang w:val="lt-LT"/>
              </w:rPr>
            </w:pPr>
            <w:r>
              <w:rPr>
                <w:color w:val="808080" w:themeColor="background1" w:themeShade="80"/>
                <w:szCs w:val="22"/>
                <w:bdr w:val="none" w:sz="0" w:space="0" w:color="auto" w:frame="1"/>
                <w:lang w:val="lt-LT"/>
              </w:rPr>
              <w:t>*</w:t>
            </w:r>
            <w:r w:rsidR="00386FFE" w:rsidRPr="002772AA">
              <w:rPr>
                <w:color w:val="808080" w:themeColor="background1" w:themeShade="80"/>
                <w:szCs w:val="22"/>
                <w:bdr w:val="none" w:sz="0" w:space="0" w:color="auto" w:frame="1"/>
                <w:lang w:val="lt-LT"/>
              </w:rPr>
              <w:t>Didelės su Vyčiu</w:t>
            </w:r>
          </w:p>
        </w:tc>
        <w:tc>
          <w:tcPr>
            <w:tcW w:w="9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FCED902" w14:textId="2888C190"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vnt.</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6809B9" w14:textId="2B5C2E73"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27300</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4A02E8" w14:textId="50F3E633"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21000</w:t>
            </w:r>
          </w:p>
        </w:tc>
      </w:tr>
      <w:tr w:rsidR="00386FFE" w:rsidRPr="002E1037" w14:paraId="73B506D5" w14:textId="77777777" w:rsidTr="00386FFE">
        <w:trPr>
          <w:trHeight w:val="152"/>
        </w:trPr>
        <w:tc>
          <w:tcPr>
            <w:tcW w:w="1701" w:type="dxa"/>
            <w:vMerge/>
            <w:tcBorders>
              <w:left w:val="single" w:sz="4" w:space="0" w:color="auto"/>
              <w:right w:val="single" w:sz="4" w:space="0" w:color="auto"/>
            </w:tcBorders>
            <w:shd w:val="clear" w:color="auto" w:fill="EDEDED" w:themeFill="accent3" w:themeFillTint="33"/>
          </w:tcPr>
          <w:p w14:paraId="45BF22FC" w14:textId="77777777" w:rsidR="00386FFE" w:rsidRDefault="00386FFE" w:rsidP="002772AA">
            <w:pPr>
              <w:jc w:val="center"/>
              <w:rPr>
                <w:b/>
                <w:szCs w:val="22"/>
                <w:bdr w:val="none" w:sz="0" w:space="0" w:color="auto" w:frame="1"/>
                <w:lang w:val="lt-LT"/>
              </w:rPr>
            </w:pP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ADF058" w14:textId="7491F05C" w:rsidR="00386FFE" w:rsidRPr="002772AA" w:rsidRDefault="006A3FD4" w:rsidP="002772AA">
            <w:pPr>
              <w:jc w:val="both"/>
              <w:rPr>
                <w:color w:val="808080" w:themeColor="background1" w:themeShade="80"/>
                <w:szCs w:val="22"/>
                <w:bdr w:val="none" w:sz="0" w:space="0" w:color="auto" w:frame="1"/>
                <w:lang w:val="lt-LT"/>
              </w:rPr>
            </w:pPr>
            <w:r>
              <w:rPr>
                <w:color w:val="808080" w:themeColor="background1" w:themeShade="80"/>
                <w:szCs w:val="22"/>
                <w:bdr w:val="none" w:sz="0" w:space="0" w:color="auto" w:frame="1"/>
                <w:lang w:val="lt-LT"/>
              </w:rPr>
              <w:t>*</w:t>
            </w:r>
            <w:r w:rsidR="00386FFE" w:rsidRPr="002772AA">
              <w:rPr>
                <w:color w:val="808080" w:themeColor="background1" w:themeShade="80"/>
                <w:szCs w:val="22"/>
                <w:bdr w:val="none" w:sz="0" w:space="0" w:color="auto" w:frame="1"/>
                <w:lang w:val="lt-LT"/>
              </w:rPr>
              <w:t>Didelės su inkaru</w:t>
            </w:r>
          </w:p>
        </w:tc>
        <w:tc>
          <w:tcPr>
            <w:tcW w:w="9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EA2ECB" w14:textId="39C3A694"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vnt.</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211FEE2" w14:textId="776E0262"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1560</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6BF57A" w14:textId="7A009CA6"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1200</w:t>
            </w:r>
          </w:p>
        </w:tc>
      </w:tr>
      <w:tr w:rsidR="00386FFE" w:rsidRPr="002E1037" w14:paraId="2CBCC2FD" w14:textId="77777777" w:rsidTr="00386FFE">
        <w:trPr>
          <w:trHeight w:val="152"/>
        </w:trPr>
        <w:tc>
          <w:tcPr>
            <w:tcW w:w="1701" w:type="dxa"/>
            <w:vMerge/>
            <w:tcBorders>
              <w:left w:val="single" w:sz="4" w:space="0" w:color="auto"/>
              <w:right w:val="single" w:sz="4" w:space="0" w:color="auto"/>
            </w:tcBorders>
            <w:shd w:val="clear" w:color="auto" w:fill="EDEDED" w:themeFill="accent3" w:themeFillTint="33"/>
          </w:tcPr>
          <w:p w14:paraId="679772E8" w14:textId="77777777" w:rsidR="00386FFE" w:rsidRDefault="00386FFE" w:rsidP="002772AA">
            <w:pPr>
              <w:jc w:val="center"/>
              <w:rPr>
                <w:b/>
                <w:szCs w:val="22"/>
                <w:bdr w:val="none" w:sz="0" w:space="0" w:color="auto" w:frame="1"/>
                <w:lang w:val="lt-LT"/>
              </w:rPr>
            </w:pP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8201349" w14:textId="4610BDD1" w:rsidR="00386FFE" w:rsidRPr="002772AA" w:rsidRDefault="006A3FD4" w:rsidP="002772AA">
            <w:pPr>
              <w:jc w:val="both"/>
              <w:rPr>
                <w:color w:val="808080" w:themeColor="background1" w:themeShade="80"/>
                <w:szCs w:val="22"/>
                <w:bdr w:val="none" w:sz="0" w:space="0" w:color="auto" w:frame="1"/>
                <w:lang w:val="lt-LT"/>
              </w:rPr>
            </w:pPr>
            <w:r>
              <w:rPr>
                <w:color w:val="808080" w:themeColor="background1" w:themeShade="80"/>
                <w:szCs w:val="22"/>
                <w:bdr w:val="none" w:sz="0" w:space="0" w:color="auto" w:frame="1"/>
                <w:lang w:val="lt-LT"/>
              </w:rPr>
              <w:t>*</w:t>
            </w:r>
            <w:r w:rsidR="00386FFE" w:rsidRPr="002772AA">
              <w:rPr>
                <w:color w:val="808080" w:themeColor="background1" w:themeShade="80"/>
                <w:szCs w:val="22"/>
                <w:bdr w:val="none" w:sz="0" w:space="0" w:color="auto" w:frame="1"/>
                <w:lang w:val="lt-LT"/>
              </w:rPr>
              <w:t>Mažos su Vyčiu</w:t>
            </w:r>
          </w:p>
        </w:tc>
        <w:tc>
          <w:tcPr>
            <w:tcW w:w="9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190ABAA" w14:textId="7BC9621D"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vnt.</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1671EC" w14:textId="0DB936AE"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36406</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1D4A6C" w14:textId="5E93298D"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28005</w:t>
            </w:r>
          </w:p>
        </w:tc>
      </w:tr>
      <w:tr w:rsidR="00386FFE" w:rsidRPr="002E1037" w14:paraId="7171F08C" w14:textId="77777777" w:rsidTr="00386FFE">
        <w:trPr>
          <w:trHeight w:val="152"/>
        </w:trPr>
        <w:tc>
          <w:tcPr>
            <w:tcW w:w="1701" w:type="dxa"/>
            <w:vMerge/>
            <w:tcBorders>
              <w:left w:val="single" w:sz="4" w:space="0" w:color="auto"/>
              <w:bottom w:val="single" w:sz="4" w:space="0" w:color="auto"/>
              <w:right w:val="single" w:sz="4" w:space="0" w:color="auto"/>
            </w:tcBorders>
            <w:shd w:val="clear" w:color="auto" w:fill="EDEDED" w:themeFill="accent3" w:themeFillTint="33"/>
          </w:tcPr>
          <w:p w14:paraId="47B5BE1F" w14:textId="77777777" w:rsidR="00386FFE" w:rsidRDefault="00386FFE" w:rsidP="002772AA">
            <w:pPr>
              <w:jc w:val="center"/>
              <w:rPr>
                <w:b/>
                <w:szCs w:val="22"/>
                <w:bdr w:val="none" w:sz="0" w:space="0" w:color="auto" w:frame="1"/>
                <w:lang w:val="lt-LT"/>
              </w:rPr>
            </w:pP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24B7D4F" w14:textId="35081BB9" w:rsidR="00386FFE" w:rsidRPr="002772AA" w:rsidRDefault="006A3FD4" w:rsidP="002772AA">
            <w:pPr>
              <w:jc w:val="both"/>
              <w:rPr>
                <w:color w:val="808080" w:themeColor="background1" w:themeShade="80"/>
                <w:szCs w:val="22"/>
                <w:bdr w:val="none" w:sz="0" w:space="0" w:color="auto" w:frame="1"/>
                <w:lang w:val="lt-LT"/>
              </w:rPr>
            </w:pPr>
            <w:r>
              <w:rPr>
                <w:color w:val="808080" w:themeColor="background1" w:themeShade="80"/>
                <w:szCs w:val="22"/>
                <w:bdr w:val="none" w:sz="0" w:space="0" w:color="auto" w:frame="1"/>
                <w:lang w:val="lt-LT"/>
              </w:rPr>
              <w:t>*</w:t>
            </w:r>
            <w:r w:rsidR="00386FFE" w:rsidRPr="002772AA">
              <w:rPr>
                <w:color w:val="808080" w:themeColor="background1" w:themeShade="80"/>
                <w:szCs w:val="22"/>
                <w:bdr w:val="none" w:sz="0" w:space="0" w:color="auto" w:frame="1"/>
                <w:lang w:val="lt-LT"/>
              </w:rPr>
              <w:t>Mažos su inkaru</w:t>
            </w:r>
          </w:p>
        </w:tc>
        <w:tc>
          <w:tcPr>
            <w:tcW w:w="9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131591" w14:textId="71EECE70"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vnt.</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82F3BAA" w14:textId="7B1EF8A4"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754</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7109006" w14:textId="203F6395" w:rsidR="00386FFE" w:rsidRPr="002772AA" w:rsidRDefault="00386FFE" w:rsidP="002772AA">
            <w:pPr>
              <w:jc w:val="center"/>
              <w:rPr>
                <w:color w:val="808080" w:themeColor="background1" w:themeShade="80"/>
                <w:szCs w:val="22"/>
                <w:bdr w:val="none" w:sz="0" w:space="0" w:color="auto" w:frame="1"/>
                <w:lang w:val="lt-LT"/>
              </w:rPr>
            </w:pPr>
            <w:r w:rsidRPr="002772AA">
              <w:rPr>
                <w:color w:val="808080" w:themeColor="background1" w:themeShade="80"/>
                <w:szCs w:val="22"/>
                <w:bdr w:val="none" w:sz="0" w:space="0" w:color="auto" w:frame="1"/>
                <w:lang w:val="lt-LT"/>
              </w:rPr>
              <w:t>580</w:t>
            </w:r>
          </w:p>
        </w:tc>
      </w:tr>
    </w:tbl>
    <w:p w14:paraId="6835A33A" w14:textId="77777777" w:rsidR="008F6F0A" w:rsidRDefault="008F6F0A" w:rsidP="00A4004E">
      <w:pPr>
        <w:pStyle w:val="Body2"/>
        <w:ind w:firstLine="720"/>
        <w:rPr>
          <w:lang w:val="lt-LT"/>
        </w:rPr>
      </w:pPr>
    </w:p>
    <w:p w14:paraId="58BF2634" w14:textId="461D59D6" w:rsidR="00030BD1" w:rsidRDefault="00030BD1" w:rsidP="00A4004E">
      <w:pPr>
        <w:pStyle w:val="Body2"/>
        <w:ind w:firstLine="720"/>
        <w:rPr>
          <w:lang w:val="lt-LT"/>
        </w:rPr>
      </w:pPr>
      <w:r w:rsidRPr="00370648">
        <w:rPr>
          <w:lang w:val="lt-LT"/>
        </w:rPr>
        <w:t xml:space="preserve"> Pasiūlymai gali būti teikiami vienai</w:t>
      </w:r>
      <w:r w:rsidR="008F6F0A">
        <w:rPr>
          <w:lang w:val="lt-LT"/>
        </w:rPr>
        <w:t xml:space="preserve"> </w:t>
      </w:r>
      <w:r w:rsidRPr="00370648">
        <w:rPr>
          <w:lang w:val="lt-LT"/>
        </w:rPr>
        <w:t xml:space="preserve">arba </w:t>
      </w:r>
      <w:r w:rsidR="00386FFE">
        <w:rPr>
          <w:lang w:val="lt-LT"/>
        </w:rPr>
        <w:t>abejoms</w:t>
      </w:r>
      <w:r w:rsidR="008F6F0A" w:rsidRPr="00370648">
        <w:rPr>
          <w:lang w:val="lt-LT"/>
        </w:rPr>
        <w:t xml:space="preserve"> </w:t>
      </w:r>
      <w:r w:rsidRPr="00370648">
        <w:rPr>
          <w:lang w:val="lt-LT"/>
        </w:rPr>
        <w:t xml:space="preserve">pirkimo dalims. Kiekvienai pirkimo daliai bus sudaroma atskira pirkimo sutartis arba viena bendra sutartis vieno tiekėjo laimėtoms </w:t>
      </w:r>
      <w:r w:rsidR="00386FFE">
        <w:rPr>
          <w:lang w:val="lt-LT"/>
        </w:rPr>
        <w:t xml:space="preserve">abejoms </w:t>
      </w:r>
      <w:r w:rsidRPr="00370648">
        <w:rPr>
          <w:lang w:val="lt-LT"/>
        </w:rPr>
        <w:t xml:space="preserve">pirkimo dalims. </w:t>
      </w:r>
    </w:p>
    <w:p w14:paraId="447CDA80" w14:textId="1BB69BA5" w:rsidR="00EB1AC6" w:rsidRDefault="00205AB1" w:rsidP="00EB1AC6">
      <w:pPr>
        <w:pStyle w:val="Body2"/>
        <w:rPr>
          <w:lang w:val="lt-LT"/>
        </w:rPr>
      </w:pPr>
      <w:r w:rsidRPr="00370648">
        <w:rPr>
          <w:lang w:val="lt-LT"/>
        </w:rPr>
        <w:tab/>
        <w:t xml:space="preserve">2.3. </w:t>
      </w:r>
      <w:r w:rsidR="00EB1AC6" w:rsidRPr="00370648">
        <w:rPr>
          <w:lang w:val="lt-LT"/>
        </w:rPr>
        <w:t>Pasiūlymas turi būti pateiktas visai</w:t>
      </w:r>
      <w:r w:rsidR="006A3FD4">
        <w:rPr>
          <w:lang w:val="lt-LT"/>
        </w:rPr>
        <w:t xml:space="preserve"> (maksimaliai)</w:t>
      </w:r>
      <w:r w:rsidR="00EB1AC6" w:rsidRPr="00370648">
        <w:rPr>
          <w:lang w:val="lt-LT"/>
        </w:rPr>
        <w:t xml:space="preserve"> siūlomos pirkimo dalies apimčiai, neskaidant jos smulkiau.</w:t>
      </w:r>
    </w:p>
    <w:p w14:paraId="11F6AD90" w14:textId="179B9B46" w:rsidR="002F77D5" w:rsidRDefault="00205AB1" w:rsidP="00A4004E">
      <w:pPr>
        <w:pStyle w:val="Body2"/>
        <w:ind w:firstLine="720"/>
        <w:rPr>
          <w:lang w:val="lt-LT"/>
        </w:rPr>
      </w:pPr>
      <w:r w:rsidRPr="00370648">
        <w:rPr>
          <w:lang w:val="lt-LT"/>
        </w:rPr>
        <w:t xml:space="preserve">2.4. Reikalavimai pirkimo objektui nurodyti pirkimo sąlygų </w:t>
      </w:r>
      <w:r w:rsidR="00215206">
        <w:rPr>
          <w:lang w:val="lt-LT"/>
        </w:rPr>
        <w:t xml:space="preserve">1 </w:t>
      </w:r>
      <w:r w:rsidRPr="00370648">
        <w:rPr>
          <w:lang w:val="lt-LT"/>
        </w:rPr>
        <w:t>priede „Techninė specifikacija“</w:t>
      </w:r>
      <w:r w:rsidR="00215206">
        <w:rPr>
          <w:lang w:val="lt-LT"/>
        </w:rPr>
        <w:t xml:space="preserve"> (toliau – 1 priedas)</w:t>
      </w:r>
      <w:r w:rsidRPr="00370648">
        <w:rPr>
          <w:lang w:val="lt-LT"/>
        </w:rPr>
        <w:t xml:space="preserve"> ir </w:t>
      </w:r>
      <w:r w:rsidR="00444495">
        <w:rPr>
          <w:lang w:val="lt-LT"/>
        </w:rPr>
        <w:t>3</w:t>
      </w:r>
      <w:r w:rsidR="00215206">
        <w:rPr>
          <w:lang w:val="lt-LT"/>
        </w:rPr>
        <w:t xml:space="preserve"> </w:t>
      </w:r>
      <w:r w:rsidRPr="00370648">
        <w:rPr>
          <w:lang w:val="lt-LT"/>
        </w:rPr>
        <w:t>priede „Viešojo pirkimo sutarties projektas“</w:t>
      </w:r>
      <w:r w:rsidR="00215206">
        <w:rPr>
          <w:lang w:val="lt-LT"/>
        </w:rPr>
        <w:t xml:space="preserve"> (toliau – </w:t>
      </w:r>
      <w:r w:rsidR="00444495">
        <w:rPr>
          <w:lang w:val="lt-LT"/>
        </w:rPr>
        <w:t>3</w:t>
      </w:r>
      <w:r w:rsidR="00215206">
        <w:rPr>
          <w:lang w:val="lt-LT"/>
        </w:rPr>
        <w:t xml:space="preserve"> priedas)</w:t>
      </w:r>
      <w:r w:rsidRPr="00370648">
        <w:rPr>
          <w:lang w:val="lt-LT"/>
        </w:rPr>
        <w:t xml:space="preserve">. Pirkimo sąlygų techninėje specifikacijoje galimai nurodyti (jei yra) konkretūs modeliai ar tiekimo šaltiniai, konkretūs procesai, būdingi konkretaus tiekėjo tiekiamoms prekėms ar teikiamoms </w:t>
      </w:r>
      <w:r w:rsidR="00EB1AC6">
        <w:rPr>
          <w:lang w:val="lt-LT"/>
        </w:rPr>
        <w:t>paslaug</w:t>
      </w:r>
      <w:r w:rsidRPr="00370648">
        <w:rPr>
          <w:lang w:val="lt-LT"/>
        </w:rPr>
        <w:t>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w:t>
      </w:r>
      <w:r w:rsidR="00030BD1">
        <w:rPr>
          <w:lang w:val="lt-LT"/>
        </w:rPr>
        <w:t>Prek</w:t>
      </w:r>
      <w:r w:rsidR="00EB1AC6">
        <w:rPr>
          <w:lang w:val="lt-LT"/>
        </w:rPr>
        <w:t>i</w:t>
      </w:r>
      <w:r w:rsidR="00215206" w:rsidRPr="00215206">
        <w:rPr>
          <w:lang w:val="lt-LT"/>
        </w:rPr>
        <w:t xml:space="preserve">ų teikimo sąlygos, terminai, užsakymų pateikimo tvarka, šalių įsipareigojimai, atsiskaitymo tvarka ir kitos sąlygos nustatyti </w:t>
      </w:r>
      <w:r w:rsidR="00444495">
        <w:rPr>
          <w:lang w:val="lt-LT"/>
        </w:rPr>
        <w:t>3</w:t>
      </w:r>
      <w:r w:rsidR="00215206" w:rsidRPr="00215206">
        <w:rPr>
          <w:lang w:val="lt-LT"/>
        </w:rPr>
        <w:t xml:space="preserve"> priede</w:t>
      </w:r>
      <w:r w:rsidRPr="00370648">
        <w:rPr>
          <w:lang w:val="lt-LT"/>
        </w:rPr>
        <w:t>.</w:t>
      </w:r>
      <w:r w:rsidRPr="00370648">
        <w:rPr>
          <w:lang w:val="lt-LT"/>
        </w:rPr>
        <w:tab/>
      </w:r>
      <w:r w:rsidRPr="00370648">
        <w:rPr>
          <w:lang w:val="lt-LT"/>
        </w:rPr>
        <w:br/>
      </w:r>
      <w:r w:rsidRPr="00370648">
        <w:rPr>
          <w:lang w:val="lt-LT"/>
        </w:rPr>
        <w:tab/>
      </w:r>
      <w:r w:rsidRPr="00C94CA8">
        <w:rPr>
          <w:b/>
          <w:lang w:val="lt-LT"/>
        </w:rPr>
        <w:br/>
      </w:r>
      <w:r w:rsidRPr="00C94CA8">
        <w:rPr>
          <w:b/>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w:t>
      </w:r>
      <w:r w:rsidR="002F77D5">
        <w:rPr>
          <w:lang w:val="lt-LT"/>
        </w:rPr>
        <w:t xml:space="preserve">. </w:t>
      </w:r>
      <w:r w:rsidR="002F77D5" w:rsidRPr="002F77D5">
        <w:rPr>
          <w:lang w:val="lt-LT"/>
        </w:rPr>
        <w:t xml:space="preserve">Perkančioji organizacija tikrins tiekėjo ir ūkio subjektų, kurių </w:t>
      </w:r>
      <w:proofErr w:type="spellStart"/>
      <w:r w:rsidR="002F77D5" w:rsidRPr="002F77D5">
        <w:rPr>
          <w:lang w:val="lt-LT"/>
        </w:rPr>
        <w:t>pajėgumais</w:t>
      </w:r>
      <w:proofErr w:type="spellEnd"/>
      <w:r w:rsidR="002F77D5" w:rsidRPr="002F77D5">
        <w:rPr>
          <w:lang w:val="lt-LT"/>
        </w:rPr>
        <w:t xml:space="preserve"> remiasi </w:t>
      </w:r>
      <w:r w:rsidR="002F77D5">
        <w:rPr>
          <w:lang w:val="lt-LT"/>
        </w:rPr>
        <w:t>(</w:t>
      </w:r>
      <w:r w:rsidR="002F77D5" w:rsidRPr="002F77D5">
        <w:rPr>
          <w:i/>
          <w:lang w:val="lt-LT"/>
        </w:rPr>
        <w:t>jeigu remiamasi</w:t>
      </w:r>
      <w:r w:rsidR="002F77D5">
        <w:rPr>
          <w:lang w:val="lt-LT"/>
        </w:rPr>
        <w:t xml:space="preserve">) </w:t>
      </w:r>
      <w:r w:rsidR="002F77D5" w:rsidRPr="002F77D5">
        <w:rPr>
          <w:lang w:val="lt-LT"/>
        </w:rPr>
        <w:t>tiekėjas siekdamas pagrįsti atitikimą kvalifikaciniams reikalavimams, pašalinimo pagrindų, kurie nurodyti pirkimo dokumentų</w:t>
      </w:r>
      <w:r w:rsidR="002F77D5">
        <w:rPr>
          <w:lang w:val="lt-LT"/>
        </w:rPr>
        <w:t xml:space="preserve"> </w:t>
      </w:r>
      <w:r w:rsidR="00444495">
        <w:rPr>
          <w:lang w:val="lt-LT"/>
        </w:rPr>
        <w:t>4</w:t>
      </w:r>
      <w:r w:rsidR="002F77D5">
        <w:rPr>
          <w:lang w:val="lt-LT"/>
        </w:rPr>
        <w:t xml:space="preserve"> priede </w:t>
      </w:r>
      <w:r w:rsidR="002F77D5" w:rsidRPr="002F77D5">
        <w:rPr>
          <w:lang w:val="lt-LT"/>
        </w:rPr>
        <w:t>„Pašalinimo pagrindai, reikalaujami kvalifikacijos reikalavimai“</w:t>
      </w:r>
      <w:r w:rsidR="002F77D5">
        <w:rPr>
          <w:lang w:val="lt-LT"/>
        </w:rPr>
        <w:t xml:space="preserve"> (toliau – </w:t>
      </w:r>
      <w:r w:rsidR="00444495">
        <w:rPr>
          <w:lang w:val="lt-LT"/>
        </w:rPr>
        <w:t>4</w:t>
      </w:r>
      <w:r w:rsidR="002F77D5">
        <w:rPr>
          <w:lang w:val="lt-LT"/>
        </w:rPr>
        <w:t xml:space="preserve"> priedas) nebuvimą.</w:t>
      </w:r>
      <w:r w:rsidR="002F77D5" w:rsidRPr="002F77D5">
        <w:rPr>
          <w:rFonts w:cs="Times New Roman"/>
          <w:color w:val="auto"/>
          <w:sz w:val="24"/>
          <w:szCs w:val="24"/>
          <w:lang w:val="lt-LT"/>
        </w:rPr>
        <w:t xml:space="preserve"> </w:t>
      </w:r>
      <w:r w:rsidR="002F77D5" w:rsidRPr="002F77D5">
        <w:rPr>
          <w:lang w:val="lt-LT"/>
        </w:rPr>
        <w:t xml:space="preserve">Tiekėjas ir subtiekėjai, kurių </w:t>
      </w:r>
      <w:proofErr w:type="spellStart"/>
      <w:r w:rsidR="002F77D5" w:rsidRPr="002F77D5">
        <w:rPr>
          <w:lang w:val="lt-LT"/>
        </w:rPr>
        <w:t>pajėgumais</w:t>
      </w:r>
      <w:proofErr w:type="spellEnd"/>
      <w:r w:rsidR="002F77D5" w:rsidRPr="002F77D5">
        <w:rPr>
          <w:lang w:val="lt-LT"/>
        </w:rPr>
        <w:t xml:space="preserve"> remiasi</w:t>
      </w:r>
      <w:r w:rsidR="002F77D5">
        <w:rPr>
          <w:lang w:val="lt-LT"/>
        </w:rPr>
        <w:t xml:space="preserve"> (</w:t>
      </w:r>
      <w:r w:rsidR="002F77D5" w:rsidRPr="002F77D5">
        <w:rPr>
          <w:i/>
          <w:lang w:val="lt-LT"/>
        </w:rPr>
        <w:t>jeigu remiamasi</w:t>
      </w:r>
      <w:r w:rsidR="002F77D5">
        <w:rPr>
          <w:lang w:val="lt-LT"/>
        </w:rPr>
        <w:t>)</w:t>
      </w:r>
      <w:r w:rsidR="002F77D5" w:rsidRPr="002F77D5">
        <w:rPr>
          <w:lang w:val="lt-LT"/>
        </w:rPr>
        <w:t xml:space="preserve"> tiekėjas pagrįsdamas atitikimą pirkimo sąlygose nurodytiems kvalifikaciniams reikalavimams, kartu su pasiūlymu turi pateikti užpildytą pirkimo sąlygų </w:t>
      </w:r>
      <w:r w:rsidR="00444495">
        <w:rPr>
          <w:lang w:val="lt-LT"/>
        </w:rPr>
        <w:t xml:space="preserve">5 </w:t>
      </w:r>
      <w:r w:rsidR="002F77D5" w:rsidRPr="002F77D5">
        <w:rPr>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w:t>
      </w:r>
      <w:r w:rsidR="002F77D5" w:rsidRPr="002F77D5">
        <w:rPr>
          <w:i/>
          <w:lang w:val="lt-LT"/>
        </w:rPr>
        <w:t>jeigu pasiūlymą teikia tiekėjų grupė</w:t>
      </w:r>
      <w:r w:rsidR="002F77D5" w:rsidRPr="002F77D5">
        <w:rPr>
          <w:lang w:val="lt-LT"/>
        </w:rPr>
        <w:t xml:space="preserve">), kiekvienas ūkio subjektas, jeigu tiekėjas remiasi jo </w:t>
      </w:r>
      <w:proofErr w:type="spellStart"/>
      <w:r w:rsidR="002F77D5" w:rsidRPr="002F77D5">
        <w:rPr>
          <w:lang w:val="lt-LT"/>
        </w:rPr>
        <w:t>pajėgumais</w:t>
      </w:r>
      <w:proofErr w:type="spellEnd"/>
      <w:r w:rsidR="002F77D5" w:rsidRPr="002F77D5">
        <w:rPr>
          <w:lang w:val="lt-LT"/>
        </w:rPr>
        <w:t xml:space="preserve"> pagal VPĮ 49 straipsnį. Fiziniams asmenims, kuriuos tiekėjas ketina įdarbinti pirkimo laimėjimo atveju ir kurių </w:t>
      </w:r>
      <w:proofErr w:type="spellStart"/>
      <w:r w:rsidR="002F77D5" w:rsidRPr="002F77D5">
        <w:rPr>
          <w:lang w:val="lt-LT"/>
        </w:rPr>
        <w:t>pajėgumais</w:t>
      </w:r>
      <w:proofErr w:type="spellEnd"/>
      <w:r w:rsidR="002F77D5" w:rsidRPr="002F77D5">
        <w:rPr>
          <w:lang w:val="lt-LT"/>
        </w:rPr>
        <w:t xml:space="preserve"> tiekėjas remiasi pagal VPĮ 49 straipsnį, EBVPD pildyti nereikia.</w:t>
      </w:r>
      <w:r w:rsidR="002F77D5" w:rsidRPr="002F77D5">
        <w:rPr>
          <w:rFonts w:cs="Times New Roman"/>
          <w:color w:val="auto"/>
          <w:sz w:val="24"/>
          <w:szCs w:val="24"/>
          <w:lang w:val="lt-LT"/>
        </w:rPr>
        <w:t xml:space="preserve"> </w:t>
      </w:r>
      <w:r w:rsidR="002F77D5" w:rsidRPr="002F77D5">
        <w:rPr>
          <w:lang w:val="lt-LT"/>
        </w:rPr>
        <w:t>Tikrinimas atliekamas šia tvarka:</w:t>
      </w:r>
    </w:p>
    <w:p w14:paraId="1EF9BB33" w14:textId="3F6D280F" w:rsidR="00845A94" w:rsidRDefault="002F77D5" w:rsidP="00A4004E">
      <w:pPr>
        <w:pStyle w:val="Body2"/>
        <w:ind w:firstLine="720"/>
        <w:rPr>
          <w:lang w:val="lt-LT"/>
        </w:rPr>
      </w:pPr>
      <w:r w:rsidRPr="002F77D5">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14:paraId="746D100C" w14:textId="77777777" w:rsidR="002F77D5" w:rsidRDefault="002F77D5" w:rsidP="002F77D5">
      <w:pPr>
        <w:pStyle w:val="Body2"/>
        <w:ind w:firstLine="720"/>
        <w:rPr>
          <w:lang w:val="lt-LT"/>
        </w:rPr>
      </w:pPr>
      <w:r w:rsidRPr="002F77D5">
        <w:rPr>
          <w:lang w:val="lt-LT"/>
        </w:rPr>
        <w:t xml:space="preserve">3.1.2. Perkančioji organizacija nereikalauja iš tiekėjo pateikti dokumentų, patvirtinančių jo pašalinimo pagrindų nebuvimą kartu su pasiūlymu. Pašalinimo pagrindų nebuvimą pagrindžiančių </w:t>
      </w:r>
      <w:r w:rsidRPr="002F77D5">
        <w:rPr>
          <w:lang w:val="lt-LT"/>
        </w:rPr>
        <w:lastRenderedPageBreak/>
        <w:t>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73C5B72D" w14:textId="170D9EBD" w:rsidR="002F77D5" w:rsidRPr="002F77D5" w:rsidRDefault="002F77D5" w:rsidP="002F77D5">
      <w:pPr>
        <w:pStyle w:val="Body2"/>
        <w:ind w:firstLine="720"/>
        <w:rPr>
          <w:lang w:val="lt-LT"/>
        </w:rPr>
      </w:pPr>
      <w:r w:rsidRPr="002F77D5">
        <w:rPr>
          <w:lang w:val="lt-LT"/>
        </w:rPr>
        <w:t xml:space="preserve">3.1.3. Perkančioji organizacija netikrina subtiekėjų ar ūkio subjektų, kurių </w:t>
      </w:r>
      <w:proofErr w:type="spellStart"/>
      <w:r w:rsidRPr="002F77D5">
        <w:rPr>
          <w:lang w:val="lt-LT"/>
        </w:rPr>
        <w:t>pajėgumais</w:t>
      </w:r>
      <w:proofErr w:type="spellEnd"/>
      <w:r w:rsidRPr="002F77D5">
        <w:rPr>
          <w:lang w:val="lt-LT"/>
        </w:rPr>
        <w:t xml:space="preserve"> tiekėjas nesiremia, pašalinimo pagrindų.</w:t>
      </w:r>
      <w:r w:rsidRPr="002F77D5">
        <w:rPr>
          <w:lang w:val="lt-LT"/>
        </w:rPr>
        <w:tab/>
      </w:r>
      <w:r w:rsidRPr="002F77D5">
        <w:rPr>
          <w:lang w:val="lt-LT"/>
        </w:rPr>
        <w:br/>
      </w:r>
      <w:r w:rsidRPr="002F77D5">
        <w:rPr>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6F47682D" w14:textId="77777777" w:rsidR="002F77D5" w:rsidRDefault="002F77D5" w:rsidP="00A4004E">
      <w:pPr>
        <w:pStyle w:val="Body2"/>
        <w:ind w:firstLine="720"/>
        <w:rPr>
          <w:lang w:val="lt-LT"/>
        </w:rPr>
      </w:pPr>
      <w:r w:rsidRPr="00690A3B">
        <w:rPr>
          <w:lang w:val="lt-LT"/>
        </w:rPr>
        <w:t xml:space="preserve">3.1.5. </w:t>
      </w:r>
      <w:r w:rsidRPr="00690A3B">
        <w:rPr>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w:t>
      </w:r>
      <w:r>
        <w:rPr>
          <w:lang w:val="lt-LT"/>
        </w:rPr>
        <w:t>ipsnius skelbiamą informaciją.</w:t>
      </w:r>
      <w:r>
        <w:rPr>
          <w:lang w:val="lt-LT"/>
        </w:rPr>
        <w:tab/>
      </w:r>
    </w:p>
    <w:p w14:paraId="6552EA5B" w14:textId="1C47BF75" w:rsidR="002F77D5" w:rsidRDefault="002F77D5" w:rsidP="00A4004E">
      <w:pPr>
        <w:pStyle w:val="Body2"/>
        <w:ind w:firstLine="720"/>
        <w:rPr>
          <w:lang w:val="lt-LT"/>
        </w:rPr>
      </w:pPr>
      <w:r w:rsidRPr="002F77D5">
        <w:rPr>
          <w:lang w:val="lt-LT"/>
        </w:rPr>
        <w:t xml:space="preserve">3.1.6. Jei tiekėjas negali pateikti kurių nors pašalinimo pagrindų nebuvimą pagrindžiančių dokumentų reikalaujamų pirkimo sąlygų </w:t>
      </w:r>
      <w:r w:rsidR="00444495">
        <w:rPr>
          <w:lang w:val="lt-LT"/>
        </w:rPr>
        <w:t>4</w:t>
      </w:r>
      <w:r w:rsidRPr="002F77D5">
        <w:rPr>
          <w:lang w:val="lt-LT"/>
        </w:rPr>
        <w:t xml:space="preserve">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r w:rsidRPr="002F77D5">
        <w:rPr>
          <w:lang w:val="lt-LT"/>
        </w:rPr>
        <w:tab/>
      </w:r>
      <w:r w:rsidRPr="002F77D5">
        <w:rPr>
          <w:lang w:val="lt-LT"/>
        </w:rPr>
        <w:br/>
      </w:r>
      <w:r w:rsidRPr="002F77D5">
        <w:rPr>
          <w:lang w:val="lt-LT"/>
        </w:rPr>
        <w:tab/>
        <w:t xml:space="preserve">3.1.7. Pasiūlymų vertinimo metu perkančioji organizacija turi teisę reikalauti, kad tiekėjas pateiktų   legalizuotus </w:t>
      </w:r>
      <w:proofErr w:type="spellStart"/>
      <w:r w:rsidRPr="002F77D5">
        <w:rPr>
          <w:i/>
          <w:lang w:val="lt-LT"/>
        </w:rPr>
        <w:t>Apostille</w:t>
      </w:r>
      <w:proofErr w:type="spellEnd"/>
      <w:r w:rsidRPr="002F77D5">
        <w:rPr>
          <w:lang w:val="lt-LT"/>
        </w:rPr>
        <w:t xml:space="preserve"> pirkimo sąlygų </w:t>
      </w:r>
      <w:r w:rsidR="00444495">
        <w:rPr>
          <w:lang w:val="lt-LT"/>
        </w:rPr>
        <w:t>4</w:t>
      </w:r>
      <w:r w:rsidRPr="002F77D5">
        <w:rPr>
          <w:lang w:val="lt-LT"/>
        </w:rPr>
        <w:t xml:space="preserve"> priede nurodytus dokumentus, jei dokumentai išduoti užsienio valstybėje. Legalizavimas atliekamas, vadovaujantis Dokumentų legalizavimo ir tvirtinimo pažyma (</w:t>
      </w:r>
      <w:proofErr w:type="spellStart"/>
      <w:r w:rsidRPr="002F77D5">
        <w:rPr>
          <w:lang w:val="lt-LT"/>
        </w:rPr>
        <w:t>Apostille</w:t>
      </w:r>
      <w:proofErr w:type="spellEnd"/>
      <w:r w:rsidRPr="002F77D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F77D5">
        <w:rPr>
          <w:i/>
          <w:lang w:val="lt-LT"/>
        </w:rPr>
        <w:t>Apostille</w:t>
      </w:r>
      <w:proofErr w:type="spellEnd"/>
      <w:r w:rsidRPr="002F77D5">
        <w:rPr>
          <w:lang w:val="lt-LT"/>
        </w:rPr>
        <w:t>).</w:t>
      </w:r>
    </w:p>
    <w:p w14:paraId="574FB739" w14:textId="30722D0D" w:rsidR="00BA483A" w:rsidRDefault="002F77D5" w:rsidP="00A4004E">
      <w:pPr>
        <w:pStyle w:val="Body2"/>
        <w:ind w:firstLine="720"/>
        <w:rPr>
          <w:lang w:val="lt-LT"/>
        </w:rPr>
      </w:pPr>
      <w:r w:rsidRPr="00690A3B">
        <w:rPr>
          <w:lang w:val="lt-LT"/>
        </w:rPr>
        <w:t xml:space="preserve">3.2. Tiekėjas, dalyvaujantis pirkime, turi atitikti pirkimo sąlygų </w:t>
      </w:r>
      <w:r w:rsidR="00444495">
        <w:rPr>
          <w:lang w:val="lt-LT"/>
        </w:rPr>
        <w:t>4</w:t>
      </w:r>
      <w:r w:rsidRPr="00690A3B">
        <w:rPr>
          <w:lang w:val="lt-LT"/>
        </w:rPr>
        <w:t xml:space="preserve"> priede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w:t>
      </w:r>
      <w:r w:rsidRPr="00BA483A">
        <w:rPr>
          <w:b/>
          <w:lang w:val="lt-LT"/>
        </w:rPr>
        <w:t xml:space="preserve">Tiekėjas gavęs perkančiosios organizacijos pranešimą, kad jo pasiūlymas gali būti pripažintas laimėjusiu privalo pateikti pirkimo sąlygų </w:t>
      </w:r>
      <w:r w:rsidR="00444495">
        <w:rPr>
          <w:b/>
          <w:lang w:val="lt-LT"/>
        </w:rPr>
        <w:t>4</w:t>
      </w:r>
      <w:r w:rsidRPr="00BA483A">
        <w:rPr>
          <w:b/>
          <w:lang w:val="lt-LT"/>
        </w:rPr>
        <w:t xml:space="preserve"> priede nurodytus kvalifikaciją pagrindžiančius dokumentus</w:t>
      </w:r>
      <w:r w:rsidRPr="00690A3B">
        <w:rPr>
          <w:lang w:val="lt-LT"/>
        </w:rPr>
        <w:t>, laikantis šių reikalavimų:</w:t>
      </w:r>
      <w:r w:rsidRPr="00690A3B">
        <w:rPr>
          <w:lang w:val="lt-LT"/>
        </w:rPr>
        <w:tab/>
      </w:r>
    </w:p>
    <w:p w14:paraId="4A184FEF" w14:textId="77777777" w:rsidR="00BA483A" w:rsidRDefault="00BA483A" w:rsidP="00A4004E">
      <w:pPr>
        <w:pStyle w:val="Body2"/>
        <w:ind w:firstLine="720"/>
        <w:rPr>
          <w:lang w:val="lt-LT"/>
        </w:rPr>
      </w:pPr>
      <w:r w:rsidRPr="00BA483A">
        <w:rPr>
          <w:lang w:val="lt-LT"/>
        </w:rPr>
        <w:t>3.2.1. Keliami reikalavimai tiekėjo kvalifikacijai, turi būti įgyti iki pasiūlymų pateikimo termino pabaigos (susipažinimo su pasiūlymais dienos).</w:t>
      </w:r>
      <w:r w:rsidRPr="00BA483A">
        <w:rPr>
          <w:lang w:val="lt-LT"/>
        </w:rPr>
        <w:tab/>
      </w:r>
      <w:r w:rsidRPr="00BA483A">
        <w:rPr>
          <w:lang w:val="lt-LT"/>
        </w:rPr>
        <w:br/>
      </w:r>
      <w:r w:rsidRPr="00BA483A">
        <w:rPr>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A483A">
        <w:rPr>
          <w:lang w:val="lt-LT"/>
        </w:rPr>
        <w:tab/>
      </w:r>
      <w:r w:rsidRPr="00BA483A">
        <w:rPr>
          <w:lang w:val="lt-LT"/>
        </w:rPr>
        <w:br/>
      </w:r>
      <w:r w:rsidRPr="00BA483A">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w:t>
      </w:r>
      <w:r>
        <w:rPr>
          <w:lang w:val="lt-LT"/>
        </w:rPr>
        <w:t>mą pirkimo procedūros atlikimą.</w:t>
      </w:r>
    </w:p>
    <w:p w14:paraId="1B068065" w14:textId="2CDE739E" w:rsidR="00252756" w:rsidRDefault="00BA483A" w:rsidP="004E7D37">
      <w:pPr>
        <w:pStyle w:val="Body2"/>
        <w:ind w:firstLine="720"/>
        <w:rPr>
          <w:lang w:val="lt-LT"/>
        </w:rPr>
      </w:pPr>
      <w:r w:rsidRPr="00690A3B">
        <w:rPr>
          <w:lang w:val="lt-LT"/>
        </w:rPr>
        <w:t xml:space="preserve">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w:t>
      </w:r>
      <w:r w:rsidRPr="00690A3B">
        <w:rPr>
          <w:lang w:val="lt-LT"/>
        </w:rPr>
        <w:lastRenderedPageBreak/>
        <w:t>ar naudosis sutarties vykdymo metu atitinkamas priemones.</w:t>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jis ketina pasitelkti, jeigu jie yra žinomi. Jei tiekėjas nesiremia subtiekėjų </w:t>
      </w:r>
      <w:proofErr w:type="spellStart"/>
      <w:r w:rsidR="00205AB1" w:rsidRPr="00370648">
        <w:rPr>
          <w:lang w:val="lt-LT"/>
        </w:rPr>
        <w:t>pajėgumais</w:t>
      </w:r>
      <w:proofErr w:type="spellEnd"/>
      <w:r w:rsidR="00205AB1"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w:t>
      </w:r>
      <w:proofErr w:type="spellStart"/>
      <w:r w:rsidR="00205AB1" w:rsidRPr="00370648">
        <w:rPr>
          <w:lang w:val="lt-LT"/>
        </w:rPr>
        <w:t>pajėgumais</w:t>
      </w:r>
      <w:proofErr w:type="spellEnd"/>
      <w:r w:rsidR="00205AB1" w:rsidRPr="00370648">
        <w:rPr>
          <w:lang w:val="lt-LT"/>
        </w:rPr>
        <w:t xml:space="preserve"> remiamasi dėl atitikties kvalifikacijos reikalavimams. </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C94CA8">
        <w:rPr>
          <w:b/>
          <w:lang w:val="lt-LT"/>
        </w:rPr>
        <w:t>4. ŪKIO SUBJEKTŲ GRUPĖS DALYVAVIMAS</w:t>
      </w:r>
      <w:r w:rsidR="00205AB1" w:rsidRPr="00C94CA8">
        <w:rPr>
          <w:b/>
          <w:lang w:val="lt-LT"/>
        </w:rPr>
        <w:tab/>
      </w:r>
      <w:r w:rsidR="00205AB1" w:rsidRPr="00C94CA8">
        <w:rPr>
          <w:b/>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 xml:space="preserve">4.3. Tiekėjas gali remtis kitų ūkio subjektų </w:t>
      </w:r>
      <w:proofErr w:type="spellStart"/>
      <w:r w:rsidR="00205AB1" w:rsidRPr="00370648">
        <w:rPr>
          <w:lang w:val="lt-LT"/>
        </w:rPr>
        <w:t>pajėgumais</w:t>
      </w:r>
      <w:proofErr w:type="spellEnd"/>
      <w:r w:rsidR="00205AB1" w:rsidRPr="00370648">
        <w:rPr>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t>4.4.</w:t>
      </w:r>
      <w:r w:rsidR="00252756">
        <w:rPr>
          <w:lang w:val="lt-LT"/>
        </w:rPr>
        <w:t xml:space="preserve"> </w:t>
      </w:r>
      <w:r w:rsidR="00252756" w:rsidRPr="00252756">
        <w:rPr>
          <w:lang w:val="lt-LT"/>
        </w:rPr>
        <w:t xml:space="preserve">Remdamasis kitų ūkio subjektų </w:t>
      </w:r>
      <w:proofErr w:type="spellStart"/>
      <w:r w:rsidR="00252756" w:rsidRPr="00252756">
        <w:rPr>
          <w:lang w:val="lt-LT"/>
        </w:rPr>
        <w:t>pajėgumais</w:t>
      </w:r>
      <w:proofErr w:type="spellEnd"/>
      <w:r w:rsidR="00252756" w:rsidRPr="00252756">
        <w:rPr>
          <w:lang w:val="lt-LT"/>
        </w:rPr>
        <w:t xml:space="preserve">, tiekėjas neatsižvelgia į tai, koks teisinis ryšys sieja tiekėją ir tą ūkio subjektą, kurio </w:t>
      </w:r>
      <w:proofErr w:type="spellStart"/>
      <w:r w:rsidR="00252756" w:rsidRPr="00252756">
        <w:rPr>
          <w:lang w:val="lt-LT"/>
        </w:rPr>
        <w:t>pajėgumais</w:t>
      </w:r>
      <w:proofErr w:type="spellEnd"/>
      <w:r w:rsidR="00252756" w:rsidRPr="00252756">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52756" w:rsidRPr="00252756">
        <w:rPr>
          <w:lang w:val="lt-LT"/>
        </w:rPr>
        <w:t>pajėgumais</w:t>
      </w:r>
      <w:proofErr w:type="spellEnd"/>
      <w:r w:rsidR="00252756" w:rsidRPr="00252756">
        <w:rPr>
          <w:lang w:val="lt-LT"/>
        </w:rPr>
        <w:t xml:space="preserve">, naudojimasis asmenų, tiesiogiai nedalyvaujančių pirkimo procedūrose </w:t>
      </w:r>
      <w:proofErr w:type="spellStart"/>
      <w:r w:rsidR="00252756" w:rsidRPr="00252756">
        <w:rPr>
          <w:lang w:val="lt-LT"/>
        </w:rPr>
        <w:t>pajėgumais</w:t>
      </w:r>
      <w:proofErr w:type="spellEnd"/>
      <w:r w:rsidR="00252756" w:rsidRPr="00252756">
        <w:rPr>
          <w:lang w:val="lt-LT"/>
        </w:rPr>
        <w:t xml:space="preserve"> (šių asmenų įrankiais, įrenginiais, techninėmis priemonėmis) ir panašiai.</w:t>
      </w:r>
      <w:r w:rsidR="00205AB1" w:rsidRPr="00370648">
        <w:rPr>
          <w:lang w:val="lt-LT"/>
        </w:rPr>
        <w:br/>
      </w:r>
      <w:r w:rsidR="00205AB1" w:rsidRPr="00370648">
        <w:rPr>
          <w:lang w:val="lt-LT"/>
        </w:rPr>
        <w:tab/>
        <w:t xml:space="preserve">4.5. </w:t>
      </w:r>
      <w:r w:rsidR="00252756" w:rsidRPr="002E33FD">
        <w:rPr>
          <w:rFonts w:cs="Times New Roman"/>
          <w:color w:val="auto"/>
          <w:lang w:val="lt-LT"/>
        </w:rPr>
        <w:t xml:space="preserve">Tiekėjas remiasi tokiais ūkio subjekto </w:t>
      </w:r>
      <w:proofErr w:type="spellStart"/>
      <w:r w:rsidR="00252756" w:rsidRPr="002E33FD">
        <w:rPr>
          <w:rFonts w:cs="Times New Roman"/>
          <w:color w:val="auto"/>
          <w:lang w:val="lt-LT"/>
        </w:rPr>
        <w:t>pajėgumais</w:t>
      </w:r>
      <w:proofErr w:type="spellEnd"/>
      <w:r w:rsidR="00252756" w:rsidRPr="002E33FD">
        <w:rPr>
          <w:rFonts w:cs="Times New Roman"/>
          <w:color w:val="auto"/>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52756" w:rsidRPr="002E33FD">
        <w:rPr>
          <w:rFonts w:cs="Times New Roman"/>
          <w:color w:val="auto"/>
          <w:lang w:val="lt-LT"/>
        </w:rPr>
        <w:t>pajėgumais</w:t>
      </w:r>
      <w:proofErr w:type="spellEnd"/>
      <w:r w:rsidR="00252756" w:rsidRPr="002E33FD">
        <w:rPr>
          <w:rFonts w:cs="Times New Roman"/>
          <w:color w:val="auto"/>
          <w:lang w:val="lt-LT"/>
        </w:rPr>
        <w:t xml:space="preserve"> buvo pasiremta, ištekliai tiekėjui bus prieinami. Tuo atveju, jeigu siekiant atitikties kvalifikacijos reikalavimams buvo pasiremta trečiųjų asmenų, tiesiogiai nedalyvaujančių konkurse, </w:t>
      </w:r>
      <w:proofErr w:type="spellStart"/>
      <w:r w:rsidR="00252756" w:rsidRPr="002E33FD">
        <w:rPr>
          <w:rFonts w:cs="Times New Roman"/>
          <w:color w:val="auto"/>
          <w:lang w:val="lt-LT"/>
        </w:rPr>
        <w:t>pajėgumais</w:t>
      </w:r>
      <w:proofErr w:type="spellEnd"/>
      <w:r w:rsidR="00252756" w:rsidRPr="002E33FD">
        <w:rPr>
          <w:rFonts w:cs="Times New Roman"/>
          <w:color w:val="auto"/>
          <w:lang w:val="lt-LT"/>
        </w:rPr>
        <w:t xml:space="preserve">, tiekėjas taip pat turi pareigą įrodyti, kad atitinkamais </w:t>
      </w:r>
      <w:proofErr w:type="spellStart"/>
      <w:r w:rsidR="00252756" w:rsidRPr="002E33FD">
        <w:rPr>
          <w:rFonts w:cs="Times New Roman"/>
          <w:color w:val="auto"/>
          <w:lang w:val="lt-LT"/>
        </w:rPr>
        <w:t>pajėgumais</w:t>
      </w:r>
      <w:proofErr w:type="spellEnd"/>
      <w:r w:rsidR="00252756" w:rsidRPr="002E33FD">
        <w:rPr>
          <w:rFonts w:cs="Times New Roman"/>
          <w:color w:val="auto"/>
          <w:lang w:val="lt-LT"/>
        </w:rPr>
        <w:t xml:space="preserve"> jis galės naudotis sutarties vykdymo laikotarpiu. Tokiomis pačiomis sąlygomis tiekėjų grupė gali remtis tiekėjų grupės dalyvių arba </w:t>
      </w:r>
      <w:r w:rsidR="00252756">
        <w:rPr>
          <w:rFonts w:cs="Times New Roman"/>
          <w:color w:val="auto"/>
          <w:lang w:val="lt-LT"/>
        </w:rPr>
        <w:t xml:space="preserve">kitų ūkio subjektų </w:t>
      </w:r>
      <w:proofErr w:type="spellStart"/>
      <w:r w:rsidR="00252756">
        <w:rPr>
          <w:rFonts w:cs="Times New Roman"/>
          <w:color w:val="auto"/>
          <w:lang w:val="lt-LT"/>
        </w:rPr>
        <w:t>pajėgumais</w:t>
      </w:r>
      <w:proofErr w:type="spellEnd"/>
      <w:r w:rsidR="00252756">
        <w:rPr>
          <w:rFonts w:cs="Times New Roman"/>
          <w:color w:val="auto"/>
          <w:lang w:val="lt-LT"/>
        </w:rPr>
        <w:t>.</w:t>
      </w:r>
      <w:r w:rsidR="00252756">
        <w:rPr>
          <w:rFonts w:cs="Times New Roman"/>
          <w:color w:val="auto"/>
          <w:lang w:val="lt-LT"/>
        </w:rPr>
        <w:tab/>
      </w:r>
      <w:r w:rsidR="00205AB1" w:rsidRPr="00370648">
        <w:rPr>
          <w:lang w:val="lt-LT"/>
        </w:rPr>
        <w:tab/>
      </w:r>
      <w:r w:rsidR="00205AB1" w:rsidRPr="00370648">
        <w:rPr>
          <w:lang w:val="lt-LT"/>
        </w:rPr>
        <w:br/>
      </w:r>
      <w:r w:rsidR="00205AB1" w:rsidRPr="00370648">
        <w:rPr>
          <w:lang w:val="lt-LT"/>
        </w:rPr>
        <w:tab/>
      </w:r>
      <w:r w:rsidR="00252756">
        <w:rPr>
          <w:lang w:val="lt-LT"/>
        </w:rPr>
        <w:t xml:space="preserve">4.6. </w:t>
      </w:r>
      <w:r w:rsidR="00252756" w:rsidRPr="00252756">
        <w:rPr>
          <w:lang w:val="lt-LT"/>
        </w:rPr>
        <w:t>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6A5A2DA" w14:textId="77777777" w:rsidR="00041E52" w:rsidRDefault="00252756" w:rsidP="00252756">
      <w:pPr>
        <w:pStyle w:val="Body2"/>
        <w:ind w:firstLine="720"/>
        <w:rPr>
          <w:b/>
          <w:lang w:val="lt-LT"/>
        </w:rPr>
      </w:pPr>
      <w:r w:rsidRPr="00252756">
        <w:rPr>
          <w:lang w:val="lt-LT"/>
        </w:rPr>
        <w:t xml:space="preserve">4.7. Tais atvejais, kai tiekėjas remdamasis ekonominiais ir (arba) finansiniais </w:t>
      </w:r>
      <w:proofErr w:type="spellStart"/>
      <w:r w:rsidRPr="00252756">
        <w:rPr>
          <w:lang w:val="lt-LT"/>
        </w:rPr>
        <w:t>pajėgumais</w:t>
      </w:r>
      <w:proofErr w:type="spellEnd"/>
      <w:r w:rsidRPr="00252756">
        <w:rPr>
          <w:lang w:val="lt-LT"/>
        </w:rPr>
        <w:t xml:space="preserve"> sumuoja visų ūkio subjektų </w:t>
      </w:r>
      <w:proofErr w:type="spellStart"/>
      <w:r w:rsidRPr="00252756">
        <w:rPr>
          <w:lang w:val="lt-LT"/>
        </w:rPr>
        <w:t>pajėgumus</w:t>
      </w:r>
      <w:proofErr w:type="spellEnd"/>
      <w:r w:rsidRPr="00252756">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252756">
        <w:rPr>
          <w:lang w:val="lt-LT"/>
        </w:rPr>
        <w:t>pajėgumais</w:t>
      </w:r>
      <w:proofErr w:type="spellEnd"/>
      <w:r w:rsidRPr="00252756">
        <w:rPr>
          <w:lang w:val="lt-LT"/>
        </w:rPr>
        <w:t xml:space="preserve"> remiamasi, įsipareigoja solidariai atsakyti už tiekėjo įsipareigojimų pagal pirkimo sutartį vykdymą ir atlyginti bet kokią žalą, kuri kiltų dėl tiekėjo netinkamo įsipar</w:t>
      </w:r>
      <w:r>
        <w:rPr>
          <w:lang w:val="lt-LT"/>
        </w:rPr>
        <w:t>eigojimų vykdymo ar nevykdymo.</w:t>
      </w:r>
      <w:r>
        <w:rPr>
          <w:lang w:val="lt-LT"/>
        </w:rPr>
        <w:lastRenderedPageBreak/>
        <w:tab/>
      </w:r>
      <w:r w:rsidR="00205AB1" w:rsidRPr="00370648">
        <w:rPr>
          <w:lang w:val="lt-LT"/>
        </w:rPr>
        <w:br/>
      </w:r>
      <w:r w:rsidR="00205AB1" w:rsidRPr="00370648">
        <w:rPr>
          <w:lang w:val="lt-LT"/>
        </w:rPr>
        <w:tab/>
      </w:r>
      <w:r w:rsidR="00205AB1" w:rsidRPr="00C94CA8">
        <w:rPr>
          <w:b/>
          <w:lang w:val="lt-LT"/>
        </w:rPr>
        <w:br/>
      </w:r>
      <w:r w:rsidR="00205AB1" w:rsidRPr="00C94CA8">
        <w:rPr>
          <w:b/>
          <w:lang w:val="lt-LT"/>
        </w:rPr>
        <w:tab/>
        <w:t>5. PASIŪLYMŲ RENGIMAS, PATEIKIMAS, KEITIMAS</w:t>
      </w:r>
    </w:p>
    <w:p w14:paraId="5682AFFA" w14:textId="6B654E06" w:rsidR="00252756" w:rsidRDefault="00205AB1" w:rsidP="00252756">
      <w:pPr>
        <w:pStyle w:val="Body2"/>
        <w:ind w:firstLine="720"/>
        <w:rPr>
          <w:lang w:val="lt-LT"/>
        </w:rPr>
      </w:pPr>
      <w:r w:rsidRPr="00370648">
        <w:rPr>
          <w:lang w:val="lt-LT"/>
        </w:rPr>
        <w:tab/>
      </w:r>
      <w:r w:rsidRPr="00370648">
        <w:rPr>
          <w:lang w:val="lt-LT"/>
        </w:rPr>
        <w:br/>
      </w:r>
      <w:r w:rsidRPr="00370648">
        <w:rPr>
          <w:lang w:val="lt-LT"/>
        </w:rPr>
        <w:tab/>
      </w:r>
      <w:r w:rsidR="00252756" w:rsidRPr="00252756">
        <w:rPr>
          <w:lang w:val="lt-LT"/>
        </w:rPr>
        <w:t>5.1. Tiekėjas gali pateikti tik vieną pasiūlymą dėl konkrečioje pirkimo dalyje įsigyjamų prekių. Jei tiekėjas pateikia daugiau kaip vieną pasiūlymą arba tiekėjų grupės dalyvis dalyvauja teikiant kelis pasiūlymus, visi tokie pasiūlymai bus atmesti.</w:t>
      </w:r>
      <w:r w:rsidR="00252756" w:rsidRPr="00252756">
        <w:rPr>
          <w:lang w:val="lt-LT"/>
        </w:rPr>
        <w:tab/>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9F222D7" w14:textId="77777777" w:rsidR="00252756" w:rsidRPr="00252756" w:rsidRDefault="00252756" w:rsidP="00252756">
      <w:pPr>
        <w:pStyle w:val="Body2"/>
        <w:ind w:firstLine="720"/>
        <w:rPr>
          <w:lang w:val="lt-LT"/>
        </w:rPr>
      </w:pPr>
      <w:r w:rsidRPr="00252756">
        <w:rPr>
          <w:lang w:val="lt-LT"/>
        </w:rPr>
        <w:t>5.2. Tiekėjas negali pateikti alternatyvių pasiūlymų. Tiekėjui pateikus alternatyvų pasiūlymą, jo pasiūlymas ir alternatyvus pasiūlymas (alternatyvūs pasiūlymai) bus atmesti.</w:t>
      </w:r>
      <w:r w:rsidRPr="00252756">
        <w:rPr>
          <w:lang w:val="lt-LT"/>
        </w:rPr>
        <w:tab/>
      </w:r>
      <w:r w:rsidRPr="00252756">
        <w:rPr>
          <w:lang w:val="lt-LT"/>
        </w:rPr>
        <w:br/>
      </w:r>
      <w:r w:rsidRPr="00252756">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252756">
          <w:rPr>
            <w:rStyle w:val="Hyperlink"/>
            <w:lang w:val="lt-LT"/>
          </w:rPr>
          <w:t>https://viesiejipirkimai.lt</w:t>
        </w:r>
      </w:hyperlink>
      <w:r w:rsidRPr="00252756">
        <w:rPr>
          <w:lang w:val="lt-LT"/>
        </w:rPr>
        <w:t xml:space="preserve">). Pateikiami dokumentai ar skaitmeninės dokumentų kopijos turi būti prieinami naudojant nediskriminuojančius, visuotinai prieinamus duomenų failų formatus (pvz., </w:t>
      </w:r>
      <w:proofErr w:type="spellStart"/>
      <w:r w:rsidRPr="00252756">
        <w:rPr>
          <w:lang w:val="lt-LT"/>
        </w:rPr>
        <w:t>pdf</w:t>
      </w:r>
      <w:proofErr w:type="spellEnd"/>
      <w:r w:rsidRPr="00252756">
        <w:rPr>
          <w:lang w:val="lt-LT"/>
        </w:rPr>
        <w:t xml:space="preserve">, </w:t>
      </w:r>
      <w:proofErr w:type="spellStart"/>
      <w:r w:rsidRPr="00252756">
        <w:rPr>
          <w:lang w:val="lt-LT"/>
        </w:rPr>
        <w:t>jpg</w:t>
      </w:r>
      <w:proofErr w:type="spellEnd"/>
      <w:r w:rsidRPr="00252756">
        <w:rPr>
          <w:lang w:val="lt-LT"/>
        </w:rPr>
        <w:t xml:space="preserve">, </w:t>
      </w:r>
      <w:proofErr w:type="spellStart"/>
      <w:r w:rsidRPr="00252756">
        <w:rPr>
          <w:lang w:val="lt-LT"/>
        </w:rPr>
        <w:t>xlsx</w:t>
      </w:r>
      <w:proofErr w:type="spellEnd"/>
      <w:r w:rsidRPr="00252756">
        <w:rPr>
          <w:lang w:val="lt-LT"/>
        </w:rPr>
        <w:t xml:space="preserve">, </w:t>
      </w:r>
      <w:proofErr w:type="spellStart"/>
      <w:r w:rsidRPr="00252756">
        <w:rPr>
          <w:lang w:val="lt-LT"/>
        </w:rPr>
        <w:t>docx</w:t>
      </w:r>
      <w:proofErr w:type="spellEnd"/>
      <w:r w:rsidRPr="00252756">
        <w:rPr>
          <w:lang w:val="lt-LT"/>
        </w:rPr>
        <w:t xml:space="preserve"> ir kt.).</w:t>
      </w:r>
      <w:r w:rsidRPr="00252756">
        <w:rPr>
          <w:lang w:val="lt-LT"/>
        </w:rPr>
        <w:tab/>
      </w:r>
    </w:p>
    <w:p w14:paraId="492F4C8D" w14:textId="77777777" w:rsidR="00252756" w:rsidRPr="00252756" w:rsidRDefault="00252756" w:rsidP="00252756">
      <w:pPr>
        <w:pStyle w:val="Body2"/>
        <w:ind w:firstLine="720"/>
        <w:rPr>
          <w:lang w:val="lt-LT"/>
        </w:rPr>
      </w:pPr>
      <w:r w:rsidRPr="00252756">
        <w:rPr>
          <w:lang w:val="lt-LT"/>
        </w:rPr>
        <w:t xml:space="preserve">5.4. Pasiūlymas turi būti pateiktas iki skelbime nurodyto pasiūlymų pateikimo termino pabaigos, o jeigu skelbime nurodytas pasiūlymų pateikimo terminas buvo pratęstas – iki pratęsto termino pabaigos. </w:t>
      </w:r>
      <w:r w:rsidRPr="00252756">
        <w:rPr>
          <w:lang w:val="lt-LT"/>
        </w:rPr>
        <w:tab/>
      </w:r>
      <w:r w:rsidRPr="00252756">
        <w:rPr>
          <w:lang w:val="lt-LT"/>
        </w:rPr>
        <w:tab/>
        <w:t>5.5. Pateikdamas pasiūlymą, tiekėjas sutinka su šiais pirkimo dokumentais ir patvirtina, kad jo pasiūlyme pateikta informacija yra teisinga ir apima viską, ko reikia tinkamam pirkimo sutarties įvykdymui.</w:t>
      </w:r>
      <w:r w:rsidRPr="00252756">
        <w:rPr>
          <w:lang w:val="lt-LT"/>
        </w:rPr>
        <w:br/>
      </w:r>
      <w:r w:rsidRPr="00252756">
        <w:rPr>
          <w:lang w:val="lt-LT"/>
        </w:rPr>
        <w:tab/>
        <w:t xml:space="preserve">5.6. Tiekėjas prisiima visas išlaidas, susijusias su pasiūlymo rengimu ir teikimu, perkančioji organizacija nėra atsakinga ar įpareigota dėl šių išlaidų. Perkančioji organizacija neatsakys ir neprisiims šių išlaidų, nepriklausomai nuo to, kaip vyktų ir baigtųsi viešasis pirkimas. </w:t>
      </w:r>
      <w:r w:rsidRPr="00252756">
        <w:rPr>
          <w:lang w:val="lt-LT"/>
        </w:rPr>
        <w:tab/>
      </w:r>
      <w:r w:rsidRPr="00252756">
        <w:rPr>
          <w:lang w:val="lt-LT"/>
        </w:rPr>
        <w:br/>
      </w:r>
      <w:r w:rsidRPr="00252756">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252756">
        <w:rPr>
          <w:lang w:val="lt-LT"/>
        </w:rPr>
        <w:tab/>
      </w:r>
    </w:p>
    <w:p w14:paraId="22FE447D" w14:textId="0412DC7B" w:rsidR="00252756" w:rsidRPr="00252756" w:rsidRDefault="00252756" w:rsidP="00252756">
      <w:pPr>
        <w:pStyle w:val="Body2"/>
        <w:ind w:firstLine="720"/>
        <w:rPr>
          <w:lang w:val="lt-LT"/>
        </w:rPr>
      </w:pPr>
      <w:r w:rsidRPr="00252756">
        <w:rPr>
          <w:lang w:val="lt-LT"/>
        </w:rPr>
        <w:t xml:space="preserve">5.8. Pasiūlymas turi galioti ne trumpiau nei </w:t>
      </w:r>
      <w:r w:rsidRPr="00252756">
        <w:rPr>
          <w:b/>
          <w:lang w:val="lt-LT"/>
        </w:rPr>
        <w:t>180 dienų</w:t>
      </w:r>
      <w:r w:rsidRPr="00252756">
        <w:rPr>
          <w:lang w:val="lt-LT"/>
        </w:rPr>
        <w:t xml:space="preserve"> nuo pasiūlymų pateikimo termino pabaigos. Jeigu pasiūlyme nenurodytas jo galiojimo laikas, laikoma, kad pasiūlymas galioja tiek, kiek nustatyta pirkimo dokumentuose.</w:t>
      </w:r>
      <w:r w:rsidRPr="00252756">
        <w:rPr>
          <w:lang w:val="lt-LT"/>
        </w:rPr>
        <w:tab/>
      </w:r>
      <w:r w:rsidRPr="00252756">
        <w:rPr>
          <w:lang w:val="lt-LT"/>
        </w:rPr>
        <w:br/>
      </w:r>
      <w:r w:rsidRPr="00252756">
        <w:rPr>
          <w:lang w:val="lt-LT"/>
        </w:rPr>
        <w:tab/>
        <w:t xml:space="preserve">5.9. Pasiūlyme nurodomi įkainiai/kaina pateikiami eurais. Apskaičiuojant įkainį/kainą, turi būti atsižvelgta į visus pirkimo sąlygų, įskaitant pirkimo sąlygų 3 priedo, reikalavimus. Į pasiūlymo įkainius/kainą turi būti įskaityti visi mokesčiai ir visos tiekėjo išlaidos, apimančios viską, ko reikia visiškam ir tinkamam pirkimo sutarties įvykdymui. Kainos/įkainiai su PVM visuose pasiūlymo dokumentuose turi būti įrašomi apvalinant </w:t>
      </w:r>
      <w:r w:rsidRPr="00252756">
        <w:rPr>
          <w:b/>
          <w:lang w:val="lt-LT"/>
        </w:rPr>
        <w:t>dviem skaitmenimis po kablelio.</w:t>
      </w:r>
      <w:r w:rsidRPr="00252756">
        <w:rPr>
          <w:lang w:val="lt-LT"/>
        </w:rPr>
        <w:tab/>
        <w:t xml:space="preserve"> </w:t>
      </w:r>
    </w:p>
    <w:p w14:paraId="0F9645E1" w14:textId="21F0986B" w:rsidR="00252756" w:rsidRPr="00252756" w:rsidRDefault="00252756" w:rsidP="00252756">
      <w:pPr>
        <w:pStyle w:val="Body2"/>
        <w:ind w:firstLine="720"/>
        <w:rPr>
          <w:lang w:val="lt-LT"/>
        </w:rPr>
      </w:pPr>
      <w:r w:rsidRPr="00252756">
        <w:rPr>
          <w:lang w:val="lt-LT"/>
        </w:rPr>
        <w:t>5.10. Perkančioji organizacija turi teisę pratęsti pasiūlymo pateikimo terminą. Apie naują pasiūlymų pateikimo terminą paskelbiama CVP IS ir pranešama prie pirkimo CVP IS prisijungusiems tiekėjams.</w:t>
      </w:r>
    </w:p>
    <w:p w14:paraId="4B124609" w14:textId="547B7A71" w:rsidR="000C5A59" w:rsidRDefault="000C4F68" w:rsidP="000C4F68">
      <w:pPr>
        <w:pStyle w:val="Body2"/>
        <w:ind w:firstLine="709"/>
        <w:rPr>
          <w:b/>
          <w:lang w:val="lt-LT"/>
        </w:rPr>
      </w:pPr>
      <w:r w:rsidRPr="00606B38">
        <w:rPr>
          <w:b/>
          <w:lang w:val="lt-LT"/>
        </w:rPr>
        <w:t xml:space="preserve">5.11. Pasiūlymas turi būti pateikiamas CVP IS priemonėmis, kurį turi sudaryti užpildyta pasiūlymo forma parengta pagal pirkimo sąlygų </w:t>
      </w:r>
      <w:r w:rsidR="00444495">
        <w:rPr>
          <w:b/>
          <w:lang w:val="lt-LT"/>
        </w:rPr>
        <w:t>2</w:t>
      </w:r>
      <w:r w:rsidRPr="00606B38">
        <w:rPr>
          <w:b/>
          <w:lang w:val="lt-LT"/>
        </w:rPr>
        <w:t xml:space="preserve"> priedą „Pasiūlymo forma“ </w:t>
      </w:r>
      <w:r w:rsidR="000C5A59">
        <w:rPr>
          <w:b/>
          <w:lang w:val="lt-LT"/>
        </w:rPr>
        <w:t>(</w:t>
      </w:r>
      <w:r w:rsidR="000C5A59" w:rsidRPr="000C5A59">
        <w:rPr>
          <w:b/>
          <w:i/>
          <w:lang w:val="lt-LT"/>
        </w:rPr>
        <w:t>pateikiama Excel formatu</w:t>
      </w:r>
      <w:r w:rsidR="000C5A59">
        <w:rPr>
          <w:b/>
          <w:lang w:val="lt-LT"/>
        </w:rPr>
        <w:t xml:space="preserve">) </w:t>
      </w:r>
      <w:r w:rsidRPr="00606B38">
        <w:rPr>
          <w:b/>
          <w:lang w:val="lt-LT"/>
        </w:rPr>
        <w:t>ir</w:t>
      </w:r>
      <w:r w:rsidR="00C326CA">
        <w:rPr>
          <w:b/>
          <w:lang w:val="lt-LT"/>
        </w:rPr>
        <w:t xml:space="preserve"> 2 priedo priedelį „</w:t>
      </w:r>
      <w:r w:rsidR="00C326CA" w:rsidRPr="00C326CA">
        <w:rPr>
          <w:b/>
          <w:lang w:val="lt-LT"/>
        </w:rPr>
        <w:t>Siūlomų prekių kokybės garantijos terminai</w:t>
      </w:r>
      <w:r w:rsidR="00C326CA">
        <w:rPr>
          <w:b/>
          <w:lang w:val="lt-LT"/>
        </w:rPr>
        <w:t>“, kartu</w:t>
      </w:r>
      <w:r w:rsidRPr="00606B38">
        <w:rPr>
          <w:b/>
          <w:lang w:val="lt-LT"/>
        </w:rPr>
        <w:t xml:space="preserve"> šie pasiūlymo priedai:</w:t>
      </w:r>
    </w:p>
    <w:p w14:paraId="7E172AA5" w14:textId="1BA5AA30" w:rsidR="000C4F68" w:rsidRDefault="00205AB1" w:rsidP="000C4F68">
      <w:pPr>
        <w:pStyle w:val="Body2"/>
        <w:ind w:firstLine="709"/>
        <w:rPr>
          <w:b/>
          <w:lang w:val="lt-LT"/>
        </w:rPr>
      </w:pPr>
      <w:r w:rsidRPr="00EB1AC6">
        <w:rPr>
          <w:b/>
          <w:lang w:val="lt-LT"/>
        </w:rPr>
        <w:t>5.1</w:t>
      </w:r>
      <w:r w:rsidR="00041E52">
        <w:rPr>
          <w:b/>
          <w:lang w:val="lt-LT"/>
        </w:rPr>
        <w:t>1</w:t>
      </w:r>
      <w:r w:rsidRPr="00EB1AC6">
        <w:rPr>
          <w:b/>
          <w:lang w:val="lt-LT"/>
        </w:rPr>
        <w:t>.1. Jungtinės veiklos sutarties kopija (</w:t>
      </w:r>
      <w:r w:rsidRPr="000C4F68">
        <w:rPr>
          <w:b/>
          <w:i/>
          <w:lang w:val="lt-LT"/>
        </w:rPr>
        <w:t>jeigu pasiūl</w:t>
      </w:r>
      <w:r w:rsidR="00632FEA" w:rsidRPr="000C4F68">
        <w:rPr>
          <w:b/>
          <w:i/>
          <w:lang w:val="lt-LT"/>
        </w:rPr>
        <w:t>ymą teikia ūkio subjektų grupė</w:t>
      </w:r>
      <w:r w:rsidR="00632FEA" w:rsidRPr="00EB1AC6">
        <w:rPr>
          <w:b/>
          <w:lang w:val="lt-LT"/>
        </w:rPr>
        <w:t>);</w:t>
      </w:r>
      <w:r w:rsidRPr="00EB1AC6">
        <w:rPr>
          <w:b/>
          <w:lang w:val="lt-LT"/>
        </w:rPr>
        <w:tab/>
      </w:r>
      <w:r w:rsidRPr="00EB1AC6">
        <w:rPr>
          <w:b/>
          <w:lang w:val="lt-LT"/>
        </w:rPr>
        <w:br/>
      </w:r>
      <w:r w:rsidRPr="00EB1AC6">
        <w:rPr>
          <w:b/>
          <w:lang w:val="lt-LT"/>
        </w:rPr>
        <w:tab/>
        <w:t>5.1</w:t>
      </w:r>
      <w:r w:rsidR="00041E52">
        <w:rPr>
          <w:b/>
          <w:lang w:val="lt-LT"/>
        </w:rPr>
        <w:t>1</w:t>
      </w:r>
      <w:r w:rsidRPr="00EB1AC6">
        <w:rPr>
          <w:b/>
          <w:lang w:val="lt-LT"/>
        </w:rPr>
        <w:t>.2. Įgaliojimas pateikti pasiūlymą (</w:t>
      </w:r>
      <w:r w:rsidRPr="000C4F68">
        <w:rPr>
          <w:b/>
          <w:i/>
          <w:lang w:val="lt-LT"/>
        </w:rPr>
        <w:t xml:space="preserve">jeigu pasiūlymą pateikia ne </w:t>
      </w:r>
      <w:r w:rsidR="00632FEA" w:rsidRPr="000C4F68">
        <w:rPr>
          <w:b/>
          <w:i/>
          <w:lang w:val="lt-LT"/>
        </w:rPr>
        <w:t>tiekėjo vadovas</w:t>
      </w:r>
      <w:r w:rsidR="00632FEA" w:rsidRPr="00EB1AC6">
        <w:rPr>
          <w:b/>
          <w:lang w:val="lt-LT"/>
        </w:rPr>
        <w:t>);</w:t>
      </w:r>
    </w:p>
    <w:p w14:paraId="33DC10F5" w14:textId="21236EAE" w:rsidR="00632FEA" w:rsidRPr="004E7D37" w:rsidRDefault="00205AB1" w:rsidP="000C4F68">
      <w:pPr>
        <w:pStyle w:val="Body2"/>
        <w:rPr>
          <w:lang w:val="lt-LT"/>
        </w:rPr>
      </w:pPr>
      <w:r w:rsidRPr="00EB1AC6">
        <w:rPr>
          <w:b/>
          <w:lang w:val="lt-LT"/>
        </w:rPr>
        <w:tab/>
      </w:r>
      <w:r w:rsidR="000C4F68">
        <w:rPr>
          <w:b/>
          <w:lang w:val="lt-LT"/>
        </w:rPr>
        <w:t>5.1</w:t>
      </w:r>
      <w:r w:rsidR="00041E52">
        <w:rPr>
          <w:b/>
          <w:lang w:val="lt-LT"/>
        </w:rPr>
        <w:t>1</w:t>
      </w:r>
      <w:r w:rsidR="000C4F68">
        <w:rPr>
          <w:b/>
          <w:lang w:val="lt-LT"/>
        </w:rPr>
        <w:t xml:space="preserve">.3. </w:t>
      </w:r>
      <w:r w:rsidR="00041E52">
        <w:rPr>
          <w:b/>
          <w:lang w:val="lt-LT"/>
        </w:rPr>
        <w:t>U</w:t>
      </w:r>
      <w:r w:rsidR="000C4F68" w:rsidRPr="00606B38">
        <w:rPr>
          <w:b/>
          <w:lang w:val="lt-LT"/>
        </w:rPr>
        <w:t xml:space="preserve">žpildytas EBVPD parengtas pagal pirkimo sąlygų </w:t>
      </w:r>
      <w:r w:rsidR="00444495">
        <w:rPr>
          <w:b/>
          <w:lang w:val="lt-LT"/>
        </w:rPr>
        <w:t>5</w:t>
      </w:r>
      <w:r w:rsidR="000C4F68">
        <w:rPr>
          <w:b/>
          <w:lang w:val="lt-LT"/>
        </w:rPr>
        <w:t xml:space="preserve"> </w:t>
      </w:r>
      <w:r w:rsidR="000C4F68" w:rsidRPr="00606B38">
        <w:rPr>
          <w:b/>
          <w:lang w:val="lt-LT"/>
        </w:rPr>
        <w:t>priedą;</w:t>
      </w:r>
      <w:r w:rsidR="000C4F68" w:rsidRPr="00606B38">
        <w:rPr>
          <w:lang w:val="lt-LT"/>
        </w:rPr>
        <w:tab/>
      </w:r>
      <w:r w:rsidRPr="00EB1AC6">
        <w:rPr>
          <w:b/>
          <w:lang w:val="lt-LT"/>
        </w:rPr>
        <w:br/>
      </w:r>
      <w:r w:rsidRPr="00EB1AC6">
        <w:rPr>
          <w:b/>
          <w:lang w:val="lt-LT"/>
        </w:rPr>
        <w:tab/>
        <w:t>5.1</w:t>
      </w:r>
      <w:r w:rsidR="00041E52">
        <w:rPr>
          <w:b/>
          <w:lang w:val="lt-LT"/>
        </w:rPr>
        <w:t>1</w:t>
      </w:r>
      <w:r w:rsidRPr="00EB1AC6">
        <w:rPr>
          <w:b/>
          <w:lang w:val="lt-LT"/>
        </w:rPr>
        <w:t>.</w:t>
      </w:r>
      <w:r w:rsidR="00041E52">
        <w:rPr>
          <w:b/>
          <w:lang w:val="lt-LT"/>
        </w:rPr>
        <w:t>4</w:t>
      </w:r>
      <w:r w:rsidRPr="00EB1AC6">
        <w:rPr>
          <w:b/>
          <w:lang w:val="lt-LT"/>
        </w:rPr>
        <w:t xml:space="preserve">. </w:t>
      </w:r>
      <w:r w:rsidR="00632FEA" w:rsidRPr="00EB1AC6">
        <w:rPr>
          <w:b/>
          <w:lang w:val="lt-LT"/>
        </w:rPr>
        <w:t xml:space="preserve">Nacionalinio saugumo reikalavimų atitikties deklaracija užpildyta pagal pirkimo sąlygų </w:t>
      </w:r>
      <w:r w:rsidR="00444495">
        <w:rPr>
          <w:b/>
          <w:lang w:val="lt-LT"/>
        </w:rPr>
        <w:t>6</w:t>
      </w:r>
      <w:r w:rsidR="00632FEA" w:rsidRPr="00EB1AC6">
        <w:rPr>
          <w:b/>
          <w:lang w:val="lt-LT"/>
        </w:rPr>
        <w:t xml:space="preserve"> priedą „Tiekėjo deklaracija dėl atitikimo nacionalinio saugumo reikalavimams“. (Kilus abejonių dėl </w:t>
      </w:r>
      <w:r w:rsidR="00632FEA" w:rsidRPr="00EB1AC6">
        <w:rPr>
          <w:b/>
          <w:lang w:val="lt-LT"/>
        </w:rPr>
        <w:lastRenderedPageBreak/>
        <w:t>tiekėjo (ne)atitikties nacionalinio saugumo nuostatoms, perkančioji organizacija prašys pateikti dokumentus, įrodančius deklaracijoje pateiktų duomenų teisingumą);</w:t>
      </w:r>
    </w:p>
    <w:p w14:paraId="7AC6EA1B" w14:textId="559068EC" w:rsidR="002F20E1" w:rsidRDefault="00632FEA" w:rsidP="00D247E4">
      <w:pPr>
        <w:pStyle w:val="Body2"/>
        <w:ind w:firstLine="720"/>
        <w:rPr>
          <w:b/>
          <w:color w:val="auto"/>
          <w:lang w:val="lt-LT"/>
        </w:rPr>
      </w:pPr>
      <w:r w:rsidRPr="00C94CA8">
        <w:rPr>
          <w:b/>
          <w:color w:val="auto"/>
          <w:lang w:val="lt-LT"/>
        </w:rPr>
        <w:t>5.1</w:t>
      </w:r>
      <w:r w:rsidR="00041E52">
        <w:rPr>
          <w:b/>
          <w:color w:val="auto"/>
          <w:lang w:val="lt-LT"/>
        </w:rPr>
        <w:t>1</w:t>
      </w:r>
      <w:r w:rsidRPr="00C94CA8">
        <w:rPr>
          <w:b/>
          <w:color w:val="auto"/>
          <w:lang w:val="lt-LT"/>
        </w:rPr>
        <w:t>.</w:t>
      </w:r>
      <w:r w:rsidR="00041E52">
        <w:rPr>
          <w:b/>
          <w:color w:val="auto"/>
          <w:lang w:val="lt-LT"/>
        </w:rPr>
        <w:t>5</w:t>
      </w:r>
      <w:r w:rsidRPr="00C94CA8">
        <w:rPr>
          <w:b/>
          <w:color w:val="auto"/>
          <w:lang w:val="lt-LT"/>
        </w:rPr>
        <w:t>.</w:t>
      </w:r>
      <w:r w:rsidR="00205AB1" w:rsidRPr="00C94CA8">
        <w:rPr>
          <w:b/>
          <w:color w:val="auto"/>
          <w:lang w:val="lt-LT"/>
        </w:rPr>
        <w:tab/>
      </w:r>
      <w:r w:rsidR="00FE7216" w:rsidRPr="00653F17">
        <w:rPr>
          <w:rFonts w:asciiTheme="majorBidi" w:hAnsiTheme="majorBidi" w:cstheme="majorBidi"/>
          <w:b/>
          <w:lang w:val="lt-LT"/>
        </w:rPr>
        <w:t xml:space="preserve">Užpildytą deklaraciją dėl </w:t>
      </w:r>
      <w:r w:rsidR="00121CDA">
        <w:rPr>
          <w:rFonts w:asciiTheme="majorBidi" w:hAnsiTheme="majorBidi" w:cstheme="majorBidi"/>
          <w:b/>
          <w:lang w:val="lt-LT"/>
        </w:rPr>
        <w:t xml:space="preserve">siūlų gaminiui </w:t>
      </w:r>
      <w:r w:rsidR="00FE7216" w:rsidRPr="00FE7216">
        <w:rPr>
          <w:rFonts w:asciiTheme="majorBidi" w:hAnsiTheme="majorBidi" w:cstheme="majorBidi"/>
          <w:i/>
          <w:lang w:val="lt-LT"/>
        </w:rPr>
        <w:t>(taikoma 1-ai pirkimo daliai)</w:t>
      </w:r>
      <w:r w:rsidR="00FE7216">
        <w:rPr>
          <w:rFonts w:asciiTheme="majorBidi" w:hAnsiTheme="majorBidi" w:cstheme="majorBidi"/>
          <w:b/>
          <w:lang w:val="lt-LT"/>
        </w:rPr>
        <w:t xml:space="preserve"> ir jo pakuotės </w:t>
      </w:r>
      <w:r w:rsidR="00FE7216" w:rsidRPr="00FE7216">
        <w:rPr>
          <w:rFonts w:asciiTheme="majorBidi" w:hAnsiTheme="majorBidi" w:cstheme="majorBidi"/>
          <w:i/>
          <w:lang w:val="lt-LT"/>
        </w:rPr>
        <w:t>(taikoma 1-ai ir 2-ai pirkimo dalims)</w:t>
      </w:r>
      <w:r w:rsidR="00FE7216">
        <w:rPr>
          <w:rFonts w:asciiTheme="majorBidi" w:hAnsiTheme="majorBidi" w:cstheme="majorBidi"/>
          <w:b/>
          <w:lang w:val="lt-LT"/>
        </w:rPr>
        <w:t xml:space="preserve"> </w:t>
      </w:r>
      <w:r w:rsidR="00FE7216" w:rsidRPr="00653F17">
        <w:rPr>
          <w:rFonts w:asciiTheme="majorBidi" w:hAnsiTheme="majorBidi" w:cstheme="majorBidi"/>
          <w:b/>
          <w:lang w:val="lt-LT"/>
        </w:rPr>
        <w:t xml:space="preserve">atitikimo aplinkos apsaugos reikalavimams (Pirkimo dokumentų 7 priedas „Deklaracija dėl gaminio ir </w:t>
      </w:r>
      <w:r w:rsidR="00FE7216">
        <w:rPr>
          <w:rFonts w:asciiTheme="majorBidi" w:hAnsiTheme="majorBidi" w:cstheme="majorBidi"/>
          <w:b/>
          <w:lang w:val="lt-LT"/>
        </w:rPr>
        <w:t xml:space="preserve">jo </w:t>
      </w:r>
      <w:r w:rsidR="00FE7216" w:rsidRPr="00653F17">
        <w:rPr>
          <w:rFonts w:asciiTheme="majorBidi" w:hAnsiTheme="majorBidi" w:cstheme="majorBidi"/>
          <w:b/>
          <w:lang w:val="lt-LT"/>
        </w:rPr>
        <w:t>pakuotės atitikimo aplinkos apsaugos reikalavimams”)</w:t>
      </w:r>
      <w:r w:rsidR="00FE7216">
        <w:rPr>
          <w:rFonts w:asciiTheme="majorBidi" w:hAnsiTheme="majorBidi" w:cstheme="majorBidi"/>
          <w:b/>
          <w:lang w:val="lt-LT"/>
        </w:rPr>
        <w:t>;</w:t>
      </w:r>
    </w:p>
    <w:p w14:paraId="0D42F0E5" w14:textId="319A7B03" w:rsidR="00142A2B" w:rsidRPr="00D247E4" w:rsidRDefault="002F20E1" w:rsidP="00D247E4">
      <w:pPr>
        <w:pStyle w:val="Body2"/>
        <w:ind w:firstLine="720"/>
        <w:rPr>
          <w:b/>
          <w:color w:val="auto"/>
          <w:lang w:val="lt-LT"/>
        </w:rPr>
      </w:pPr>
      <w:r w:rsidRPr="002F20E1">
        <w:rPr>
          <w:color w:val="auto"/>
          <w:lang w:val="lt-LT"/>
        </w:rPr>
        <w:t xml:space="preserve">5.11.6. </w:t>
      </w:r>
      <w:r>
        <w:rPr>
          <w:rFonts w:cs="Times New Roman"/>
          <w:b/>
          <w:color w:val="auto"/>
          <w:lang w:val="lt-LT"/>
        </w:rPr>
        <w:t>G</w:t>
      </w:r>
      <w:r w:rsidRPr="00857FBA">
        <w:rPr>
          <w:rFonts w:cs="Times New Roman"/>
          <w:b/>
          <w:color w:val="auto"/>
          <w:lang w:val="lt-LT"/>
        </w:rPr>
        <w:t>alimybę pasinaudoti kitų ūkio subjektų ištekliais patvirtinantys dokumentai (</w:t>
      </w:r>
      <w:r w:rsidRPr="00857FBA">
        <w:rPr>
          <w:rFonts w:cs="Times New Roman"/>
          <w:b/>
          <w:i/>
          <w:color w:val="auto"/>
          <w:lang w:val="lt-LT"/>
        </w:rPr>
        <w:t>jei tiekėjas remiasi kitų ūkio subjektų kvalifikacija</w:t>
      </w:r>
      <w:r w:rsidRPr="00857FBA">
        <w:rPr>
          <w:rFonts w:cs="Times New Roman"/>
          <w:b/>
          <w:color w:val="auto"/>
          <w:lang w:val="lt-LT"/>
        </w:rPr>
        <w:t>);</w:t>
      </w:r>
    </w:p>
    <w:p w14:paraId="0395C8CC" w14:textId="1F11E45E" w:rsidR="008F127C" w:rsidRDefault="00205AB1" w:rsidP="004365D9">
      <w:pPr>
        <w:pStyle w:val="Body2"/>
        <w:ind w:firstLine="720"/>
        <w:rPr>
          <w:lang w:val="lt-LT"/>
        </w:rPr>
      </w:pPr>
      <w:r w:rsidRPr="00370648">
        <w:rPr>
          <w:lang w:val="lt-LT"/>
        </w:rPr>
        <w:t>5.1</w:t>
      </w:r>
      <w:r w:rsidR="00041E52">
        <w:rPr>
          <w:lang w:val="lt-LT"/>
        </w:rPr>
        <w:t>2</w:t>
      </w:r>
      <w:r w:rsidRPr="00370648">
        <w:rPr>
          <w:lang w:val="lt-LT"/>
        </w:rPr>
        <w:t>. Tiekėjo pasiūlymą sudaro CVP IS priemonėmis pateiktos in</w:t>
      </w:r>
      <w:r w:rsidR="00142A2B">
        <w:rPr>
          <w:lang w:val="lt-LT"/>
        </w:rPr>
        <w:t>formacijos ir dokumentų visuma.</w:t>
      </w:r>
    </w:p>
    <w:p w14:paraId="2093DB76" w14:textId="6521FD31" w:rsidR="006530E7" w:rsidRDefault="008F127C" w:rsidP="004365D9">
      <w:pPr>
        <w:pStyle w:val="Body2"/>
        <w:ind w:firstLine="720"/>
        <w:rPr>
          <w:lang w:val="lt-LT"/>
        </w:rPr>
      </w:pPr>
      <w:r>
        <w:rPr>
          <w:lang w:val="lt-LT"/>
        </w:rPr>
        <w:t>5.1</w:t>
      </w:r>
      <w:r w:rsidR="00041E52">
        <w:rPr>
          <w:lang w:val="lt-LT"/>
        </w:rPr>
        <w:t>3</w:t>
      </w:r>
      <w:r w:rsidR="00205AB1" w:rsidRPr="00370648">
        <w:rPr>
          <w:lang w:val="lt-LT"/>
        </w:rPr>
        <w:t xml:space="preserve">. Tiekėjas pasiūlymo formoje turi aiškiai nurodyti, kuri pasiūlymo informacija yra konfidenciali, vadovaujantis VPĮ 20 straipsniu (taip pat žr. </w:t>
      </w:r>
      <w:hyperlink r:id="rId13" w:history="1">
        <w:r w:rsidR="009C7FFC" w:rsidRPr="001D3824">
          <w:rPr>
            <w:rStyle w:val="Hyperlink"/>
            <w:lang w:val="lt-LT"/>
          </w:rPr>
          <w:t>https://vpt.lrv.lt/uploads/vpt/documents/files/LT_versija/E_vedlys/4_convenience/VPI_20str.pdf</w:t>
        </w:r>
      </w:hyperlink>
      <w:r w:rsidR="00205AB1" w:rsidRPr="00370648">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370648">
        <w:rPr>
          <w:lang w:val="lt-LT"/>
        </w:rPr>
        <w:t>įrodymus</w:t>
      </w:r>
      <w:proofErr w:type="spellEnd"/>
      <w:r w:rsidR="00205AB1" w:rsidRPr="00370648">
        <w:rPr>
          <w:lang w:val="lt-LT"/>
        </w:rPr>
        <w:t>,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sidR="001F2549">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7D2A99">
        <w:rPr>
          <w:lang w:val="lt-LT"/>
        </w:rPr>
        <w:t>teikimo termino pabaigos.</w:t>
      </w:r>
      <w:r w:rsidR="007D2A99">
        <w:rPr>
          <w:lang w:val="lt-LT"/>
        </w:rPr>
        <w:tab/>
      </w:r>
      <w:r w:rsidR="007D2A99">
        <w:rPr>
          <w:lang w:val="lt-LT"/>
        </w:rPr>
        <w:br/>
      </w:r>
      <w:r w:rsidR="007D2A99">
        <w:rPr>
          <w:lang w:val="lt-LT"/>
        </w:rPr>
        <w:tab/>
        <w:t>5.1</w:t>
      </w:r>
      <w:r w:rsidR="001F2549">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985AA1" w:rsidRPr="000F5ABE">
        <w:rPr>
          <w:lang w:val="lt-LT"/>
        </w:rPr>
        <w:t xml:space="preserve"> </w:t>
      </w:r>
      <w:r w:rsidR="00985AA1" w:rsidRPr="00985AA1">
        <w:rPr>
          <w:lang w:val="lt-LT"/>
        </w:rPr>
        <w:t>neprarasdamas teisės į savo pasiūlymo galiojimo užtikrinimą</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C7571D">
        <w:rPr>
          <w:b/>
          <w:lang w:val="lt-LT"/>
        </w:rPr>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w:t>
      </w:r>
      <w:r>
        <w:rPr>
          <w:lang w:val="lt-LT"/>
        </w:rPr>
        <w:t>atstovo</w:t>
      </w:r>
      <w:r w:rsidRPr="00370648">
        <w:rPr>
          <w:lang w:val="lt-LT"/>
        </w:rPr>
        <w:t xml:space="preserve"> elektroniniu paštu</w:t>
      </w:r>
      <w:r>
        <w:rPr>
          <w:lang w:val="lt-LT"/>
        </w:rPr>
        <w:t xml:space="preserve"> </w:t>
      </w:r>
      <w:hyperlink r:id="rId14" w:history="1">
        <w:r w:rsidR="009C7FFC" w:rsidRPr="001D3824">
          <w:rPr>
            <w:rStyle w:val="Hyperlink"/>
            <w:lang w:val="lt-LT"/>
          </w:rPr>
          <w:t>daniele.antanaviciute@kam.lt</w:t>
        </w:r>
      </w:hyperlink>
      <w:r w:rsidR="00205AB1" w:rsidRPr="00370648">
        <w:rPr>
          <w:lang w:val="lt-LT"/>
        </w:rPr>
        <w:t xml:space="preserve">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p>
    <w:p w14:paraId="7768EE60" w14:textId="77777777" w:rsidR="009C7FFC" w:rsidRDefault="00205AB1" w:rsidP="008F127C">
      <w:pPr>
        <w:pStyle w:val="Body2"/>
        <w:rPr>
          <w:lang w:val="lt-LT"/>
        </w:rPr>
      </w:pPr>
      <w:r w:rsidRPr="00370648">
        <w:rPr>
          <w:lang w:val="lt-LT"/>
        </w:rPr>
        <w:br/>
      </w:r>
      <w:r w:rsidRPr="00370648">
        <w:rPr>
          <w:lang w:val="lt-LT"/>
        </w:rPr>
        <w:tab/>
      </w:r>
      <w:r w:rsidRPr="009C7FFC">
        <w:rPr>
          <w:b/>
          <w:lang w:val="lt-LT"/>
        </w:rPr>
        <w:t>7. PASIŪLYMŲ GALIOJIMO UŽTIKRINIMAS</w:t>
      </w:r>
      <w:r w:rsidRPr="009C7FFC">
        <w:rPr>
          <w:b/>
          <w:lang w:val="lt-LT"/>
        </w:rPr>
        <w:tab/>
      </w:r>
      <w:r w:rsidRPr="00370648">
        <w:rPr>
          <w:lang w:val="lt-LT"/>
        </w:rPr>
        <w:br/>
      </w:r>
      <w:r w:rsidRPr="00370648">
        <w:rPr>
          <w:lang w:val="lt-LT"/>
        </w:rPr>
        <w:tab/>
      </w:r>
      <w:r w:rsidRPr="00370648">
        <w:rPr>
          <w:lang w:val="lt-LT"/>
        </w:rPr>
        <w:br/>
      </w:r>
      <w:r w:rsidRPr="00370648">
        <w:rPr>
          <w:lang w:val="lt-LT"/>
        </w:rPr>
        <w:tab/>
      </w:r>
      <w:r w:rsidR="009C7FFC" w:rsidRPr="009C7FFC">
        <w:rPr>
          <w:lang w:val="lt-LT"/>
        </w:rPr>
        <w:t xml:space="preserve">7.1. Pasiūlymo galiojimas užtikrinamas 2 proc. nuo pasiūlymo kainos </w:t>
      </w:r>
      <w:proofErr w:type="spellStart"/>
      <w:r w:rsidR="009C7FFC" w:rsidRPr="009C7FFC">
        <w:rPr>
          <w:lang w:val="lt-LT"/>
        </w:rPr>
        <w:t>Eur</w:t>
      </w:r>
      <w:proofErr w:type="spellEnd"/>
      <w:r w:rsidR="009C7FFC" w:rsidRPr="009C7FFC">
        <w:rPr>
          <w:lang w:val="lt-LT"/>
        </w:rPr>
        <w:t xml:space="preserve"> be PVM netesybomis (bauda).</w:t>
      </w:r>
      <w:r w:rsidR="009C7FFC" w:rsidRPr="009C7FFC">
        <w:rPr>
          <w:lang w:val="lt-LT"/>
        </w:rPr>
        <w:tab/>
      </w:r>
    </w:p>
    <w:p w14:paraId="0442CDF7" w14:textId="2A002FB6" w:rsidR="009C7FFC" w:rsidRPr="009161A5" w:rsidRDefault="009C7FFC" w:rsidP="009161A5">
      <w:pPr>
        <w:pStyle w:val="Body2"/>
        <w:ind w:firstLine="720"/>
        <w:rPr>
          <w:lang w:val="lt-LT"/>
        </w:rPr>
      </w:pPr>
      <w:r w:rsidRPr="009C7FFC">
        <w:rPr>
          <w:lang w:val="lt-LT"/>
        </w:rPr>
        <w:t>7.2. Pateikdamas pasiūlymą tiekėjas įsipareigoja perkančiajai organizacijai sumokėti nurodyto dydžio netesybas (baudą) įvykus bent vienai šių sąlygų:</w:t>
      </w:r>
      <w:r w:rsidRPr="009C7FFC">
        <w:rPr>
          <w:lang w:val="lt-LT"/>
        </w:rPr>
        <w:tab/>
      </w:r>
      <w:r w:rsidRPr="009C7FFC">
        <w:rPr>
          <w:lang w:val="lt-LT"/>
        </w:rPr>
        <w:br/>
      </w:r>
      <w:r w:rsidRPr="009C7FFC">
        <w:rPr>
          <w:lang w:val="lt-LT"/>
        </w:rPr>
        <w:lastRenderedPageBreak/>
        <w:tab/>
        <w:t>7.2.1. dalyvis atsisako savo pasiūlymo arba jo dalies (pasiūlyme nurodyto pirkimo objekto, jo kiekio (apimties), siūlomų kainų, tiekimo ar mokėjimo terminų, kitų pasiūlyme nurodytų sąlygų), nors pasiūlymo galiojimo terminas dar nebus pasibaigęs;</w:t>
      </w:r>
      <w:r w:rsidRPr="009C7FFC">
        <w:rPr>
          <w:lang w:val="lt-LT"/>
        </w:rPr>
        <w:tab/>
      </w:r>
      <w:r w:rsidRPr="009C7FFC">
        <w:rPr>
          <w:lang w:val="lt-LT"/>
        </w:rPr>
        <w:br/>
      </w:r>
      <w:r w:rsidRPr="009C7FFC">
        <w:rPr>
          <w:lang w:val="lt-LT"/>
        </w:rPr>
        <w:tab/>
        <w:t xml:space="preserve">7.2.2. laimėjęs viešąjį pirkimą dalyvis atsisako pasirašyti pirkimo sutartį pagal pirkimo sąlygų </w:t>
      </w:r>
      <w:r w:rsidR="00444495">
        <w:rPr>
          <w:lang w:val="lt-LT"/>
        </w:rPr>
        <w:t>3</w:t>
      </w:r>
      <w:r w:rsidRPr="009C7FFC">
        <w:rPr>
          <w:lang w:val="lt-LT"/>
        </w:rPr>
        <w:t xml:space="preserve"> priedą. Jei iki perkančiosios organizacijos nurodyto laiko jis nepasirašo pirkimo sutarties, laikoma, kad dalyvis atsisakė pasirašyti pirkimo sutartį.</w:t>
      </w:r>
      <w:r w:rsidRPr="009C7FFC">
        <w:rPr>
          <w:lang w:val="lt-LT"/>
        </w:rPr>
        <w:tab/>
      </w:r>
      <w:r w:rsidRPr="009C7FFC">
        <w:rPr>
          <w:lang w:val="lt-LT"/>
        </w:rPr>
        <w:br/>
      </w:r>
      <w:r w:rsidR="00205AB1" w:rsidRPr="00370648">
        <w:rPr>
          <w:lang w:val="lt-LT"/>
        </w:rPr>
        <w:tab/>
      </w:r>
      <w:r w:rsidR="00205AB1" w:rsidRPr="00370648">
        <w:rPr>
          <w:lang w:val="lt-LT"/>
        </w:rPr>
        <w:br/>
      </w:r>
      <w:r w:rsidR="00205AB1" w:rsidRPr="00370648">
        <w:rPr>
          <w:lang w:val="lt-LT"/>
        </w:rPr>
        <w:tab/>
      </w:r>
      <w:r w:rsidR="00205AB1" w:rsidRPr="009C7FFC">
        <w:rPr>
          <w:b/>
          <w:lang w:val="lt-LT"/>
        </w:rPr>
        <w:t>8. PAVYZDŽIŲ PATEIKIMAS</w:t>
      </w:r>
      <w:r w:rsidR="00205AB1" w:rsidRPr="009C7FFC">
        <w:rPr>
          <w:b/>
          <w:lang w:val="lt-LT"/>
        </w:rPr>
        <w:tab/>
      </w:r>
      <w:r w:rsidR="00205AB1" w:rsidRPr="009C7FFC">
        <w:rPr>
          <w:b/>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9161A5">
        <w:rPr>
          <w:b/>
          <w:lang w:val="lt-LT"/>
        </w:rPr>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Pr="002E33FD">
        <w:rPr>
          <w:rFonts w:cs="Times New Roman"/>
          <w:color w:val="000000" w:themeColor="text1"/>
          <w:lang w:val="lt-LT"/>
        </w:rPr>
        <w:t>9.1. Tiekėjas tik CVP IS susirašinėjimo priemonėmis gali prašyti, kad perkančioji organizacija paaiškintų ar pataisytų pirkimo dokumentus.</w:t>
      </w:r>
      <w:r w:rsidRPr="002E33FD">
        <w:rPr>
          <w:rFonts w:cs="Times New Roman"/>
          <w:lang w:val="lt-LT"/>
        </w:rPr>
        <w:tab/>
      </w:r>
      <w:r w:rsidRPr="002E33FD">
        <w:rPr>
          <w:rFonts w:cs="Times New Roman"/>
          <w:lang w:val="lt-LT"/>
        </w:rPr>
        <w:br/>
      </w:r>
      <w:r w:rsidRPr="002E33FD">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2E33FD">
        <w:rPr>
          <w:rFonts w:cs="Times New Roman"/>
          <w:lang w:val="lt-LT"/>
        </w:rPr>
        <w:tab/>
      </w:r>
      <w:r w:rsidRPr="002E33FD">
        <w:rPr>
          <w:rFonts w:cs="Times New Roman"/>
          <w:lang w:val="lt-LT"/>
        </w:rPr>
        <w:br/>
      </w:r>
      <w:r w:rsidRPr="002E33FD">
        <w:rPr>
          <w:rFonts w:cs="Times New Roman"/>
          <w:lang w:val="lt-LT"/>
        </w:rPr>
        <w:tab/>
        <w:t xml:space="preserve">9.3. Perkančioji organizacija atsako tik CVP IS susirašinėjimo priemonėmis į kiekvieną tiekėjo rašytinį prašymą dėl pirkimo dokumentų, jei prašymas yra pateiktas likus ne mažiau kaip </w:t>
      </w:r>
      <w:r w:rsidR="001F2549">
        <w:rPr>
          <w:rFonts w:cs="Times New Roman"/>
          <w:lang w:val="lt-LT"/>
        </w:rPr>
        <w:t>9</w:t>
      </w:r>
      <w:r w:rsidRPr="002E33FD">
        <w:rPr>
          <w:rFonts w:cs="Times New Roman"/>
          <w:lang w:val="lt-LT"/>
        </w:rPr>
        <w:t xml:space="preserve"> (</w:t>
      </w:r>
      <w:r w:rsidR="001F2549">
        <w:rPr>
          <w:rFonts w:cs="Times New Roman"/>
          <w:lang w:val="lt-LT"/>
        </w:rPr>
        <w:t>devynios</w:t>
      </w:r>
      <w:r w:rsidRPr="002E33FD">
        <w:rPr>
          <w:rFonts w:cs="Times New Roman"/>
          <w:lang w:val="lt-LT"/>
        </w:rPr>
        <w:t>) dien</w:t>
      </w:r>
      <w:r w:rsidR="001F2549">
        <w:rPr>
          <w:rFonts w:cs="Times New Roman"/>
          <w:lang w:val="lt-LT"/>
        </w:rPr>
        <w:t>os</w:t>
      </w:r>
      <w:r w:rsidRPr="002E33FD">
        <w:rPr>
          <w:rFonts w:cs="Times New Roman"/>
          <w:lang w:val="lt-LT"/>
        </w:rPr>
        <w:t xml:space="preserve"> iki pasiūlymų pateikimo termino pabaigos.</w:t>
      </w:r>
      <w:r w:rsidRPr="002E33FD">
        <w:rPr>
          <w:rFonts w:cs="Times New Roman"/>
          <w:lang w:val="lt-LT"/>
        </w:rPr>
        <w:tab/>
      </w:r>
      <w:r w:rsidRPr="002E33FD">
        <w:rPr>
          <w:rFonts w:cs="Times New Roman"/>
          <w:lang w:val="lt-LT"/>
        </w:rPr>
        <w:tab/>
      </w:r>
      <w:r w:rsidRPr="002E33FD">
        <w:rPr>
          <w:rFonts w:cs="Times New Roman"/>
          <w:lang w:val="lt-LT"/>
        </w:rPr>
        <w:br/>
      </w:r>
      <w:r w:rsidRPr="002E33FD">
        <w:rPr>
          <w:rFonts w:cs="Times New Roman"/>
          <w:lang w:val="lt-LT"/>
        </w:rPr>
        <w:tab/>
        <w:t>9.4. Tiekėjo prašymu, (pateiktu tik CVP IS susirašinėjimo priemonėmis) papildomi pirkimo dokumentai (paaiškinimai ar patikslinimai) pateikiami CVP IS priemonėmis ne vėliau kaip likus 6 (šešioms) dienoms iki pasiūlymų pateikimo termino pabaigos, jei jų paprašyta laiku. Paaiškinimai ar patikslinimai yra neatsiejama pirkimo dokumentų dalis.</w:t>
      </w:r>
      <w:r w:rsidRPr="002E33FD">
        <w:rPr>
          <w:rFonts w:cs="Times New Roman"/>
          <w:lang w:val="lt-LT"/>
        </w:rPr>
        <w:tab/>
      </w:r>
      <w:r w:rsidRPr="002E33FD">
        <w:rPr>
          <w:rFonts w:cs="Times New Roman"/>
          <w:lang w:val="lt-LT"/>
        </w:rPr>
        <w:br/>
      </w:r>
      <w:r w:rsidRPr="002E33FD">
        <w:rPr>
          <w:rFonts w:cs="Times New Roman"/>
          <w:lang w:val="lt-LT"/>
        </w:rPr>
        <w:tab/>
        <w:t>9.5. Pirkimo dokumentų paaiškinimai ir patikslinimai skelbiami CVP IS priemonėmis kartu su kitais pirkimo</w:t>
      </w:r>
      <w:r w:rsidRPr="002E33FD">
        <w:rPr>
          <w:rFonts w:cs="Times New Roman"/>
          <w:lang w:val="lt-LT"/>
        </w:rPr>
        <w:tab/>
        <w:t>dokumentais ir siunčiami prašymą pateikusiam bei visiems prie pirkimo prisijungusiems tiekėjams, neatskleidžiant prašymą pateikusio tiekėjo tapatybės.</w:t>
      </w:r>
    </w:p>
    <w:p w14:paraId="1C80D3CC" w14:textId="322DFCA9" w:rsidR="009161A5" w:rsidRPr="002E33FD" w:rsidRDefault="009C7FFC" w:rsidP="009161A5">
      <w:pPr>
        <w:pStyle w:val="Body2"/>
        <w:ind w:firstLine="709"/>
        <w:rPr>
          <w:rFonts w:cs="Times New Roman"/>
          <w:lang w:val="lt-LT"/>
        </w:rPr>
      </w:pPr>
      <w:r w:rsidRPr="002E33FD">
        <w:rPr>
          <w:rFonts w:cs="Times New Roman"/>
          <w:lang w:val="lt-LT"/>
        </w:rPr>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2E33FD">
        <w:rPr>
          <w:rFonts w:cs="Times New Roman"/>
          <w:lang w:val="lt-LT"/>
        </w:rPr>
        <w:tab/>
      </w:r>
      <w:r w:rsidRPr="002E33FD">
        <w:rPr>
          <w:rFonts w:cs="Times New Roman"/>
          <w:lang w:val="lt-LT"/>
        </w:rPr>
        <w:br/>
      </w:r>
      <w:r w:rsidRPr="002E33FD">
        <w:rPr>
          <w:rFonts w:cs="Times New Roman"/>
          <w:lang w:val="lt-LT"/>
        </w:rPr>
        <w:tab/>
        <w:t xml:space="preserve">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2E33FD">
        <w:rPr>
          <w:rFonts w:cs="Times New Roman"/>
          <w:lang w:val="lt-LT"/>
        </w:rPr>
        <w:t>patikslinimus</w:t>
      </w:r>
      <w:proofErr w:type="spellEnd"/>
      <w:r w:rsidRPr="002E33FD">
        <w:rPr>
          <w:rFonts w:cs="Times New Roman"/>
          <w:lang w:val="lt-LT"/>
        </w:rPr>
        <w:t>.</w:t>
      </w:r>
      <w:r w:rsidRPr="002E33FD">
        <w:rPr>
          <w:rFonts w:cs="Times New Roman"/>
          <w:lang w:val="lt-LT"/>
        </w:rPr>
        <w:tab/>
      </w:r>
      <w:r w:rsidRPr="002E33FD">
        <w:rPr>
          <w:rFonts w:cs="Times New Roman"/>
          <w:lang w:val="lt-LT"/>
        </w:rPr>
        <w:br/>
      </w:r>
      <w:r w:rsidRPr="002E33FD">
        <w:rPr>
          <w:rFonts w:cs="Times New Roman"/>
          <w:lang w:val="lt-LT"/>
        </w:rPr>
        <w:tab/>
        <w:t>9.8. Bet kokia informacija, konkurso sąlygų paaiškinimai, pranešimai ar kitas perkančiosios organizacijos ir tiekėjo susirašinėjimas yra vykdomas tik CVP IS susirašinėjimo priemonėmis.</w:t>
      </w:r>
      <w:r w:rsidRPr="002E33FD">
        <w:rPr>
          <w:rFonts w:cs="Times New Roman"/>
          <w:lang w:val="lt-LT"/>
        </w:rPr>
        <w:tab/>
      </w:r>
      <w:r w:rsidRPr="002E33FD">
        <w:rPr>
          <w:rFonts w:cs="Times New Roman"/>
          <w:lang w:val="lt-LT"/>
        </w:rPr>
        <w:br/>
      </w:r>
      <w:r w:rsidRPr="002E33FD">
        <w:rPr>
          <w:rFonts w:cs="Times New Roman"/>
          <w:lang w:val="lt-LT"/>
        </w:rPr>
        <w:tab/>
        <w:t>9.9. Perkančioji organizacija nerengs susitikimų su tiekėjais dėl pirkimo dokumentų paaiškinimo.</w:t>
      </w:r>
      <w:r w:rsidRPr="002E33FD">
        <w:rPr>
          <w:rFonts w:cs="Times New Roman"/>
          <w:lang w:val="lt-LT"/>
        </w:rPr>
        <w:tab/>
      </w:r>
      <w:r w:rsidRPr="002E33FD">
        <w:rPr>
          <w:rFonts w:cs="Times New Roman"/>
          <w:lang w:val="lt-LT"/>
        </w:rPr>
        <w:br/>
      </w:r>
      <w:r w:rsidR="00205AB1" w:rsidRPr="00370648">
        <w:rPr>
          <w:lang w:val="lt-LT"/>
        </w:rPr>
        <w:br/>
      </w:r>
      <w:r w:rsidR="00205AB1" w:rsidRPr="00370648">
        <w:rPr>
          <w:lang w:val="lt-LT"/>
        </w:rPr>
        <w:tab/>
      </w:r>
      <w:r w:rsidR="00205AB1" w:rsidRPr="00444495">
        <w:rPr>
          <w:b/>
          <w:lang w:val="lt-LT"/>
        </w:rPr>
        <w:tab/>
      </w:r>
      <w:r w:rsidR="00205AB1" w:rsidRPr="00444495">
        <w:rPr>
          <w:b/>
          <w:lang w:val="lt-LT"/>
        </w:rPr>
        <w:br/>
      </w:r>
      <w:r w:rsidR="00205AB1" w:rsidRPr="00444495">
        <w:rPr>
          <w:b/>
          <w:lang w:val="lt-LT"/>
        </w:rPr>
        <w:tab/>
        <w:t>10. SUSIPAŽINIMAS SU GAUTAIS PASIŪLYMAIS</w:t>
      </w:r>
      <w:r w:rsidR="00205AB1" w:rsidRPr="00444495">
        <w:rPr>
          <w:b/>
          <w:lang w:val="lt-LT"/>
        </w:rPr>
        <w:tab/>
      </w:r>
      <w:r w:rsidR="00205AB1" w:rsidRPr="00444495">
        <w:rPr>
          <w:b/>
          <w:lang w:val="lt-LT"/>
        </w:rPr>
        <w:br/>
      </w:r>
      <w:r w:rsidR="00205AB1" w:rsidRPr="00444495">
        <w:rPr>
          <w:b/>
          <w:lang w:val="lt-LT"/>
        </w:rPr>
        <w:tab/>
      </w:r>
      <w:r w:rsidR="00205AB1" w:rsidRPr="00444495">
        <w:rPr>
          <w:b/>
          <w:lang w:val="lt-LT"/>
        </w:rPr>
        <w:br/>
      </w:r>
      <w:r w:rsidR="00205AB1" w:rsidRPr="00370648">
        <w:rPr>
          <w:lang w:val="lt-LT"/>
        </w:rPr>
        <w:tab/>
        <w:t xml:space="preserve">10.1. </w:t>
      </w:r>
      <w:r w:rsidR="00F947DC" w:rsidRPr="00F947DC">
        <w:rPr>
          <w:lang w:val="lt-LT"/>
        </w:rPr>
        <w:t>Susipažinimas su CVP IS priemonėmis pateiktais tiekėjų pasiūlymais pradedamas ne anksčiau nei po 30 min. po CVP IS nurodytos pasiūlymų pateikimo termino pabaigos</w:t>
      </w:r>
      <w:r w:rsidR="00F947DC">
        <w:rPr>
          <w:lang w:val="lt-LT"/>
        </w:rPr>
        <w:t>.</w:t>
      </w:r>
      <w:r w:rsidR="00F947DC">
        <w:rPr>
          <w:lang w:val="lt-LT"/>
        </w:rPr>
        <w:tab/>
      </w:r>
      <w:r w:rsidR="00F947DC">
        <w:rPr>
          <w:lang w:val="lt-LT"/>
        </w:rPr>
        <w:br/>
      </w:r>
      <w:r w:rsidR="00F947DC">
        <w:rPr>
          <w:lang w:val="lt-LT"/>
        </w:rPr>
        <w:tab/>
        <w:t xml:space="preserve">10.2. </w:t>
      </w:r>
      <w:r w:rsidR="00F947DC" w:rsidRPr="00F947DC">
        <w:rPr>
          <w:lang w:val="lt-LT"/>
        </w:rPr>
        <w:t>Tiekėjai negali dalyvauti susipažinimo su CVP IS priemonėmis pateiktais pasiūlymais procedūroje, komisijos posėdžiuose, kuriuose atliekamos pasiūlymų nagrinėjimo, vertinimo ir palyginimo procedūros. Komisijos posėdžiuose stebėtojai nedalyvauja</w:t>
      </w:r>
      <w:r w:rsidR="00F947DC">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9161A5">
        <w:rPr>
          <w:b/>
          <w:lang w:val="lt-LT"/>
        </w:rPr>
        <w:t>11. PASIŪLYMŲ NAGRINĖJIMAS</w:t>
      </w:r>
      <w:r w:rsidR="00205AB1" w:rsidRPr="009161A5">
        <w:rPr>
          <w:b/>
          <w:lang w:val="lt-LT"/>
        </w:rPr>
        <w:tab/>
      </w:r>
      <w:r w:rsidR="00205AB1" w:rsidRPr="009161A5">
        <w:rPr>
          <w:b/>
          <w:lang w:val="lt-LT"/>
        </w:rPr>
        <w:br/>
      </w:r>
      <w:r w:rsidR="00205AB1" w:rsidRPr="009161A5">
        <w:rPr>
          <w:b/>
          <w:lang w:val="lt-LT"/>
        </w:rPr>
        <w:tab/>
      </w:r>
      <w:r w:rsidR="00205AB1" w:rsidRPr="009161A5">
        <w:rPr>
          <w:b/>
          <w:lang w:val="lt-LT"/>
        </w:rPr>
        <w:br/>
      </w:r>
      <w:r w:rsidR="00205AB1" w:rsidRPr="00370648">
        <w:rPr>
          <w:lang w:val="lt-LT"/>
        </w:rPr>
        <w:tab/>
        <w:t xml:space="preserve">11.1. </w:t>
      </w:r>
      <w:r w:rsidR="00ED0CDC" w:rsidRPr="00ED0CDC">
        <w:rPr>
          <w:lang w:val="lt-LT"/>
        </w:rPr>
        <w:t xml:space="preserve">Pateiktus pasiūlymus nagrinėja, vertina ir palygina Komisija šia </w:t>
      </w:r>
      <w:r w:rsidR="00ED0CDC">
        <w:rPr>
          <w:lang w:val="lt-LT"/>
        </w:rPr>
        <w:t>tvarka</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9161A5" w:rsidRPr="002E33FD">
        <w:rPr>
          <w:rFonts w:cs="Times New Roman"/>
          <w:lang w:val="lt-LT"/>
        </w:rPr>
        <w:t>11.1.1 įvertina EBVPD pateiktą informaciją ir ne vėliau kaip per 3 darbo dienas raštu praneša apie šio patikrinimo rezultatus;</w:t>
      </w:r>
      <w:r w:rsidR="009161A5" w:rsidRPr="002E33FD">
        <w:rPr>
          <w:rFonts w:cs="Times New Roman"/>
          <w:lang w:val="lt-LT"/>
        </w:rPr>
        <w:tab/>
      </w:r>
      <w:r w:rsidR="009161A5" w:rsidRPr="002E33FD">
        <w:rPr>
          <w:rFonts w:cs="Times New Roman"/>
          <w:lang w:val="lt-LT"/>
        </w:rPr>
        <w:br/>
      </w:r>
      <w:r w:rsidR="009161A5" w:rsidRPr="002E33FD">
        <w:rPr>
          <w:rFonts w:cs="Times New Roman"/>
          <w:lang w:val="lt-LT"/>
        </w:rPr>
        <w:tab/>
        <w:t xml:space="preserve">11.1.2. nagrinėja, vertina ir palygina dalyvių pateiktus pasiūlymus, vadovaudamasi pirkimo </w:t>
      </w:r>
      <w:r w:rsidR="009161A5" w:rsidRPr="002E33FD">
        <w:rPr>
          <w:rFonts w:cs="Times New Roman"/>
          <w:lang w:val="lt-LT"/>
        </w:rPr>
        <w:lastRenderedPageBreak/>
        <w:t xml:space="preserve">dokumentuose nustatytomis sąlygomis. </w:t>
      </w:r>
      <w:r w:rsidR="009161A5" w:rsidRPr="002E33FD">
        <w:rPr>
          <w:rFonts w:cs="Times New Roman"/>
          <w:lang w:val="lt-LT"/>
        </w:rPr>
        <w:tab/>
      </w:r>
      <w:r w:rsidR="009161A5" w:rsidRPr="002E33FD">
        <w:rPr>
          <w:rFonts w:cs="Times New Roman"/>
          <w:lang w:val="lt-LT"/>
        </w:rPr>
        <w:br/>
      </w:r>
      <w:r w:rsidR="009161A5" w:rsidRPr="002E33FD">
        <w:rPr>
          <w:rFonts w:cs="Times New Roman"/>
          <w:lang w:val="lt-LT"/>
        </w:rPr>
        <w:tab/>
        <w:t xml:space="preserve">11.1.3. </w:t>
      </w:r>
      <w:r w:rsidR="009161A5" w:rsidRPr="002E33FD">
        <w:rPr>
          <w:rFonts w:cs="Times New Roman"/>
          <w:lang w:val="lt-LT"/>
        </w:rPr>
        <w:tab/>
        <w:t xml:space="preserve">galimo laimėtojo prašo pateikti </w:t>
      </w:r>
      <w:r w:rsidR="009161A5" w:rsidRPr="00857FBA">
        <w:rPr>
          <w:rFonts w:cs="Times New Roman"/>
          <w:lang w:val="lt-LT"/>
        </w:rPr>
        <w:t xml:space="preserve">pirkimo sąlygų </w:t>
      </w:r>
      <w:r w:rsidR="00444495">
        <w:rPr>
          <w:rFonts w:cs="Times New Roman"/>
          <w:lang w:val="lt-LT"/>
        </w:rPr>
        <w:t>4</w:t>
      </w:r>
      <w:r w:rsidR="009161A5" w:rsidRPr="00857FBA">
        <w:rPr>
          <w:rFonts w:cs="Times New Roman"/>
          <w:lang w:val="lt-LT"/>
        </w:rPr>
        <w:t xml:space="preserve"> priede nurodytus</w:t>
      </w:r>
      <w:r w:rsidR="009161A5" w:rsidRPr="002E33FD">
        <w:rPr>
          <w:rFonts w:cs="Times New Roman"/>
          <w:lang w:val="lt-LT"/>
        </w:rPr>
        <w:t xml:space="preserve"> dokumentus patvirtinančius tiekėjo pašalinimo pagrindų nebuvimą ir dokumentus patvirtinančius tiekėjo kvalifikaciją. Gavusi dokumentus, Komisija patikrina, ar nėra tiekėjo pašalinimo pagrindų, ar galimas laimėtojas atitinka pirkimo sąlygų </w:t>
      </w:r>
      <w:r w:rsidR="00444495">
        <w:rPr>
          <w:rFonts w:cs="Times New Roman"/>
          <w:lang w:val="lt-LT"/>
        </w:rPr>
        <w:t>4</w:t>
      </w:r>
      <w:r w:rsidR="009161A5" w:rsidRPr="002E33FD">
        <w:rPr>
          <w:rFonts w:cs="Times New Roman"/>
          <w:lang w:val="lt-LT"/>
        </w:rPr>
        <w:t xml:space="preserve"> priede nurodytus kvalifikacijos reikalavimus;</w:t>
      </w:r>
      <w:r w:rsidR="009161A5" w:rsidRPr="002E33FD">
        <w:rPr>
          <w:rFonts w:cs="Times New Roman"/>
          <w:lang w:val="lt-LT"/>
        </w:rPr>
        <w:tab/>
      </w:r>
    </w:p>
    <w:p w14:paraId="13B5A3D4" w14:textId="77777777" w:rsidR="009161A5" w:rsidRDefault="009161A5" w:rsidP="009161A5">
      <w:pPr>
        <w:pStyle w:val="Body2"/>
        <w:ind w:firstLine="720"/>
        <w:rPr>
          <w:rFonts w:cs="Times New Roman"/>
          <w:lang w:val="lt-LT"/>
        </w:rPr>
      </w:pPr>
      <w:r w:rsidRPr="002E33FD">
        <w:rPr>
          <w:rFonts w:cs="Times New Roman"/>
          <w:lang w:val="lt-LT"/>
        </w:rPr>
        <w:t>11.1.4. sudaro pasiūlymų eilę ir nustato pirkimo laimėtoją;</w:t>
      </w:r>
      <w:r w:rsidRPr="002E33FD">
        <w:rPr>
          <w:rFonts w:cs="Times New Roman"/>
          <w:lang w:val="lt-LT"/>
        </w:rPr>
        <w:tab/>
      </w:r>
      <w:r w:rsidRPr="002E33FD">
        <w:rPr>
          <w:rFonts w:cs="Times New Roman"/>
          <w:lang w:val="lt-LT"/>
        </w:rPr>
        <w:br/>
      </w:r>
      <w:r w:rsidRPr="002E33FD">
        <w:rPr>
          <w:rFonts w:cs="Times New Roman"/>
          <w:lang w:val="lt-LT"/>
        </w:rPr>
        <w:tab/>
        <w:t>11.1.5. tiekėją, kurio pasiūlymas pripažintas laimėjusiu, kv</w:t>
      </w:r>
      <w:r>
        <w:rPr>
          <w:rFonts w:cs="Times New Roman"/>
          <w:lang w:val="lt-LT"/>
        </w:rPr>
        <w:t>iečia sudaryti pirkimo sutartį.</w:t>
      </w:r>
    </w:p>
    <w:p w14:paraId="1C796C6E" w14:textId="23AECEE8" w:rsidR="009161A5" w:rsidRDefault="009161A5" w:rsidP="009161A5">
      <w:pPr>
        <w:pStyle w:val="Body2"/>
        <w:ind w:firstLine="720"/>
        <w:rPr>
          <w:rFonts w:cs="Times New Roman"/>
          <w:lang w:val="lt-LT"/>
        </w:rPr>
      </w:pPr>
      <w:r w:rsidRPr="009161A5">
        <w:rPr>
          <w:rFonts w:cs="Times New Roman"/>
          <w:lang w:val="lt-LT"/>
        </w:rPr>
        <w:t>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w:t>
      </w:r>
      <w:r>
        <w:rPr>
          <w:rFonts w:cs="Times New Roman"/>
          <w:lang w:val="lt-LT"/>
        </w:rPr>
        <w:t>.</w:t>
      </w:r>
    </w:p>
    <w:p w14:paraId="39668866" w14:textId="77777777" w:rsidR="009161A5" w:rsidRPr="009161A5" w:rsidRDefault="009161A5" w:rsidP="009161A5">
      <w:pPr>
        <w:pStyle w:val="Body2"/>
        <w:ind w:firstLine="720"/>
        <w:rPr>
          <w:lang w:val="lt-LT"/>
        </w:rPr>
      </w:pPr>
      <w:r w:rsidRPr="009161A5">
        <w:rPr>
          <w:lang w:val="lt-LT"/>
        </w:rPr>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r w:rsidRPr="009161A5">
        <w:rPr>
          <w:lang w:val="lt-LT"/>
        </w:rPr>
        <w:tab/>
      </w:r>
      <w:r w:rsidRPr="009161A5">
        <w:rPr>
          <w:lang w:val="lt-LT"/>
        </w:rPr>
        <w:br/>
      </w:r>
      <w:r w:rsidRPr="009161A5">
        <w:rPr>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9161A5">
        <w:rPr>
          <w:lang w:val="lt-LT"/>
        </w:rPr>
        <w:tab/>
      </w:r>
      <w:r w:rsidRPr="009161A5">
        <w:rPr>
          <w:lang w:val="lt-LT"/>
        </w:rPr>
        <w:br/>
      </w:r>
      <w:r w:rsidRPr="009161A5">
        <w:rPr>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9161A5">
        <w:rPr>
          <w:lang w:val="lt-LT"/>
        </w:rPr>
        <w:tab/>
      </w:r>
      <w:r w:rsidRPr="009161A5">
        <w:rPr>
          <w:lang w:val="lt-LT"/>
        </w:rPr>
        <w:br/>
      </w:r>
      <w:r w:rsidRPr="009161A5">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9161A5">
        <w:rPr>
          <w:lang w:val="lt-LT"/>
        </w:rPr>
        <w:tab/>
      </w:r>
      <w:r w:rsidRPr="009161A5">
        <w:rPr>
          <w:lang w:val="lt-LT"/>
        </w:rPr>
        <w:br/>
      </w:r>
      <w:r w:rsidRPr="009161A5">
        <w:rPr>
          <w:lang w:val="lt-LT"/>
        </w:rPr>
        <w:tab/>
        <w:t>11.7. Perkančioji organizacija gali nevertinti viso tiekėjo pasiūlymo, jeigu patikrinusi jo dalį nustato, kad, vadovaujantis VPĮ reikalavimais, pasiūlymas turi būti atmestas.</w:t>
      </w:r>
    </w:p>
    <w:p w14:paraId="74E74928" w14:textId="025C8F01" w:rsidR="009161A5" w:rsidRDefault="009161A5" w:rsidP="009161A5">
      <w:pPr>
        <w:pStyle w:val="Body2"/>
        <w:ind w:firstLine="720"/>
        <w:rPr>
          <w:rFonts w:cs="Times New Roman"/>
          <w:lang w:val="lt-LT"/>
        </w:rPr>
      </w:pPr>
      <w:r w:rsidRPr="009161A5">
        <w:rPr>
          <w:rFonts w:cs="Times New Roman"/>
          <w:lang w:val="lt-LT"/>
        </w:rPr>
        <w:t>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Pr>
          <w:rFonts w:cs="Times New Roman"/>
          <w:lang w:val="lt-LT"/>
        </w:rPr>
        <w:t>.</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9161A5">
        <w:rPr>
          <w:b/>
          <w:lang w:val="lt-LT"/>
        </w:rPr>
        <w:t>12. ELEKTRONINIS AUKCIONAS ARBA DERYBOS</w:t>
      </w:r>
      <w:r w:rsidR="00205AB1" w:rsidRPr="009161A5">
        <w:rPr>
          <w:b/>
          <w:lang w:val="lt-LT"/>
        </w:rPr>
        <w:tab/>
      </w:r>
      <w:r w:rsidR="00205AB1" w:rsidRPr="009161A5">
        <w:rPr>
          <w:b/>
          <w:lang w:val="lt-LT"/>
        </w:rPr>
        <w:br/>
      </w:r>
      <w:r w:rsidR="00205AB1" w:rsidRPr="009161A5">
        <w:rPr>
          <w:b/>
          <w:lang w:val="lt-LT"/>
        </w:rPr>
        <w:tab/>
      </w:r>
      <w:r w:rsidR="00205AB1" w:rsidRPr="009161A5">
        <w:rPr>
          <w:b/>
          <w:lang w:val="lt-LT"/>
        </w:rPr>
        <w:br/>
      </w:r>
      <w:r w:rsidR="00205AB1" w:rsidRPr="00370648">
        <w:rPr>
          <w:lang w:val="lt-LT"/>
        </w:rPr>
        <w:tab/>
        <w:t xml:space="preserve">12.1. Elektroninis aukcionas </w:t>
      </w:r>
      <w:r>
        <w:rPr>
          <w:lang w:val="lt-LT"/>
        </w:rPr>
        <w:t>nerengiamas.</w:t>
      </w:r>
      <w:r>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9161A5">
        <w:rPr>
          <w:b/>
          <w:lang w:val="lt-LT"/>
        </w:rPr>
        <w:t>13. PASIŪLYMŲ ATMETIMO PRIEŽASTYS</w:t>
      </w:r>
      <w:r w:rsidR="00205AB1" w:rsidRPr="009161A5">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Pr="002E33FD">
        <w:rPr>
          <w:lang w:val="lt-LT"/>
        </w:rPr>
        <w:t>13.1. Pirkimo komisija atmeta pasiūlymą, jeigu:</w:t>
      </w:r>
      <w:r w:rsidRPr="002E33FD">
        <w:rPr>
          <w:lang w:val="lt-LT"/>
        </w:rPr>
        <w:tab/>
      </w:r>
      <w:r w:rsidRPr="002E33FD">
        <w:rPr>
          <w:lang w:val="lt-LT"/>
        </w:rPr>
        <w:br/>
      </w:r>
      <w:r w:rsidRPr="002E33FD">
        <w:rPr>
          <w:lang w:val="lt-LT"/>
        </w:rPr>
        <w:tab/>
        <w:t>13.1.1. tiekėjas pasiūlymą ar jo dalį pateikė ne CVP IS priemonėmis;</w:t>
      </w:r>
      <w:r w:rsidRPr="002E33FD">
        <w:rPr>
          <w:lang w:val="lt-LT"/>
        </w:rPr>
        <w:tab/>
      </w:r>
      <w:r w:rsidRPr="002E33FD">
        <w:rPr>
          <w:lang w:val="lt-LT"/>
        </w:rPr>
        <w:br/>
      </w:r>
      <w:r w:rsidRPr="002E33FD">
        <w:rPr>
          <w:lang w:val="lt-LT"/>
        </w:rPr>
        <w:tab/>
        <w:t xml:space="preserve">13.1.2. </w:t>
      </w:r>
      <w:r w:rsidRPr="002E33FD">
        <w:rPr>
          <w:rFonts w:cs="Times New Roman"/>
          <w:lang w:val="lt-LT"/>
        </w:rPr>
        <w:t>yra bent vienas VPĮ 46 straipsnyje (</w:t>
      </w:r>
      <w:r w:rsidRPr="00857FBA">
        <w:rPr>
          <w:rFonts w:cs="Times New Roman"/>
          <w:lang w:val="lt-LT"/>
        </w:rPr>
        <w:t xml:space="preserve">pirkimo sąlygų </w:t>
      </w:r>
      <w:r w:rsidR="00444495">
        <w:rPr>
          <w:rFonts w:cs="Times New Roman"/>
          <w:lang w:val="lt-LT"/>
        </w:rPr>
        <w:t>4</w:t>
      </w:r>
      <w:r w:rsidRPr="00857FBA">
        <w:rPr>
          <w:rFonts w:cs="Times New Roman"/>
          <w:lang w:val="lt-LT"/>
        </w:rPr>
        <w:t xml:space="preserve"> priedas „Tiekėjų pašalinimo pagrindai </w:t>
      </w:r>
      <w:r w:rsidRPr="00857FBA">
        <w:rPr>
          <w:rFonts w:cs="Times New Roman"/>
          <w:lang w:val="lt-LT"/>
        </w:rPr>
        <w:lastRenderedPageBreak/>
        <w:t>ir reikalaujami kvalifikacijos reikalavimai“) nustatytas tiekėjo pašalinimo pagrindas arba perkančiosios organizacijos prašymu nepateikė ar nepatikslino pateiktų netikslių ar neišsamių duomenų apie pašalinimo pagrindų nebuvimą CVP IS priemonėmis;</w:t>
      </w:r>
      <w:r w:rsidRPr="00857FBA">
        <w:rPr>
          <w:rFonts w:cs="Times New Roman"/>
          <w:lang w:val="lt-LT"/>
        </w:rPr>
        <w:tab/>
      </w:r>
    </w:p>
    <w:p w14:paraId="2A9441BE" w14:textId="2929ED60" w:rsidR="009161A5" w:rsidRDefault="009161A5" w:rsidP="009161A5">
      <w:pPr>
        <w:pStyle w:val="Body2"/>
        <w:ind w:firstLine="720"/>
        <w:rPr>
          <w:rFonts w:cs="Times New Roman"/>
          <w:lang w:val="lt-LT"/>
        </w:rPr>
      </w:pPr>
      <w:r w:rsidRPr="00857FBA">
        <w:rPr>
          <w:rFonts w:cs="Times New Roman"/>
          <w:lang w:val="lt-LT"/>
        </w:rPr>
        <w:t xml:space="preserve">13.1.3. pasiūlymas  ar siūlomos prekės neatitinka pirkimo dokumentuose nustatytų reikalavimų, kaip pvz., pasiūlymas pateiktas ne perkančiosios organizacijos nurodytomis elektroninėmis priemonėmis, nepateiktas užpildytas pirkimo sąlygų </w:t>
      </w:r>
      <w:r w:rsidR="0085508F">
        <w:rPr>
          <w:rFonts w:cs="Times New Roman"/>
          <w:lang w:val="lt-LT"/>
        </w:rPr>
        <w:t>2</w:t>
      </w:r>
      <w:r w:rsidRPr="00857FBA">
        <w:rPr>
          <w:rFonts w:cs="Times New Roman"/>
          <w:lang w:val="lt-LT"/>
        </w:rPr>
        <w:t xml:space="preserve"> priedas „Pasiūlymo forma“, pasiūlytas objektas neatitinka pirkimo sąlygų 1 priede nustatytų reikalavimų, pasiūlymas neatitinka sutarties projekte</w:t>
      </w:r>
      <w:r w:rsidRPr="002E33FD">
        <w:rPr>
          <w:rFonts w:cs="Times New Roman"/>
          <w:lang w:val="lt-LT"/>
        </w:rPr>
        <w:t xml:space="preserve"> nustatytų reikalavimų ir pan.;</w:t>
      </w:r>
    </w:p>
    <w:p w14:paraId="516B6551" w14:textId="14AAE946" w:rsidR="009161A5" w:rsidRPr="002E33FD" w:rsidRDefault="009161A5" w:rsidP="009161A5">
      <w:pPr>
        <w:pStyle w:val="Body2"/>
        <w:ind w:firstLine="720"/>
        <w:rPr>
          <w:rFonts w:cs="Times New Roman"/>
          <w:lang w:val="lt-LT"/>
        </w:rPr>
      </w:pPr>
      <w:r w:rsidRPr="002E33FD">
        <w:rPr>
          <w:rFonts w:cs="Times New Roman"/>
          <w:lang w:val="lt-LT"/>
        </w:rPr>
        <w:t xml:space="preserve">13.1.4. </w:t>
      </w:r>
      <w:r>
        <w:rPr>
          <w:rFonts w:cs="Times New Roman"/>
          <w:lang w:val="lt-LT"/>
        </w:rPr>
        <w:t xml:space="preserve">kai </w:t>
      </w:r>
      <w:r w:rsidRPr="002E33FD">
        <w:rPr>
          <w:rFonts w:cs="Times New Roman"/>
          <w:lang w:val="lt-LT"/>
        </w:rPr>
        <w:t>dalyvio pasiūlyta kaina yra per didelė ir perkančiajai organizacijai nepriimtina;</w:t>
      </w:r>
    </w:p>
    <w:p w14:paraId="75EE8BCD" w14:textId="77777777" w:rsidR="009161A5" w:rsidRDefault="009161A5" w:rsidP="009161A5">
      <w:pPr>
        <w:pStyle w:val="Body2"/>
        <w:ind w:firstLine="720"/>
        <w:rPr>
          <w:lang w:val="lt-LT"/>
        </w:rPr>
      </w:pPr>
      <w:r w:rsidRPr="009161A5">
        <w:rPr>
          <w:lang w:val="lt-LT"/>
        </w:rPr>
        <w:t>13.1.5. dalyvis per perkančiosios organizacijos nurodytą terminą neištaiso aritmetinių klaidų ir (ar) nepaaiškina (netinkamai paaiškina) pasiūlymo;</w:t>
      </w:r>
      <w:r w:rsidRPr="009161A5">
        <w:rPr>
          <w:lang w:val="lt-LT"/>
        </w:rPr>
        <w:tab/>
      </w:r>
      <w:r w:rsidRPr="009161A5">
        <w:rPr>
          <w:lang w:val="lt-LT"/>
        </w:rPr>
        <w:br/>
      </w:r>
      <w:r w:rsidRPr="009161A5">
        <w:rPr>
          <w:lang w:val="lt-LT"/>
        </w:rPr>
        <w:tab/>
        <w:t>13.1.6. pateiktame pasiūlyme nurodyta kaina yra neįprastai maža ir dalyvis, perkančiosios organizacijos prašymu, nepateikia tinkamų kainos pagrįstumo įrodymų;</w:t>
      </w:r>
      <w:r w:rsidRPr="009161A5">
        <w:rPr>
          <w:lang w:val="lt-LT"/>
        </w:rPr>
        <w:tab/>
      </w:r>
      <w:r w:rsidRPr="009161A5">
        <w:rPr>
          <w:lang w:val="lt-LT"/>
        </w:rPr>
        <w:br/>
      </w:r>
      <w:r w:rsidRPr="009161A5">
        <w:rPr>
          <w:lang w:val="lt-LT"/>
        </w:rPr>
        <w:tab/>
        <w:t>13.1.7. tiekėjas, apie nustatytų reikalavimų atitikimą, yra pateikęs melagingą informaciją, kurią perkančioji organizacija gali įrodyti bet kokiomis teisėtomis priemonėmis;</w:t>
      </w:r>
      <w:r w:rsidRPr="009161A5">
        <w:rPr>
          <w:lang w:val="lt-LT"/>
        </w:rPr>
        <w:tab/>
      </w:r>
      <w:r w:rsidRPr="009161A5">
        <w:rPr>
          <w:lang w:val="lt-LT"/>
        </w:rPr>
        <w:br/>
      </w:r>
      <w:r w:rsidRPr="009161A5">
        <w:rPr>
          <w:lang w:val="lt-LT"/>
        </w:rPr>
        <w:tab/>
        <w:t>13.1.8. jei tiekėjas pateikia daugiau kaip vieną pasiūlymą arba ūkio subjektų grupės narys dalyvauja teikiant kelis pasiūlymus;</w:t>
      </w:r>
      <w:r w:rsidRPr="009161A5">
        <w:rPr>
          <w:lang w:val="lt-LT"/>
        </w:rPr>
        <w:tab/>
      </w:r>
      <w:r w:rsidRPr="009161A5">
        <w:rPr>
          <w:lang w:val="lt-LT"/>
        </w:rPr>
        <w:br/>
      </w:r>
      <w:r w:rsidRPr="009161A5">
        <w:rPr>
          <w:lang w:val="lt-LT"/>
        </w:rPr>
        <w:tab/>
        <w:t>13.1.9. 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Pr="009161A5">
        <w:rPr>
          <w:lang w:val="lt-LT"/>
        </w:rPr>
        <w:tab/>
      </w:r>
      <w:r w:rsidRPr="009161A5">
        <w:rPr>
          <w:lang w:val="lt-LT"/>
        </w:rPr>
        <w:br/>
      </w:r>
      <w:r w:rsidRPr="009161A5">
        <w:rPr>
          <w:lang w:val="lt-LT"/>
        </w:rPr>
        <w:tab/>
        <w:t>13.1.10.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9161A5">
        <w:rPr>
          <w:lang w:val="lt-LT"/>
        </w:rPr>
        <w:tab/>
      </w:r>
      <w:r w:rsidRPr="009161A5">
        <w:rPr>
          <w:lang w:val="lt-LT"/>
        </w:rPr>
        <w:br/>
      </w:r>
      <w:r w:rsidRPr="009161A5">
        <w:rPr>
          <w:lang w:val="lt-LT"/>
        </w:rPr>
        <w:tab/>
        <w:t>13.1.11. paaiškėjus aplinkybėms, atitinkančioms bent vieną iš VPĮ 45 straipsnio 2</w:t>
      </w:r>
      <w:r w:rsidRPr="009161A5">
        <w:rPr>
          <w:vertAlign w:val="superscript"/>
          <w:lang w:val="lt-LT"/>
        </w:rPr>
        <w:t>1</w:t>
      </w:r>
      <w:r w:rsidRPr="009161A5">
        <w:rPr>
          <w:lang w:val="lt-LT"/>
        </w:rPr>
        <w:t xml:space="preserve"> dalyje išvardintų sąlygų;</w:t>
      </w:r>
    </w:p>
    <w:p w14:paraId="15624E0B" w14:textId="5B761C8D" w:rsidR="009161A5" w:rsidRPr="009161A5" w:rsidRDefault="009161A5" w:rsidP="009161A5">
      <w:pPr>
        <w:pStyle w:val="Body2"/>
        <w:ind w:firstLine="720"/>
        <w:rPr>
          <w:lang w:val="lt-LT"/>
        </w:rPr>
      </w:pPr>
      <w:r w:rsidRPr="002E33FD">
        <w:rPr>
          <w:rFonts w:cs="Times New Roman"/>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7758B337" w14:textId="77777777" w:rsidR="009161A5" w:rsidRPr="002E33FD" w:rsidRDefault="009161A5" w:rsidP="009161A5">
      <w:pPr>
        <w:pStyle w:val="Body2"/>
        <w:ind w:firstLine="720"/>
        <w:rPr>
          <w:rFonts w:cs="Times New Roman"/>
          <w:lang w:val="lt-LT"/>
        </w:rPr>
      </w:pPr>
      <w:r w:rsidRPr="002E33FD">
        <w:rPr>
          <w:rFonts w:cs="Times New Roman"/>
          <w:lang w:val="lt-LT"/>
        </w:rPr>
        <w:t xml:space="preserve">13.1.13. jei, vadovaujantis VPĮ 17 str. 5 d.,  tiekėjas ir jo subtiekėjai, ūkio subjektai, kurių </w:t>
      </w:r>
      <w:proofErr w:type="spellStart"/>
      <w:r w:rsidRPr="002E33FD">
        <w:rPr>
          <w:rFonts w:cs="Times New Roman"/>
          <w:lang w:val="lt-LT"/>
        </w:rPr>
        <w:t>pajėgumais</w:t>
      </w:r>
      <w:proofErr w:type="spellEnd"/>
      <w:r w:rsidRPr="002E33FD">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C55B3CD" w14:textId="77777777" w:rsidR="009161A5" w:rsidRDefault="009161A5" w:rsidP="009161A5">
      <w:pPr>
        <w:pStyle w:val="Body2"/>
        <w:ind w:firstLine="567"/>
        <w:rPr>
          <w:lang w:val="lt-LT"/>
        </w:rPr>
      </w:pPr>
      <w:r w:rsidRPr="002E33FD">
        <w:rPr>
          <w:lang w:val="lt-LT"/>
        </w:rPr>
        <w:t xml:space="preserve">  13.2. Apie pasiūlymo atmetimą ir tokio atmetimo priežastis tiekėjas informuojamas ra</w:t>
      </w:r>
      <w:r>
        <w:rPr>
          <w:lang w:val="lt-LT"/>
        </w:rPr>
        <w:t>štu CVP IS priemonėmis.</w:t>
      </w:r>
    </w:p>
    <w:p w14:paraId="20E0402A" w14:textId="08592A79" w:rsidR="009161A5" w:rsidRPr="002E33FD" w:rsidRDefault="009161A5" w:rsidP="009161A5">
      <w:pPr>
        <w:pStyle w:val="Body2"/>
        <w:ind w:firstLine="567"/>
        <w:rPr>
          <w:lang w:val="lt-LT"/>
        </w:rPr>
      </w:pPr>
      <w:r>
        <w:rPr>
          <w:lang w:val="lt-LT"/>
        </w:rPr>
        <w:t xml:space="preserve">13.3. </w:t>
      </w:r>
      <w:r w:rsidRPr="002E33FD">
        <w:rPr>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2E33FD">
        <w:rPr>
          <w:lang w:val="lt-LT"/>
        </w:rPr>
        <w:tab/>
      </w:r>
    </w:p>
    <w:p w14:paraId="7449A420" w14:textId="4725F7FF" w:rsidR="009161A5" w:rsidRPr="00370648" w:rsidRDefault="009161A5" w:rsidP="009161A5">
      <w:pPr>
        <w:pStyle w:val="Body2"/>
        <w:rPr>
          <w:lang w:val="lt-LT"/>
        </w:rPr>
      </w:pPr>
    </w:p>
    <w:p w14:paraId="746CC7E2" w14:textId="4E80BF9A" w:rsidR="00AB7727" w:rsidRDefault="00205AB1" w:rsidP="00EF4404">
      <w:pPr>
        <w:pStyle w:val="Body2"/>
        <w:ind w:firstLine="720"/>
        <w:rPr>
          <w:lang w:val="lt-LT"/>
        </w:rPr>
      </w:pPr>
      <w:r w:rsidRPr="00370648">
        <w:rPr>
          <w:lang w:val="lt-LT"/>
        </w:rPr>
        <w:tab/>
      </w:r>
      <w:r w:rsidRPr="00370648">
        <w:rPr>
          <w:lang w:val="lt-LT"/>
        </w:rPr>
        <w:br/>
      </w:r>
      <w:r w:rsidRPr="00370648">
        <w:rPr>
          <w:lang w:val="lt-LT"/>
        </w:rPr>
        <w:tab/>
      </w:r>
      <w:r w:rsidRPr="009161A5">
        <w:rPr>
          <w:b/>
          <w:lang w:val="lt-LT"/>
        </w:rPr>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A13922A" w14:textId="77777777" w:rsidR="00AB7727" w:rsidRDefault="00AB7727" w:rsidP="00EF4404">
      <w:pPr>
        <w:pStyle w:val="Body2"/>
        <w:ind w:firstLine="720"/>
        <w:rPr>
          <w:lang w:val="lt-LT"/>
        </w:rPr>
      </w:pPr>
      <w:r w:rsidRPr="00370648">
        <w:rPr>
          <w:lang w:val="lt-LT"/>
        </w:rPr>
        <w:lastRenderedPageBreak/>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w:t>
      </w:r>
      <w:r>
        <w:rPr>
          <w:lang w:val="lt-LT"/>
        </w:rPr>
        <w:t>anizacija lygindama pasiūlymus.</w:t>
      </w:r>
      <w:r w:rsidRPr="00370648">
        <w:rPr>
          <w:lang w:val="lt-LT"/>
        </w:rPr>
        <w:t xml:space="preserve"> 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9161A5">
        <w:rPr>
          <w:b/>
          <w:lang w:val="lt-LT"/>
        </w:rPr>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D48997B" w14:textId="77777777" w:rsidR="002F7165" w:rsidRDefault="00AB7727" w:rsidP="002F7165">
      <w:pPr>
        <w:pStyle w:val="Body2"/>
        <w:ind w:firstLine="720"/>
        <w:rPr>
          <w:lang w:val="lt-LT"/>
        </w:rPr>
      </w:pPr>
      <w:r>
        <w:rPr>
          <w:lang w:val="lt-LT"/>
        </w:rPr>
        <w:t xml:space="preserve">15.2. </w:t>
      </w:r>
      <w:r w:rsidRPr="00370648">
        <w:rPr>
          <w:lang w:val="lt-LT"/>
        </w:rPr>
        <w:t>Tais atvejais, kai pasiūlymą pateikė tik vienas tiekėjas, pasiūlymų eilė nenustatoma ir jo pasiūlymas laikomas laimėjusiu, jeigu nebuvo atmestas pagal šių pirkimo dokumentų sąlygas.</w:t>
      </w:r>
      <w:r>
        <w:rPr>
          <w:lang w:val="lt-LT"/>
        </w:rPr>
        <w:tab/>
      </w:r>
      <w:r>
        <w:rPr>
          <w:lang w:val="lt-LT"/>
        </w:rPr>
        <w:br/>
      </w:r>
      <w:r>
        <w:rPr>
          <w:lang w:val="lt-LT"/>
        </w:rPr>
        <w:tab/>
        <w:t>15.3</w:t>
      </w:r>
      <w:r w:rsidR="00205AB1" w:rsidRPr="00370648">
        <w:rPr>
          <w:lang w:val="lt-LT"/>
        </w:rPr>
        <w:t xml:space="preserve">.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Laimėtojas nustatomas kiekvienai</w:t>
      </w:r>
      <w:r>
        <w:rPr>
          <w:lang w:val="lt-LT"/>
        </w:rPr>
        <w:t xml:space="preserve"> pirkimo daliai atskirai.</w:t>
      </w:r>
      <w:r w:rsidR="00205AB1" w:rsidRPr="00370648">
        <w:rPr>
          <w:lang w:val="lt-LT"/>
        </w:rPr>
        <w:tab/>
      </w:r>
      <w:r w:rsidR="00205AB1" w:rsidRPr="00370648">
        <w:rPr>
          <w:lang w:val="lt-LT"/>
        </w:rPr>
        <w:br/>
      </w:r>
      <w:r w:rsidR="00205AB1" w:rsidRPr="00370648">
        <w:rPr>
          <w:lang w:val="lt-LT"/>
        </w:rPr>
        <w:tab/>
        <w:t>15.</w:t>
      </w:r>
      <w:r w:rsidR="009161A5">
        <w:rPr>
          <w:lang w:val="lt-LT"/>
        </w:rPr>
        <w:t>4</w:t>
      </w:r>
      <w:r w:rsidR="00205AB1" w:rsidRPr="00370648">
        <w:rPr>
          <w:lang w:val="lt-LT"/>
        </w:rPr>
        <w:t xml:space="preserve">. Apie pasiūlymų eilės ir laimėjusio pasiūlymo nustatymą ir apie sprendimą sudaryti pirkimo sutartį, nedelsiant, bet ne vėliau kaip per </w:t>
      </w:r>
      <w:r w:rsidR="00EF4404">
        <w:rPr>
          <w:lang w:val="lt-LT"/>
        </w:rPr>
        <w:t>3</w:t>
      </w:r>
      <w:r w:rsidR="00205AB1"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w:t>
      </w:r>
      <w:r w:rsidR="009161A5">
        <w:rPr>
          <w:lang w:val="lt-LT"/>
        </w:rPr>
        <w:t>5</w:t>
      </w:r>
      <w:r w:rsidR="00205AB1" w:rsidRPr="00370648">
        <w:rPr>
          <w:lang w:val="lt-LT"/>
        </w:rPr>
        <w:t xml:space="preserve">. </w:t>
      </w:r>
      <w:r w:rsidR="002F7165" w:rsidRPr="002E33FD">
        <w:rPr>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p>
    <w:p w14:paraId="42BB19F8" w14:textId="7B8FE41A" w:rsidR="002F7165" w:rsidRDefault="002F7165" w:rsidP="002F7165">
      <w:pPr>
        <w:pStyle w:val="Body2"/>
        <w:ind w:firstLine="720"/>
        <w:rPr>
          <w:lang w:val="lt-LT"/>
        </w:rPr>
      </w:pPr>
      <w:r w:rsidRPr="002E33FD">
        <w:rPr>
          <w:lang w:val="lt-LT"/>
        </w:rPr>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3512C20A" w14:textId="77777777" w:rsidR="002F7165" w:rsidRDefault="002F7165" w:rsidP="002F7165">
      <w:pPr>
        <w:pStyle w:val="Body2"/>
        <w:ind w:firstLine="720"/>
        <w:rPr>
          <w:lang w:val="lt-LT"/>
        </w:rPr>
      </w:pPr>
      <w:r w:rsidRPr="002E33FD">
        <w:rPr>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2F7165">
        <w:rPr>
          <w:b/>
          <w:lang w:val="lt-LT"/>
        </w:rPr>
        <w:t>16. PRETENZIJŲ IR SKUNDŲ NAGRINĖJIMAS</w:t>
      </w:r>
      <w:r w:rsidR="00205AB1" w:rsidRPr="002F7165">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16.1. </w:t>
      </w:r>
      <w:r w:rsidRPr="002F7165">
        <w:rPr>
          <w:lang w:val="lt-LT"/>
        </w:rPr>
        <w:t>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p>
    <w:p w14:paraId="418D93A3" w14:textId="77777777" w:rsidR="002F7165" w:rsidRDefault="00205AB1" w:rsidP="002F7165">
      <w:pPr>
        <w:pStyle w:val="Body2"/>
        <w:ind w:firstLine="720"/>
        <w:rPr>
          <w:lang w:val="lt-LT"/>
        </w:rPr>
      </w:pPr>
      <w:r w:rsidRPr="00370648">
        <w:rPr>
          <w:lang w:val="lt-LT"/>
        </w:rPr>
        <w:lastRenderedPageBreak/>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r>
      <w:r w:rsidR="002F7165" w:rsidRPr="002E33FD">
        <w:rPr>
          <w:lang w:val="lt-LT"/>
        </w:rPr>
        <w:t>16.2.1. per 10 kalendorinių dienų nuo perkančiosios organizacijos pranešimo raštu apie jos priimtą sprendimą išsiuntimo tiekėjams dienos;</w:t>
      </w:r>
      <w:r w:rsidR="002F7165" w:rsidRPr="002E33FD">
        <w:rPr>
          <w:lang w:val="lt-LT"/>
        </w:rPr>
        <w:tab/>
      </w:r>
      <w:r w:rsidR="002F7165" w:rsidRPr="002E33FD">
        <w:rPr>
          <w:lang w:val="lt-LT"/>
        </w:rPr>
        <w:br/>
      </w:r>
      <w:r w:rsidR="002F7165" w:rsidRPr="002E33FD">
        <w:rPr>
          <w:lang w:val="lt-LT"/>
        </w:rPr>
        <w:tab/>
        <w:t>16.2.2. per 10 kalendorinių dienų nuo paskelbimo apie perkančiosios organizacijos priimtą sprendimą dienos, jeigu VPĮ nėra reikalavimo raštu informuoti tiekėjus apie perkančiosios organizacijos priimtus sprendimus.</w:t>
      </w:r>
    </w:p>
    <w:p w14:paraId="082968E0" w14:textId="77777777" w:rsidR="002F7165" w:rsidRPr="002E33FD" w:rsidRDefault="00205AB1" w:rsidP="002F7165">
      <w:pPr>
        <w:pStyle w:val="Body2"/>
        <w:spacing w:after="0"/>
        <w:ind w:firstLine="567"/>
        <w:rPr>
          <w:lang w:val="lt-LT"/>
        </w:rPr>
      </w:pPr>
      <w:r w:rsidRPr="00370648">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002F7165" w:rsidRPr="002E33FD">
        <w:rPr>
          <w:lang w:val="lt-LT"/>
        </w:rPr>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F7165" w:rsidRPr="002E33FD">
        <w:rPr>
          <w:lang w:val="lt-LT"/>
        </w:rPr>
        <w:tab/>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r>
      <w:r w:rsidR="002F7165" w:rsidRPr="002E33FD">
        <w:rPr>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F7165" w:rsidRPr="002E33FD">
        <w:rPr>
          <w:lang w:val="lt-LT"/>
        </w:rPr>
        <w:tab/>
      </w:r>
      <w:r w:rsidR="002F7165" w:rsidRPr="002E33FD">
        <w:rPr>
          <w:lang w:val="lt-LT"/>
        </w:rPr>
        <w:br/>
      </w:r>
      <w:r w:rsidR="002F7165" w:rsidRPr="002E33FD">
        <w:rPr>
          <w:lang w:val="lt-LT"/>
        </w:rPr>
        <w:tab/>
        <w:t>16.10.1. motyvuotą teismo nutartį, kuria atsisakoma priimti ieškinį;</w:t>
      </w:r>
      <w:r w:rsidR="002F7165" w:rsidRPr="002E33FD">
        <w:rPr>
          <w:lang w:val="lt-LT"/>
        </w:rPr>
        <w:tab/>
      </w:r>
      <w:r w:rsidR="002F7165" w:rsidRPr="002E33FD">
        <w:rPr>
          <w:lang w:val="lt-LT"/>
        </w:rPr>
        <w:br/>
      </w:r>
      <w:r w:rsidR="002F7165" w:rsidRPr="002E33FD">
        <w:rPr>
          <w:lang w:val="lt-LT"/>
        </w:rPr>
        <w:tab/>
        <w:t>16.10.2. motyvuotą teismo nutartį dėl tiekėjo prašymo taikyti laikinąsias apsaugos priemones atmetimo, kai šis prašymas teisme buvo gautas iki ieškinio pareiškimo;</w:t>
      </w:r>
      <w:r w:rsidR="002F7165" w:rsidRPr="002E33FD">
        <w:rPr>
          <w:lang w:val="lt-LT"/>
        </w:rPr>
        <w:tab/>
      </w:r>
      <w:r w:rsidR="002F7165" w:rsidRPr="002E33FD">
        <w:rPr>
          <w:lang w:val="lt-LT"/>
        </w:rPr>
        <w:br/>
      </w:r>
      <w:r w:rsidR="002F7165" w:rsidRPr="002E33FD">
        <w:rPr>
          <w:lang w:val="lt-LT"/>
        </w:rPr>
        <w:tab/>
        <w:t>16.10.3. teismo rezoliuciją priimti ieškinį netaikant laikinųjų apsaugos priemonių.</w:t>
      </w:r>
      <w:r w:rsidR="002F7165" w:rsidRPr="002E33FD">
        <w:rPr>
          <w:lang w:val="lt-LT"/>
        </w:rPr>
        <w:tab/>
      </w:r>
      <w:r w:rsidR="002F7165" w:rsidRPr="002E33FD">
        <w:rPr>
          <w:lang w:val="lt-LT"/>
        </w:rPr>
        <w:br/>
      </w:r>
      <w:r w:rsidR="002F7165" w:rsidRPr="002E33FD">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F7165" w:rsidRPr="002E33FD">
        <w:rPr>
          <w:lang w:val="lt-LT"/>
        </w:rPr>
        <w:tab/>
      </w:r>
      <w:r w:rsidR="002F7165" w:rsidRPr="002E33FD">
        <w:rPr>
          <w:lang w:val="lt-LT"/>
        </w:rPr>
        <w:br/>
      </w:r>
      <w:r w:rsidR="002F7165" w:rsidRPr="002E33FD">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F7165" w:rsidRPr="002E33FD">
        <w:rPr>
          <w:lang w:val="lt-LT"/>
        </w:rPr>
        <w:tab/>
      </w:r>
      <w:r w:rsidR="002F7165" w:rsidRPr="002E33FD">
        <w:rPr>
          <w:lang w:val="lt-LT"/>
        </w:rPr>
        <w:br/>
      </w:r>
      <w:r w:rsidRPr="00370648">
        <w:rPr>
          <w:lang w:val="lt-LT"/>
        </w:rPr>
        <w:tab/>
      </w:r>
      <w:r w:rsidRPr="00370648">
        <w:rPr>
          <w:lang w:val="lt-LT"/>
        </w:rPr>
        <w:br/>
      </w:r>
      <w:r w:rsidRPr="00370648">
        <w:rPr>
          <w:lang w:val="lt-LT"/>
        </w:rPr>
        <w:tab/>
      </w:r>
      <w:r w:rsidRPr="00C94CA8">
        <w:rPr>
          <w:b/>
          <w:lang w:val="lt-LT"/>
        </w:rPr>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17.1. </w:t>
      </w:r>
      <w:r w:rsidR="00EF4404" w:rsidRPr="00EF4404">
        <w:rPr>
          <w:lang w:val="lt-LT"/>
        </w:rPr>
        <w:t>Perkančioji organizacija sudaryti pirkimo sutartį raštu kviečia tą dalyvį, kurio pasiūlymas pripažintas laimėjusiu, kartu jam nurodomas laikas, iki kada reikia pasirašyti pirkimo sutartį</w:t>
      </w:r>
      <w:r w:rsidRPr="00370648">
        <w:rPr>
          <w:lang w:val="lt-LT"/>
        </w:rPr>
        <w:t>.</w:t>
      </w:r>
      <w:r w:rsidRPr="00370648">
        <w:rPr>
          <w:lang w:val="lt-LT"/>
        </w:rPr>
        <w:tab/>
      </w:r>
      <w:r w:rsidRPr="00370648">
        <w:rPr>
          <w:lang w:val="lt-LT"/>
        </w:rPr>
        <w:br/>
      </w:r>
      <w:r w:rsidRPr="00370648">
        <w:rPr>
          <w:lang w:val="lt-LT"/>
        </w:rPr>
        <w:tab/>
      </w:r>
      <w:r w:rsidR="002F7165" w:rsidRPr="002E33FD">
        <w:rPr>
          <w:rFonts w:cs="Times New Roman"/>
          <w:lang w:val="lt-LT"/>
        </w:rPr>
        <w:t xml:space="preserve">17.2. Pirkimo sutarties sąlygos </w:t>
      </w:r>
      <w:r w:rsidR="002F7165" w:rsidRPr="00857FBA">
        <w:rPr>
          <w:rFonts w:cs="Times New Roman"/>
          <w:lang w:val="lt-LT"/>
        </w:rPr>
        <w:t>pateikiamos pirkimo sąlygų 3 priede ,,</w:t>
      </w:r>
      <w:r w:rsidR="002F7165" w:rsidRPr="00857FBA">
        <w:rPr>
          <w:rFonts w:cs="Times New Roman"/>
          <w:color w:val="auto"/>
          <w:lang w:val="lt-LT"/>
        </w:rPr>
        <w:t>Viešojo pirkimo sutarties projektas“.</w:t>
      </w:r>
      <w:r w:rsidR="002F7165" w:rsidRPr="002E33FD">
        <w:rPr>
          <w:rFonts w:cs="Times New Roman"/>
          <w:lang w:val="lt-LT"/>
        </w:rPr>
        <w:t xml:space="preserve"> </w:t>
      </w:r>
      <w:r w:rsidR="002F7165" w:rsidRPr="002E33FD">
        <w:rPr>
          <w:rFonts w:cs="Times New Roman"/>
          <w:lang w:val="lt-LT"/>
        </w:rPr>
        <w:br/>
      </w:r>
      <w:r w:rsidR="002F7165" w:rsidRPr="002E33FD">
        <w:rPr>
          <w:rFonts w:cs="Times New Roman"/>
          <w:lang w:val="lt-LT"/>
        </w:rPr>
        <w:tab/>
        <w:t xml:space="preserve">17.3. </w:t>
      </w:r>
      <w:r w:rsidR="002F7165" w:rsidRPr="002E33FD">
        <w:rPr>
          <w:lang w:val="lt-LT"/>
        </w:rPr>
        <w:t xml:space="preserve">Atkreiptinas dėmesys, kad vykdant pirkimo sutartį, pridėtinės vertės mokesčio sąskaitos faktūros, sąskaitos faktūros, kreditiniai ir debetiniai dokumentai bei avansinės sąskaitos turi būti teikiami </w:t>
      </w:r>
      <w:r w:rsidR="002F7165" w:rsidRPr="002E33FD">
        <w:rPr>
          <w:lang w:val="lt-LT"/>
        </w:rPr>
        <w:lastRenderedPageBreak/>
        <w:t>naudojantis sąskaitų administravimo bendrosios informacinės sistemos (toliau – SABIS) priemonėmis, nurodant Pirkėją, Gavėją sutarties numerį ir datą. Jeigu tiekėjas nepateikia sąskaitos faktūros informacinės sistemos SABIS priemonėmis, perkančioji organizacija turi teisę neatlikti mokėjimo.</w:t>
      </w:r>
    </w:p>
    <w:p w14:paraId="08FB4E19" w14:textId="714BE8A8" w:rsidR="00AA0DA7" w:rsidRPr="00C94CA8" w:rsidRDefault="00205AB1" w:rsidP="002F7165">
      <w:pPr>
        <w:pStyle w:val="Body2"/>
        <w:ind w:firstLine="720"/>
        <w:rPr>
          <w:b/>
          <w:lang w:val="lt-LT"/>
        </w:rPr>
      </w:pPr>
      <w:r w:rsidRPr="00370648">
        <w:rPr>
          <w:lang w:val="lt-LT"/>
        </w:rPr>
        <w:br/>
      </w:r>
      <w:r w:rsidRPr="00370648">
        <w:rPr>
          <w:lang w:val="lt-LT"/>
        </w:rPr>
        <w:tab/>
      </w:r>
      <w:r w:rsidR="00EF4404">
        <w:rPr>
          <w:lang w:val="lt-LT"/>
        </w:rPr>
        <w:tab/>
      </w:r>
      <w:r w:rsidR="00EF4404">
        <w:rPr>
          <w:lang w:val="lt-LT"/>
        </w:rPr>
        <w:br/>
      </w:r>
      <w:r w:rsidR="00EF4404">
        <w:rPr>
          <w:lang w:val="lt-LT"/>
        </w:rPr>
        <w:tab/>
      </w:r>
      <w:r w:rsidR="00EF4404" w:rsidRPr="00C94CA8">
        <w:rPr>
          <w:b/>
          <w:lang w:val="lt-LT"/>
        </w:rPr>
        <w:t>18. PIRKIMO SĄLYGŲ PRIEDAI</w:t>
      </w:r>
    </w:p>
    <w:p w14:paraId="47D76922" w14:textId="6A2B0779" w:rsidR="00EF4404" w:rsidRPr="00D84F1A" w:rsidRDefault="00EF4404" w:rsidP="00EF4404">
      <w:pPr>
        <w:pStyle w:val="Body2"/>
        <w:ind w:firstLine="720"/>
        <w:rPr>
          <w:color w:val="auto"/>
          <w:lang w:val="lt-LT"/>
        </w:rPr>
      </w:pPr>
      <w:r>
        <w:rPr>
          <w:lang w:val="lt-LT"/>
        </w:rPr>
        <w:tab/>
      </w:r>
      <w:r>
        <w:rPr>
          <w:lang w:val="lt-LT"/>
        </w:rPr>
        <w:br/>
      </w:r>
      <w:r w:rsidR="00205AB1" w:rsidRPr="00D84F1A">
        <w:rPr>
          <w:color w:val="auto"/>
          <w:lang w:val="lt-LT"/>
        </w:rPr>
        <w:tab/>
      </w:r>
      <w:r w:rsidRPr="00D84F1A">
        <w:rPr>
          <w:color w:val="auto"/>
          <w:lang w:val="lt-LT"/>
        </w:rPr>
        <w:t>18.1.1. 1 priedas. „Techninė specifikacija</w:t>
      </w:r>
      <w:r w:rsidR="002F7165" w:rsidRPr="00D84F1A">
        <w:rPr>
          <w:color w:val="auto"/>
          <w:lang w:val="lt-LT"/>
        </w:rPr>
        <w:t xml:space="preserve"> </w:t>
      </w:r>
      <w:proofErr w:type="spellStart"/>
      <w:r w:rsidR="002F7165" w:rsidRPr="00D84F1A">
        <w:rPr>
          <w:color w:val="auto"/>
          <w:lang w:val="lt-LT"/>
        </w:rPr>
        <w:t>akselbantams</w:t>
      </w:r>
      <w:proofErr w:type="spellEnd"/>
      <w:r w:rsidR="002F7165" w:rsidRPr="00D84F1A">
        <w:rPr>
          <w:color w:val="auto"/>
          <w:lang w:val="lt-LT"/>
        </w:rPr>
        <w:t xml:space="preserve"> (viengubi, dvigubi, koncertiniai)</w:t>
      </w:r>
      <w:r w:rsidRPr="00D84F1A">
        <w:rPr>
          <w:color w:val="auto"/>
          <w:lang w:val="lt-LT"/>
        </w:rPr>
        <w:t>“</w:t>
      </w:r>
      <w:r w:rsidR="002F7165" w:rsidRPr="00D84F1A">
        <w:rPr>
          <w:color w:val="auto"/>
          <w:lang w:val="lt-LT"/>
        </w:rPr>
        <w:t xml:space="preserve"> </w:t>
      </w:r>
      <w:r w:rsidR="002F7165" w:rsidRPr="00D84F1A">
        <w:rPr>
          <w:i/>
          <w:color w:val="auto"/>
          <w:lang w:val="lt-LT"/>
        </w:rPr>
        <w:t xml:space="preserve">(taikoma 1-ai pirkimo daliai) </w:t>
      </w:r>
      <w:r w:rsidR="002F7165" w:rsidRPr="00D84F1A">
        <w:rPr>
          <w:color w:val="auto"/>
          <w:lang w:val="lt-LT"/>
        </w:rPr>
        <w:t xml:space="preserve">/ </w:t>
      </w:r>
      <w:r w:rsidR="002F7165" w:rsidRPr="00D84F1A">
        <w:rPr>
          <w:rFonts w:cs="Times New Roman"/>
          <w:color w:val="auto"/>
          <w:lang w:val="lt-LT"/>
        </w:rPr>
        <w:t>„Techninė specifikacija sagoms (didelėms: su Vyčiu, su inkaru; mažoms: su Vyčiu, su inkaru)“ (</w:t>
      </w:r>
      <w:r w:rsidR="002F7165" w:rsidRPr="00D84F1A">
        <w:rPr>
          <w:rFonts w:cs="Times New Roman"/>
          <w:i/>
          <w:iCs/>
          <w:color w:val="auto"/>
          <w:lang w:val="lt-LT"/>
        </w:rPr>
        <w:t>taikoma 2-ai pirkimo daliai)</w:t>
      </w:r>
      <w:r w:rsidRPr="00D84F1A">
        <w:rPr>
          <w:color w:val="auto"/>
          <w:lang w:val="lt-LT"/>
        </w:rPr>
        <w:t>;</w:t>
      </w:r>
      <w:r w:rsidRPr="00D84F1A">
        <w:rPr>
          <w:color w:val="auto"/>
          <w:lang w:val="lt-LT"/>
        </w:rPr>
        <w:tab/>
      </w:r>
    </w:p>
    <w:p w14:paraId="4CC4D427" w14:textId="77777777" w:rsidR="00444495" w:rsidRPr="00D84F1A" w:rsidRDefault="00EF4404" w:rsidP="00EF4404">
      <w:pPr>
        <w:pStyle w:val="Body2"/>
        <w:ind w:firstLine="720"/>
        <w:rPr>
          <w:color w:val="auto"/>
          <w:lang w:val="lt-LT"/>
        </w:rPr>
      </w:pPr>
      <w:r w:rsidRPr="00D84F1A">
        <w:rPr>
          <w:color w:val="auto"/>
          <w:lang w:val="lt-LT"/>
        </w:rPr>
        <w:t>18.1.2. 2 priedas. „Pasiūlymo forma“;</w:t>
      </w:r>
    </w:p>
    <w:p w14:paraId="27CC9DC8" w14:textId="7A0FA760" w:rsidR="00D84F1A" w:rsidRPr="00D84F1A" w:rsidRDefault="00D84F1A" w:rsidP="00EF4404">
      <w:pPr>
        <w:pStyle w:val="Body2"/>
        <w:ind w:firstLine="720"/>
        <w:rPr>
          <w:color w:val="auto"/>
          <w:lang w:val="lt-LT"/>
        </w:rPr>
      </w:pPr>
      <w:r w:rsidRPr="00D84F1A">
        <w:rPr>
          <w:color w:val="auto"/>
          <w:lang w:val="lt-LT"/>
        </w:rPr>
        <w:t>18.1.3</w:t>
      </w:r>
      <w:r w:rsidR="001F2549">
        <w:rPr>
          <w:color w:val="auto"/>
          <w:lang w:val="lt-LT"/>
        </w:rPr>
        <w:t>.</w:t>
      </w:r>
      <w:r w:rsidRPr="00D84F1A">
        <w:rPr>
          <w:color w:val="auto"/>
          <w:lang w:val="lt-LT"/>
        </w:rPr>
        <w:t xml:space="preserve"> 2 priedo priedelis „Siūlomų prekių </w:t>
      </w:r>
      <w:r w:rsidR="002772AA">
        <w:rPr>
          <w:color w:val="auto"/>
          <w:lang w:val="lt-LT"/>
        </w:rPr>
        <w:t>kokybės garantijos terminai</w:t>
      </w:r>
      <w:r w:rsidRPr="00D84F1A">
        <w:rPr>
          <w:color w:val="auto"/>
          <w:lang w:val="lt-LT"/>
        </w:rPr>
        <w:t>“</w:t>
      </w:r>
      <w:r w:rsidR="002772AA">
        <w:rPr>
          <w:color w:val="auto"/>
          <w:lang w:val="lt-LT"/>
        </w:rPr>
        <w:t>;</w:t>
      </w:r>
    </w:p>
    <w:p w14:paraId="1A2914C2" w14:textId="54221A1C" w:rsidR="00EF4404" w:rsidRPr="00D84F1A" w:rsidRDefault="00444495" w:rsidP="00EF4404">
      <w:pPr>
        <w:pStyle w:val="Body2"/>
        <w:ind w:firstLine="720"/>
        <w:rPr>
          <w:color w:val="auto"/>
          <w:lang w:val="lt-LT"/>
        </w:rPr>
      </w:pPr>
      <w:r w:rsidRPr="00D84F1A">
        <w:rPr>
          <w:color w:val="auto"/>
          <w:lang w:val="lt-LT"/>
        </w:rPr>
        <w:t>18.1.</w:t>
      </w:r>
      <w:r w:rsidR="00D84F1A" w:rsidRPr="00D84F1A">
        <w:rPr>
          <w:color w:val="auto"/>
          <w:lang w:val="lt-LT"/>
        </w:rPr>
        <w:t>4</w:t>
      </w:r>
      <w:r w:rsidRPr="00D84F1A">
        <w:rPr>
          <w:color w:val="auto"/>
          <w:lang w:val="lt-LT"/>
        </w:rPr>
        <w:t xml:space="preserve">. </w:t>
      </w:r>
      <w:r w:rsidR="00EF4404" w:rsidRPr="00D84F1A">
        <w:rPr>
          <w:color w:val="auto"/>
          <w:lang w:val="lt-LT"/>
        </w:rPr>
        <w:t xml:space="preserve">3 priedas. </w:t>
      </w:r>
      <w:r w:rsidRPr="00D84F1A">
        <w:rPr>
          <w:rFonts w:cs="Times New Roman"/>
          <w:color w:val="auto"/>
          <w:lang w:val="lt-LT"/>
        </w:rPr>
        <w:t>„Prekių viešojo pirkimo-pardavimo sutarties projektas“</w:t>
      </w:r>
      <w:r w:rsidRPr="00D84F1A">
        <w:rPr>
          <w:rFonts w:cs="Times New Roman"/>
          <w:color w:val="auto"/>
          <w:lang w:val="lt-LT"/>
        </w:rPr>
        <w:tab/>
        <w:t>;</w:t>
      </w:r>
    </w:p>
    <w:p w14:paraId="2E0AFAF3" w14:textId="1445FDB7" w:rsidR="00444495" w:rsidRPr="00D84F1A" w:rsidRDefault="0031439A" w:rsidP="00444495">
      <w:pPr>
        <w:pStyle w:val="Body2"/>
        <w:spacing w:after="0"/>
        <w:ind w:firstLine="709"/>
        <w:rPr>
          <w:rFonts w:cs="Times New Roman"/>
          <w:color w:val="auto"/>
          <w:lang w:val="lt-LT"/>
        </w:rPr>
      </w:pPr>
      <w:r w:rsidRPr="00D84F1A">
        <w:rPr>
          <w:color w:val="auto"/>
          <w:lang w:val="lt-LT"/>
        </w:rPr>
        <w:t>18.1.</w:t>
      </w:r>
      <w:r w:rsidR="00D84F1A" w:rsidRPr="00D84F1A">
        <w:rPr>
          <w:color w:val="auto"/>
          <w:lang w:val="lt-LT"/>
        </w:rPr>
        <w:t>5</w:t>
      </w:r>
      <w:r w:rsidR="00444495" w:rsidRPr="00D84F1A">
        <w:rPr>
          <w:color w:val="auto"/>
          <w:lang w:val="lt-LT"/>
        </w:rPr>
        <w:t xml:space="preserve">. </w:t>
      </w:r>
      <w:r w:rsidR="00EF4404" w:rsidRPr="00D84F1A">
        <w:rPr>
          <w:color w:val="auto"/>
          <w:lang w:val="lt-LT"/>
        </w:rPr>
        <w:t xml:space="preserve">4 priedas. </w:t>
      </w:r>
      <w:r w:rsidR="00444495" w:rsidRPr="00D84F1A">
        <w:rPr>
          <w:rFonts w:cs="Times New Roman"/>
          <w:color w:val="auto"/>
          <w:lang w:val="lt-LT"/>
        </w:rPr>
        <w:t>„Tiekėjų pašalinimo pagrindai, reikalaujami kvalifikacijos reikalavimai“;</w:t>
      </w:r>
    </w:p>
    <w:p w14:paraId="55367CE8" w14:textId="7346FE51" w:rsidR="00444495" w:rsidRPr="00D84F1A" w:rsidRDefault="0031439A" w:rsidP="00444495">
      <w:pPr>
        <w:pStyle w:val="Body2"/>
        <w:spacing w:after="0"/>
        <w:ind w:firstLine="709"/>
        <w:rPr>
          <w:rFonts w:cs="Times New Roman"/>
          <w:color w:val="auto"/>
          <w:lang w:val="lt-LT"/>
        </w:rPr>
      </w:pPr>
      <w:r w:rsidRPr="00D84F1A">
        <w:rPr>
          <w:color w:val="auto"/>
          <w:lang w:val="lt-LT"/>
        </w:rPr>
        <w:t>18.1.</w:t>
      </w:r>
      <w:r w:rsidR="00D84F1A" w:rsidRPr="00D84F1A">
        <w:rPr>
          <w:color w:val="auto"/>
          <w:lang w:val="lt-LT"/>
        </w:rPr>
        <w:t>6</w:t>
      </w:r>
      <w:r w:rsidR="00444495" w:rsidRPr="00D84F1A">
        <w:rPr>
          <w:color w:val="auto"/>
          <w:lang w:val="lt-LT"/>
        </w:rPr>
        <w:t xml:space="preserve">. </w:t>
      </w:r>
      <w:bookmarkStart w:id="0" w:name="_GoBack"/>
      <w:r w:rsidR="00444495" w:rsidRPr="00D84F1A">
        <w:rPr>
          <w:rFonts w:cs="Times New Roman"/>
          <w:color w:val="auto"/>
          <w:lang w:val="lt-LT"/>
        </w:rPr>
        <w:t>4 priedo</w:t>
      </w:r>
      <w:bookmarkEnd w:id="0"/>
      <w:r w:rsidR="00444495" w:rsidRPr="00D84F1A">
        <w:rPr>
          <w:rFonts w:cs="Times New Roman"/>
          <w:color w:val="auto"/>
          <w:lang w:val="lt-LT"/>
        </w:rPr>
        <w:t xml:space="preserve"> priedėlis. „</w:t>
      </w:r>
      <w:r w:rsidR="002E509D" w:rsidRPr="002E509D">
        <w:rPr>
          <w:rFonts w:cs="Times New Roman"/>
          <w:color w:val="auto"/>
          <w:lang w:val="lt-LT"/>
        </w:rPr>
        <w:t>Per paskutinius 3 metus patiektų prekių sąrašas</w:t>
      </w:r>
      <w:r w:rsidR="00444495" w:rsidRPr="00D84F1A">
        <w:rPr>
          <w:rFonts w:cs="Times New Roman"/>
          <w:color w:val="auto"/>
          <w:lang w:val="lt-LT"/>
        </w:rPr>
        <w:t>”;</w:t>
      </w:r>
    </w:p>
    <w:p w14:paraId="1D9693CE" w14:textId="61A123B2" w:rsidR="00444495" w:rsidRPr="00D84F1A" w:rsidRDefault="0031439A" w:rsidP="00444495">
      <w:pPr>
        <w:pStyle w:val="Body2"/>
        <w:ind w:firstLine="709"/>
        <w:rPr>
          <w:rFonts w:cs="Times New Roman"/>
          <w:color w:val="auto"/>
          <w:lang w:val="lt-LT"/>
        </w:rPr>
      </w:pPr>
      <w:r w:rsidRPr="00D84F1A">
        <w:rPr>
          <w:rFonts w:cs="Times New Roman"/>
          <w:color w:val="auto"/>
          <w:lang w:val="lt-LT"/>
        </w:rPr>
        <w:tab/>
        <w:t>18.1.</w:t>
      </w:r>
      <w:r w:rsidR="00D84F1A" w:rsidRPr="00D84F1A">
        <w:rPr>
          <w:rFonts w:cs="Times New Roman"/>
          <w:color w:val="auto"/>
          <w:lang w:val="lt-LT"/>
        </w:rPr>
        <w:t>7</w:t>
      </w:r>
      <w:r w:rsidR="00444495" w:rsidRPr="00D84F1A">
        <w:rPr>
          <w:rFonts w:cs="Times New Roman"/>
          <w:color w:val="auto"/>
          <w:lang w:val="lt-LT"/>
        </w:rPr>
        <w:t>. 5 priedas. ,,Europos bendrasis viešųjų pirkimų dokumentas (EBVPD)“;</w:t>
      </w:r>
    </w:p>
    <w:p w14:paraId="5BB3855E" w14:textId="06198448" w:rsidR="005F543C" w:rsidRDefault="0031439A" w:rsidP="00444495">
      <w:pPr>
        <w:pStyle w:val="Body2"/>
        <w:ind w:firstLine="709"/>
        <w:rPr>
          <w:rFonts w:cs="Times New Roman"/>
          <w:color w:val="auto"/>
          <w:lang w:val="lt-LT"/>
        </w:rPr>
      </w:pPr>
      <w:r w:rsidRPr="00D84F1A">
        <w:rPr>
          <w:rFonts w:cs="Times New Roman"/>
          <w:color w:val="auto"/>
          <w:lang w:val="lt-LT"/>
        </w:rPr>
        <w:t>18.1.</w:t>
      </w:r>
      <w:r w:rsidR="00D84F1A" w:rsidRPr="00D84F1A">
        <w:rPr>
          <w:rFonts w:cs="Times New Roman"/>
          <w:color w:val="auto"/>
          <w:lang w:val="lt-LT"/>
        </w:rPr>
        <w:t>8</w:t>
      </w:r>
      <w:r w:rsidR="00444495" w:rsidRPr="00D84F1A">
        <w:rPr>
          <w:rFonts w:cs="Times New Roman"/>
          <w:color w:val="auto"/>
          <w:lang w:val="lt-LT"/>
        </w:rPr>
        <w:t>. 6 priedas. „Tiekėjo deklaracija dėl atitikimo nacionalinio saugumo reikalavimams“</w:t>
      </w:r>
      <w:r w:rsidR="005F543C">
        <w:rPr>
          <w:rFonts w:cs="Times New Roman"/>
          <w:color w:val="auto"/>
          <w:lang w:val="lt-LT"/>
        </w:rPr>
        <w:t>;</w:t>
      </w:r>
    </w:p>
    <w:p w14:paraId="191B2CB3" w14:textId="12339843" w:rsidR="00444495" w:rsidRPr="00D84F1A" w:rsidRDefault="005F543C" w:rsidP="00444495">
      <w:pPr>
        <w:pStyle w:val="Body2"/>
        <w:ind w:firstLine="709"/>
        <w:rPr>
          <w:rFonts w:cs="Times New Roman"/>
          <w:color w:val="auto"/>
          <w:lang w:val="lt-LT"/>
        </w:rPr>
      </w:pPr>
      <w:r>
        <w:rPr>
          <w:rFonts w:cs="Times New Roman"/>
          <w:color w:val="auto"/>
          <w:lang w:val="lt-LT"/>
        </w:rPr>
        <w:t>18</w:t>
      </w:r>
      <w:r w:rsidR="001F2549">
        <w:rPr>
          <w:rFonts w:cs="Times New Roman"/>
          <w:color w:val="auto"/>
          <w:lang w:val="lt-LT"/>
        </w:rPr>
        <w:t>.</w:t>
      </w:r>
      <w:r>
        <w:rPr>
          <w:rFonts w:cs="Times New Roman"/>
          <w:color w:val="auto"/>
          <w:lang w:val="lt-LT"/>
        </w:rPr>
        <w:t xml:space="preserve">1.9. 7 priedas. </w:t>
      </w:r>
      <w:r>
        <w:rPr>
          <w:lang w:val="lt-LT"/>
        </w:rPr>
        <w:t>Gaminio pakuotės (ir/ar gaminio) atitikimo aplinkos apsaugos reikalavimams deklaracija.</w:t>
      </w:r>
    </w:p>
    <w:p w14:paraId="10947615" w14:textId="77777777" w:rsidR="00444495" w:rsidRPr="002B6096" w:rsidRDefault="00444495" w:rsidP="00444495">
      <w:pPr>
        <w:pStyle w:val="Body2"/>
        <w:spacing w:after="0"/>
        <w:ind w:firstLine="709"/>
        <w:rPr>
          <w:rFonts w:cs="Times New Roman"/>
          <w:color w:val="000000" w:themeColor="text1"/>
          <w:lang w:val="lt-LT"/>
        </w:rPr>
      </w:pPr>
    </w:p>
    <w:p w14:paraId="5D5C078A" w14:textId="14FD51C4" w:rsidR="005E5855" w:rsidRPr="000F5ABE" w:rsidRDefault="005E5855" w:rsidP="00444495">
      <w:pPr>
        <w:pStyle w:val="Body2"/>
        <w:ind w:firstLine="720"/>
        <w:rPr>
          <w:lang w:val="lt-LT"/>
        </w:rPr>
      </w:pPr>
    </w:p>
    <w:sectPr w:rsidR="005E5855" w:rsidRPr="000F5ABE">
      <w:headerReference w:type="default" r:id="rId15"/>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CABFA" w14:textId="77777777" w:rsidR="00F45D73" w:rsidRDefault="00F45D73">
      <w:r>
        <w:separator/>
      </w:r>
    </w:p>
  </w:endnote>
  <w:endnote w:type="continuationSeparator" w:id="0">
    <w:p w14:paraId="56BCF446" w14:textId="77777777" w:rsidR="00F45D73" w:rsidRDefault="00F4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15694A1D" w:rsidR="00734F21"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E509D">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E509D">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6E5DC" w14:textId="77777777" w:rsidR="00F45D73" w:rsidRDefault="00F45D73">
      <w:r>
        <w:separator/>
      </w:r>
    </w:p>
  </w:footnote>
  <w:footnote w:type="continuationSeparator" w:id="0">
    <w:p w14:paraId="54185392" w14:textId="77777777" w:rsidR="00F45D73" w:rsidRDefault="00F45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12D53"/>
    <w:multiLevelType w:val="multilevel"/>
    <w:tmpl w:val="0CBAA0EE"/>
    <w:lvl w:ilvl="0">
      <w:start w:val="1"/>
      <w:numFmt w:val="decimal"/>
      <w:lvlText w:val="%1."/>
      <w:lvlJc w:val="left"/>
      <w:pPr>
        <w:ind w:left="405" w:hanging="405"/>
      </w:pPr>
      <w:rPr>
        <w:rFonts w:hint="default"/>
      </w:rPr>
    </w:lvl>
    <w:lvl w:ilvl="1">
      <w:start w:val="1"/>
      <w:numFmt w:val="decimal"/>
      <w:lvlText w:val="%1.%2."/>
      <w:lvlJc w:val="left"/>
      <w:pPr>
        <w:ind w:left="830"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0BD1"/>
    <w:rsid w:val="00041E52"/>
    <w:rsid w:val="000C4F68"/>
    <w:rsid w:val="000C5A59"/>
    <w:rsid w:val="000C68F6"/>
    <w:rsid w:val="000F5ABE"/>
    <w:rsid w:val="001125E3"/>
    <w:rsid w:val="00121CDA"/>
    <w:rsid w:val="00142A2B"/>
    <w:rsid w:val="001E0E57"/>
    <w:rsid w:val="001E7BF8"/>
    <w:rsid w:val="001F2549"/>
    <w:rsid w:val="00205AB1"/>
    <w:rsid w:val="00215206"/>
    <w:rsid w:val="00242577"/>
    <w:rsid w:val="00252756"/>
    <w:rsid w:val="002772AA"/>
    <w:rsid w:val="002E509D"/>
    <w:rsid w:val="002F20E1"/>
    <w:rsid w:val="002F7165"/>
    <w:rsid w:val="002F77D5"/>
    <w:rsid w:val="0031439A"/>
    <w:rsid w:val="00375709"/>
    <w:rsid w:val="00386FFE"/>
    <w:rsid w:val="004365D9"/>
    <w:rsid w:val="00444495"/>
    <w:rsid w:val="004E7D37"/>
    <w:rsid w:val="005E5855"/>
    <w:rsid w:val="005F543C"/>
    <w:rsid w:val="00632FEA"/>
    <w:rsid w:val="00636660"/>
    <w:rsid w:val="006530E7"/>
    <w:rsid w:val="006A0A77"/>
    <w:rsid w:val="006A3FD4"/>
    <w:rsid w:val="006B4340"/>
    <w:rsid w:val="006C2DD7"/>
    <w:rsid w:val="007C39A3"/>
    <w:rsid w:val="007D2A99"/>
    <w:rsid w:val="008256FC"/>
    <w:rsid w:val="00845A94"/>
    <w:rsid w:val="0085508F"/>
    <w:rsid w:val="008F127C"/>
    <w:rsid w:val="008F6F0A"/>
    <w:rsid w:val="009161A5"/>
    <w:rsid w:val="009213FC"/>
    <w:rsid w:val="00951A7D"/>
    <w:rsid w:val="00985AA1"/>
    <w:rsid w:val="0099639A"/>
    <w:rsid w:val="009A2DE5"/>
    <w:rsid w:val="009C7FFC"/>
    <w:rsid w:val="00A4004E"/>
    <w:rsid w:val="00AA0DA7"/>
    <w:rsid w:val="00AB7727"/>
    <w:rsid w:val="00BA483A"/>
    <w:rsid w:val="00BA7F09"/>
    <w:rsid w:val="00C00913"/>
    <w:rsid w:val="00C03F0A"/>
    <w:rsid w:val="00C30E1D"/>
    <w:rsid w:val="00C326CA"/>
    <w:rsid w:val="00C7571D"/>
    <w:rsid w:val="00C94CA8"/>
    <w:rsid w:val="00D247E4"/>
    <w:rsid w:val="00D84F1A"/>
    <w:rsid w:val="00DC4367"/>
    <w:rsid w:val="00EB1AC6"/>
    <w:rsid w:val="00ED0CDC"/>
    <w:rsid w:val="00EF4404"/>
    <w:rsid w:val="00F45D73"/>
    <w:rsid w:val="00F84EBC"/>
    <w:rsid w:val="00F947DC"/>
    <w:rsid w:val="00FE7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A4004E"/>
    <w:rPr>
      <w:color w:val="0563C1" w:themeColor="hyperlink"/>
      <w:u w:val="single"/>
    </w:rPr>
  </w:style>
  <w:style w:type="paragraph" w:styleId="BalloonText">
    <w:name w:val="Balloon Text"/>
    <w:basedOn w:val="Normal"/>
    <w:link w:val="BalloonTextChar"/>
    <w:uiPriority w:val="99"/>
    <w:semiHidden/>
    <w:unhideWhenUsed/>
    <w:rsid w:val="006A0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A77"/>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6A0A77"/>
    <w:rPr>
      <w:sz w:val="16"/>
      <w:szCs w:val="16"/>
    </w:rPr>
  </w:style>
  <w:style w:type="paragraph" w:styleId="CommentText">
    <w:name w:val="annotation text"/>
    <w:basedOn w:val="Normal"/>
    <w:link w:val="CommentTextChar"/>
    <w:uiPriority w:val="99"/>
    <w:semiHidden/>
    <w:unhideWhenUsed/>
    <w:rsid w:val="006A0A77"/>
    <w:rPr>
      <w:sz w:val="20"/>
      <w:szCs w:val="20"/>
    </w:rPr>
  </w:style>
  <w:style w:type="character" w:customStyle="1" w:styleId="CommentTextChar">
    <w:name w:val="Comment Text Char"/>
    <w:basedOn w:val="DefaultParagraphFont"/>
    <w:link w:val="CommentText"/>
    <w:uiPriority w:val="99"/>
    <w:semiHidden/>
    <w:rsid w:val="006A0A77"/>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6A0A77"/>
    <w:rPr>
      <w:b/>
      <w:bCs/>
    </w:rPr>
  </w:style>
  <w:style w:type="character" w:customStyle="1" w:styleId="CommentSubjectChar">
    <w:name w:val="Comment Subject Char"/>
    <w:basedOn w:val="CommentTextChar"/>
    <w:link w:val="CommentSubject"/>
    <w:uiPriority w:val="99"/>
    <w:semiHidden/>
    <w:rsid w:val="006A0A77"/>
    <w:rPr>
      <w:rFonts w:ascii="Times New Roman" w:eastAsia="Arial Unicode MS" w:hAnsi="Times New Roman" w:cs="Times New Roman"/>
      <w:b/>
      <w:bCs/>
      <w:sz w:val="20"/>
      <w:szCs w:val="20"/>
      <w:bdr w:val="nil"/>
    </w:rPr>
  </w:style>
  <w:style w:type="table" w:styleId="TableGrid">
    <w:name w:val="Table Grid"/>
    <w:basedOn w:val="TableNormal"/>
    <w:uiPriority w:val="39"/>
    <w:rsid w:val="00030BD1"/>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mune.skliaustiene@kam.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aniele.antanaviciute@kam.lt"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hyperlink" Target="mailto:daniele.antanaviciut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7388</Words>
  <Characters>42112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8</cp:revision>
  <dcterms:created xsi:type="dcterms:W3CDTF">2025-11-05T12:09:00Z</dcterms:created>
  <dcterms:modified xsi:type="dcterms:W3CDTF">2025-11-17T13:41:00Z</dcterms:modified>
</cp:coreProperties>
</file>