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4"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4"/>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lastRenderedPageBreak/>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5" w:name="_Toc134703656"/>
      <w:r w:rsidR="007B2DBE" w:rsidRPr="007B2DBE">
        <w:rPr>
          <w:rFonts w:asciiTheme="minorHAnsi" w:hAnsiTheme="minorHAnsi" w:cstheme="minorHAnsi"/>
          <w:b/>
          <w:bCs/>
          <w:color w:val="002060"/>
        </w:rPr>
        <w:t>Rėmimasis ūkio subjektų pajėgumais</w:t>
      </w:r>
      <w:bookmarkEnd w:id="25"/>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6"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6"/>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7" w:name="_Toc134703657"/>
      <w:r w:rsidRPr="007B2DBE">
        <w:rPr>
          <w:rFonts w:asciiTheme="minorHAnsi" w:hAnsiTheme="minorHAnsi" w:cstheme="minorHAnsi"/>
          <w:b/>
          <w:bCs/>
          <w:color w:val="002060"/>
        </w:rPr>
        <w:t>Subtiekėjų pasitelkimas</w:t>
      </w:r>
      <w:bookmarkEnd w:id="27"/>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lastRenderedPageBreak/>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8" w:name="_Ref39668380"/>
      <w:bookmarkStart w:id="29" w:name="_Ref39668383"/>
      <w:bookmarkStart w:id="30" w:name="_Toc134703658"/>
      <w:r w:rsidRPr="000E4DA6">
        <w:rPr>
          <w:rFonts w:asciiTheme="minorHAnsi" w:hAnsiTheme="minorHAnsi" w:cstheme="minorHAnsi"/>
          <w:b/>
          <w:bCs/>
          <w:color w:val="002060"/>
        </w:rPr>
        <w:t>Tiekėjų grupės dalyvavimas</w:t>
      </w:r>
      <w:bookmarkEnd w:id="28"/>
      <w:bookmarkEnd w:id="29"/>
      <w:bookmarkEnd w:id="30"/>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1" w:name="_Toc48053171"/>
      <w:bookmarkStart w:id="32" w:name="_Toc85698576"/>
      <w:bookmarkStart w:id="33" w:name="_Toc86176527"/>
      <w:bookmarkStart w:id="34" w:name="_Toc134703659"/>
      <w:r w:rsidRPr="00AB6038">
        <w:rPr>
          <w:rFonts w:asciiTheme="minorHAnsi" w:hAnsiTheme="minorHAnsi" w:cstheme="minorHAnsi"/>
          <w:b/>
          <w:bCs/>
          <w:color w:val="002060"/>
        </w:rPr>
        <w:t>Reikalavimai pasiūlymų rengimui ir pateikimui</w:t>
      </w:r>
      <w:bookmarkEnd w:id="31"/>
      <w:bookmarkEnd w:id="32"/>
      <w:bookmarkEnd w:id="33"/>
      <w:bookmarkEnd w:id="34"/>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lastRenderedPageBreak/>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5" w:name="_Toc134703660"/>
      <w:r>
        <w:rPr>
          <w:rFonts w:asciiTheme="minorHAnsi" w:hAnsiTheme="minorHAnsi" w:cstheme="minorHAnsi"/>
          <w:b/>
          <w:bCs/>
          <w:color w:val="002060"/>
        </w:rPr>
        <w:t>Susipažinimas su pasiūlymais</w:t>
      </w:r>
      <w:bookmarkEnd w:id="35"/>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lastRenderedPageBreak/>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6"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6"/>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7" w:name="_GALUTINIŲ_PASIŪLYMŲ_VERTINIMAS"/>
      <w:bookmarkStart w:id="38" w:name="_Toc15392775"/>
      <w:bookmarkStart w:id="39" w:name="_Toc85698580"/>
      <w:bookmarkStart w:id="40" w:name="_Toc86176531"/>
      <w:bookmarkStart w:id="41" w:name="_Toc134703661"/>
      <w:bookmarkEnd w:id="37"/>
      <w:r w:rsidRPr="002B7271">
        <w:rPr>
          <w:rFonts w:asciiTheme="minorHAnsi" w:hAnsiTheme="minorHAnsi" w:cstheme="minorHAnsi"/>
          <w:b/>
          <w:bCs/>
          <w:color w:val="002060"/>
        </w:rPr>
        <w:t>Pasiūlymų vertinimas</w:t>
      </w:r>
      <w:bookmarkEnd w:id="38"/>
      <w:bookmarkEnd w:id="39"/>
      <w:bookmarkEnd w:id="40"/>
      <w:bookmarkEnd w:id="41"/>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lastRenderedPageBreak/>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2"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3" w:name="_Toc85698581"/>
      <w:bookmarkStart w:id="44" w:name="_Toc86176532"/>
      <w:bookmarkStart w:id="45" w:name="_Toc134703662"/>
      <w:r w:rsidRPr="001566DB">
        <w:rPr>
          <w:rFonts w:asciiTheme="minorHAnsi" w:hAnsiTheme="minorHAnsi" w:cstheme="minorHAnsi"/>
          <w:b/>
          <w:bCs/>
          <w:color w:val="002060"/>
        </w:rPr>
        <w:t xml:space="preserve">Pasiūlymų atmetimo </w:t>
      </w:r>
      <w:bookmarkEnd w:id="42"/>
      <w:bookmarkEnd w:id="43"/>
      <w:bookmarkEnd w:id="44"/>
      <w:r w:rsidRPr="001566DB">
        <w:rPr>
          <w:rFonts w:asciiTheme="minorHAnsi" w:hAnsiTheme="minorHAnsi" w:cstheme="minorHAnsi"/>
          <w:b/>
          <w:bCs/>
          <w:color w:val="002060"/>
        </w:rPr>
        <w:t>pagrindai</w:t>
      </w:r>
      <w:bookmarkEnd w:id="45"/>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lastRenderedPageBreak/>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40604728"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9069E5">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6" w:name="_Ref40443104"/>
      <w:bookmarkStart w:id="47" w:name="_Toc48053180"/>
      <w:bookmarkStart w:id="48" w:name="_Toc85698582"/>
      <w:bookmarkStart w:id="49" w:name="_Toc86176533"/>
      <w:bookmarkStart w:id="50" w:name="_Toc134703663"/>
      <w:r w:rsidRPr="001566DB">
        <w:rPr>
          <w:rFonts w:asciiTheme="minorHAnsi" w:hAnsiTheme="minorHAnsi" w:cstheme="minorHAnsi"/>
          <w:b/>
          <w:bCs/>
          <w:color w:val="002060"/>
        </w:rPr>
        <w:t>Pasiūlymų eilė ir laimėtojo nustatymas</w:t>
      </w:r>
      <w:bookmarkEnd w:id="46"/>
      <w:bookmarkEnd w:id="47"/>
      <w:bookmarkEnd w:id="48"/>
      <w:bookmarkEnd w:id="49"/>
      <w:bookmarkEnd w:id="50"/>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lastRenderedPageBreak/>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1" w:name="_Ref40443308"/>
      <w:bookmarkStart w:id="52"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3" w:name="_Toc85698583"/>
      <w:bookmarkStart w:id="54" w:name="_Toc86176534"/>
      <w:bookmarkStart w:id="55" w:name="_Toc134703664"/>
      <w:r w:rsidRPr="001566DB">
        <w:rPr>
          <w:rFonts w:asciiTheme="minorHAnsi" w:hAnsiTheme="minorHAnsi" w:cstheme="minorHAnsi"/>
          <w:b/>
          <w:bCs/>
          <w:color w:val="002060"/>
        </w:rPr>
        <w:t>Informavimas apie pirkimo procedūrų rezultatus</w:t>
      </w:r>
      <w:bookmarkEnd w:id="51"/>
      <w:bookmarkEnd w:id="52"/>
      <w:bookmarkEnd w:id="53"/>
      <w:bookmarkEnd w:id="54"/>
      <w:bookmarkEnd w:id="55"/>
    </w:p>
    <w:p w14:paraId="31B015CF" w14:textId="7A491272"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6" w:name="_Ref39425999"/>
      <w:bookmarkStart w:id="57" w:name="_Ref39426005"/>
      <w:bookmarkStart w:id="58"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sidR="00AA2BFE">
        <w:rPr>
          <w:color w:val="000000"/>
        </w:rPr>
        <w:t>pirkimui pasiūlym</w:t>
      </w:r>
      <w:r w:rsidR="005F4DC8">
        <w:rPr>
          <w:color w:val="000000"/>
        </w:rPr>
        <w:t>us</w:t>
      </w:r>
      <w:r w:rsidR="00AA2BFE">
        <w:rPr>
          <w:color w:val="000000"/>
        </w:rPr>
        <w:t xml:space="preserve"> pateik</w:t>
      </w:r>
      <w:r w:rsidR="00AA2BFE">
        <w:rPr>
          <w:color w:val="000000"/>
        </w:rPr>
        <w:t>usius</w:t>
      </w:r>
      <w:r w:rsidR="00AA2BFE">
        <w:rPr>
          <w:color w:val="000000"/>
        </w:rPr>
        <w:t xml:space="preserve"> tiekėj</w:t>
      </w:r>
      <w:r w:rsidR="00AA2BFE">
        <w:rPr>
          <w:color w:val="000000"/>
        </w:rPr>
        <w:t xml:space="preserve">us </w:t>
      </w:r>
      <w:r w:rsidR="005F4DC8">
        <w:rPr>
          <w:color w:val="000000"/>
        </w:rPr>
        <w:t>i</w:t>
      </w:r>
      <w:r w:rsidR="5C1D5905" w:rsidRPr="001566DB">
        <w:rPr>
          <w:rFonts w:eastAsia="Arial" w:cstheme="minorHAnsi"/>
        </w:rPr>
        <w:t>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9" w:name="_Toc85698584"/>
      <w:bookmarkStart w:id="60" w:name="_Toc86176535"/>
      <w:bookmarkStart w:id="61" w:name="_Toc124749448"/>
      <w:bookmarkStart w:id="62" w:name="_Toc134703665"/>
      <w:r w:rsidRPr="001566DB">
        <w:rPr>
          <w:rFonts w:asciiTheme="minorHAnsi" w:hAnsiTheme="minorHAnsi" w:cstheme="minorHAnsi"/>
          <w:b/>
          <w:bCs/>
          <w:color w:val="002060"/>
        </w:rPr>
        <w:t>Sutarties sudarymas</w:t>
      </w:r>
      <w:bookmarkEnd w:id="56"/>
      <w:bookmarkEnd w:id="57"/>
      <w:bookmarkEnd w:id="58"/>
      <w:bookmarkEnd w:id="59"/>
      <w:bookmarkEnd w:id="60"/>
      <w:bookmarkEnd w:id="61"/>
      <w:bookmarkEnd w:id="62"/>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lastRenderedPageBreak/>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3" w:name="_Toc85698585"/>
      <w:bookmarkStart w:id="64" w:name="_Toc86176536"/>
      <w:bookmarkStart w:id="65" w:name="_Toc124749449"/>
      <w:bookmarkStart w:id="66"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3"/>
      <w:bookmarkEnd w:id="64"/>
      <w:bookmarkEnd w:id="65"/>
      <w:bookmarkEnd w:id="66"/>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02DEF" w14:textId="77777777" w:rsidR="00253CD2" w:rsidRDefault="00253CD2" w:rsidP="00D05666">
      <w:r>
        <w:separator/>
      </w:r>
    </w:p>
  </w:endnote>
  <w:endnote w:type="continuationSeparator" w:id="0">
    <w:p w14:paraId="00948BD1" w14:textId="77777777" w:rsidR="00253CD2" w:rsidRDefault="00253CD2" w:rsidP="00D05666">
      <w:r>
        <w:continuationSeparator/>
      </w:r>
    </w:p>
  </w:endnote>
  <w:endnote w:type="continuationNotice" w:id="1">
    <w:p w14:paraId="59349CC7" w14:textId="77777777" w:rsidR="00253CD2" w:rsidRDefault="00253C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29B96" w14:textId="77777777" w:rsidR="00253CD2" w:rsidRDefault="00253CD2" w:rsidP="00D05666">
      <w:r>
        <w:separator/>
      </w:r>
    </w:p>
  </w:footnote>
  <w:footnote w:type="continuationSeparator" w:id="0">
    <w:p w14:paraId="5A6BA64A" w14:textId="77777777" w:rsidR="00253CD2" w:rsidRDefault="00253CD2" w:rsidP="00D05666">
      <w:r>
        <w:continuationSeparator/>
      </w:r>
    </w:p>
  </w:footnote>
  <w:footnote w:type="continuationNotice" w:id="1">
    <w:p w14:paraId="5234C6E2" w14:textId="77777777" w:rsidR="00253CD2" w:rsidRDefault="00253CD2">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1C4D"/>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3CD2"/>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076"/>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2D3"/>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4DC8"/>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AC5"/>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69E5"/>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2BFE"/>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600"/>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4B7"/>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B6D9C"/>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 w:val="00FD44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15</Pages>
  <Words>33048</Words>
  <Characters>18838</Characters>
  <Application>Microsoft Office Word</Application>
  <DocSecurity>0</DocSecurity>
  <Lines>156</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Donata Jankovičienė</cp:lastModifiedBy>
  <cp:revision>6</cp:revision>
  <dcterms:created xsi:type="dcterms:W3CDTF">2025-10-14T12:42:00Z</dcterms:created>
  <dcterms:modified xsi:type="dcterms:W3CDTF">2025-11-04T11:05:00Z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