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5532A6DB"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BE268E">
        <w:rPr>
          <w:rFonts w:cs="Times New Roman"/>
          <w:bCs/>
          <w:szCs w:val="24"/>
        </w:rPr>
        <w:t>11</w:t>
      </w:r>
      <w:r w:rsidR="00270ED1" w:rsidRPr="00154595">
        <w:rPr>
          <w:rFonts w:cs="Times New Roman"/>
          <w:bCs/>
          <w:szCs w:val="24"/>
        </w:rPr>
        <w:t>-</w:t>
      </w:r>
      <w:r w:rsidR="00130DEA">
        <w:rPr>
          <w:rFonts w:cs="Times New Roman"/>
          <w:bCs/>
          <w:szCs w:val="24"/>
        </w:rPr>
        <w:t>19</w:t>
      </w:r>
    </w:p>
    <w:p w14:paraId="269442EC" w14:textId="739F30E0"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130DEA">
        <w:t>2025-PROT-PlungRSA-279</w:t>
      </w:r>
      <w:bookmarkStart w:id="0" w:name="_GoBack"/>
      <w:bookmarkEnd w:id="0"/>
    </w:p>
    <w:p w14:paraId="30AD9C8F" w14:textId="77777777" w:rsidR="00774FC3" w:rsidRPr="0076454D" w:rsidRDefault="00774FC3" w:rsidP="00371163">
      <w:pPr>
        <w:jc w:val="both"/>
        <w:rPr>
          <w:rFonts w:eastAsia="Times New Roman" w:cs="Times New Roman"/>
          <w:szCs w:val="20"/>
          <w:lang w:eastAsia="en-US"/>
        </w:rPr>
      </w:pPr>
    </w:p>
    <w:p w14:paraId="1D890FBC" w14:textId="00337F24" w:rsidR="001704FD" w:rsidRPr="00BE268E" w:rsidRDefault="00BE268E" w:rsidP="00BE268E">
      <w:pPr>
        <w:suppressAutoHyphens/>
        <w:jc w:val="center"/>
        <w:rPr>
          <w:rFonts w:cs="Times New Roman"/>
          <w:b/>
          <w:bCs/>
        </w:rPr>
      </w:pPr>
      <w:r w:rsidRPr="00BE268E">
        <w:rPr>
          <w:rFonts w:cs="Times New Roman"/>
          <w:b/>
          <w:bCs/>
        </w:rPr>
        <w:t>ŽALIŲJŲ ATLIEKŲ SURINKIMO, TRANSPORTAVIMO IR SUTVARKYMO PLUNGĖS RAJONO SAVIVALDYBĖS</w:t>
      </w:r>
      <w:r>
        <w:rPr>
          <w:rFonts w:cs="Times New Roman"/>
          <w:b/>
          <w:bCs/>
        </w:rPr>
        <w:t xml:space="preserve"> </w:t>
      </w:r>
      <w:r w:rsidRPr="00BE268E">
        <w:rPr>
          <w:rFonts w:cs="Times New Roman"/>
          <w:b/>
          <w:bCs/>
        </w:rPr>
        <w:t>TERITORIJOJE PASLAUGOS TEIKIMAS</w:t>
      </w:r>
    </w:p>
    <w:p w14:paraId="5DF2CADD" w14:textId="77777777" w:rsidR="00BE268E" w:rsidRPr="001704FD" w:rsidRDefault="00BE268E" w:rsidP="00BE268E">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2C1D8B59"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772D27">
          <w:rPr>
            <w:b w:val="0"/>
            <w:noProof/>
            <w:webHidden/>
          </w:rPr>
          <w:t>2</w:t>
        </w:r>
        <w:r w:rsidR="00CC68D9" w:rsidRPr="00CC68D9">
          <w:rPr>
            <w:b w:val="0"/>
            <w:noProof/>
            <w:webHidden/>
          </w:rPr>
          <w:fldChar w:fldCharType="end"/>
        </w:r>
      </w:hyperlink>
    </w:p>
    <w:p w14:paraId="75064E26" w14:textId="2C4E1714" w:rsidR="00CC68D9" w:rsidRPr="00CC68D9" w:rsidRDefault="00157BAD"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772D27">
          <w:rPr>
            <w:b w:val="0"/>
            <w:noProof/>
            <w:webHidden/>
          </w:rPr>
          <w:t>3</w:t>
        </w:r>
        <w:r w:rsidR="00CC68D9" w:rsidRPr="00CC68D9">
          <w:rPr>
            <w:b w:val="0"/>
            <w:noProof/>
            <w:webHidden/>
          </w:rPr>
          <w:fldChar w:fldCharType="end"/>
        </w:r>
      </w:hyperlink>
    </w:p>
    <w:p w14:paraId="0DF0F714" w14:textId="5C964931" w:rsidR="00CC68D9" w:rsidRPr="00CC68D9" w:rsidRDefault="00157BAD"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772D27">
          <w:rPr>
            <w:b w:val="0"/>
            <w:noProof/>
            <w:webHidden/>
          </w:rPr>
          <w:t>4</w:t>
        </w:r>
        <w:r w:rsidR="00CC68D9" w:rsidRPr="00CC68D9">
          <w:rPr>
            <w:b w:val="0"/>
            <w:noProof/>
            <w:webHidden/>
          </w:rPr>
          <w:fldChar w:fldCharType="end"/>
        </w:r>
      </w:hyperlink>
    </w:p>
    <w:p w14:paraId="704363B3" w14:textId="29A1EF38" w:rsidR="00CC68D9" w:rsidRPr="00CC68D9" w:rsidRDefault="00157BAD"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772D27">
          <w:rPr>
            <w:b w:val="0"/>
            <w:noProof/>
            <w:webHidden/>
          </w:rPr>
          <w:t>7</w:t>
        </w:r>
        <w:r w:rsidR="00CC68D9" w:rsidRPr="00CC68D9">
          <w:rPr>
            <w:b w:val="0"/>
            <w:noProof/>
            <w:webHidden/>
          </w:rPr>
          <w:fldChar w:fldCharType="end"/>
        </w:r>
      </w:hyperlink>
    </w:p>
    <w:p w14:paraId="6454B506" w14:textId="4B98269B" w:rsidR="00CC68D9" w:rsidRPr="00CC68D9" w:rsidRDefault="00157BAD"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772D27">
          <w:rPr>
            <w:b w:val="0"/>
            <w:noProof/>
            <w:webHidden/>
          </w:rPr>
          <w:t>7</w:t>
        </w:r>
        <w:r w:rsidR="00CC68D9" w:rsidRPr="00CC68D9">
          <w:rPr>
            <w:b w:val="0"/>
            <w:noProof/>
            <w:webHidden/>
          </w:rPr>
          <w:fldChar w:fldCharType="end"/>
        </w:r>
      </w:hyperlink>
    </w:p>
    <w:p w14:paraId="20B18FB5" w14:textId="16DC39E1" w:rsidR="00CC68D9" w:rsidRPr="00CC68D9" w:rsidRDefault="00157BAD"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772D27">
          <w:rPr>
            <w:b w:val="0"/>
            <w:noProof/>
            <w:webHidden/>
          </w:rPr>
          <w:t>7</w:t>
        </w:r>
        <w:r w:rsidR="00CC68D9" w:rsidRPr="00CC68D9">
          <w:rPr>
            <w:b w:val="0"/>
            <w:noProof/>
            <w:webHidden/>
          </w:rPr>
          <w:fldChar w:fldCharType="end"/>
        </w:r>
      </w:hyperlink>
    </w:p>
    <w:p w14:paraId="56E2D524" w14:textId="2C6731E0" w:rsidR="00CC68D9" w:rsidRPr="00CC68D9" w:rsidRDefault="00157BAD"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772D27">
          <w:rPr>
            <w:b w:val="0"/>
            <w:noProof/>
            <w:webHidden/>
          </w:rPr>
          <w:t>10</w:t>
        </w:r>
        <w:r w:rsidR="00CC68D9" w:rsidRPr="00CC68D9">
          <w:rPr>
            <w:b w:val="0"/>
            <w:noProof/>
            <w:webHidden/>
          </w:rPr>
          <w:fldChar w:fldCharType="end"/>
        </w:r>
      </w:hyperlink>
    </w:p>
    <w:p w14:paraId="57179D5E" w14:textId="6B1989F4" w:rsidR="00CC68D9" w:rsidRPr="00CC68D9" w:rsidRDefault="00157BAD"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772D27">
          <w:rPr>
            <w:b w:val="0"/>
            <w:noProof/>
            <w:webHidden/>
          </w:rPr>
          <w:t>11</w:t>
        </w:r>
        <w:r w:rsidR="00CC68D9" w:rsidRPr="00CC68D9">
          <w:rPr>
            <w:b w:val="0"/>
            <w:noProof/>
            <w:webHidden/>
          </w:rPr>
          <w:fldChar w:fldCharType="end"/>
        </w:r>
      </w:hyperlink>
    </w:p>
    <w:p w14:paraId="3FFD1071" w14:textId="735C62B2" w:rsidR="00CC68D9" w:rsidRPr="00CC68D9" w:rsidRDefault="00157BAD"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772D27">
          <w:rPr>
            <w:b w:val="0"/>
            <w:noProof/>
            <w:webHidden/>
          </w:rPr>
          <w:t>11</w:t>
        </w:r>
        <w:r w:rsidR="00CC68D9" w:rsidRPr="00CC68D9">
          <w:rPr>
            <w:b w:val="0"/>
            <w:noProof/>
            <w:webHidden/>
          </w:rPr>
          <w:fldChar w:fldCharType="end"/>
        </w:r>
      </w:hyperlink>
    </w:p>
    <w:p w14:paraId="6A6C8B1A" w14:textId="309E82AD" w:rsidR="00CC68D9" w:rsidRPr="00CC68D9" w:rsidRDefault="00157BAD"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772D27">
          <w:rPr>
            <w:b w:val="0"/>
            <w:noProof/>
            <w:webHidden/>
          </w:rPr>
          <w:t>13</w:t>
        </w:r>
        <w:r w:rsidR="00CC68D9" w:rsidRPr="00CC68D9">
          <w:rPr>
            <w:b w:val="0"/>
            <w:noProof/>
            <w:webHidden/>
          </w:rPr>
          <w:fldChar w:fldCharType="end"/>
        </w:r>
      </w:hyperlink>
    </w:p>
    <w:p w14:paraId="61214C4B" w14:textId="152EE428" w:rsidR="00CC68D9" w:rsidRPr="00CC68D9" w:rsidRDefault="00157BAD"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772D27">
          <w:rPr>
            <w:b w:val="0"/>
            <w:noProof/>
            <w:webHidden/>
          </w:rPr>
          <w:t>13</w:t>
        </w:r>
        <w:r w:rsidR="00CC68D9" w:rsidRPr="00CC68D9">
          <w:rPr>
            <w:b w:val="0"/>
            <w:noProof/>
            <w:webHidden/>
          </w:rPr>
          <w:fldChar w:fldCharType="end"/>
        </w:r>
      </w:hyperlink>
    </w:p>
    <w:p w14:paraId="5578D002" w14:textId="74E73AE0" w:rsidR="00CC68D9" w:rsidRPr="00CC68D9" w:rsidRDefault="00157BAD"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772D27">
          <w:rPr>
            <w:b w:val="0"/>
            <w:noProof/>
            <w:webHidden/>
          </w:rPr>
          <w:t>14</w:t>
        </w:r>
        <w:r w:rsidR="00CC68D9" w:rsidRPr="00CC68D9">
          <w:rPr>
            <w:b w:val="0"/>
            <w:noProof/>
            <w:webHidden/>
          </w:rPr>
          <w:fldChar w:fldCharType="end"/>
        </w:r>
      </w:hyperlink>
    </w:p>
    <w:p w14:paraId="16D0B2BF" w14:textId="19399902" w:rsidR="00CC68D9" w:rsidRPr="00CC68D9" w:rsidRDefault="00157BAD"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772D27">
          <w:rPr>
            <w:b w:val="0"/>
            <w:noProof/>
            <w:webHidden/>
          </w:rPr>
          <w:t>15</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3C728CF5" w:rsidR="00ED27A5" w:rsidRP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E2642">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4EF766EE" w14:textId="77777777" w:rsidR="001F08B5" w:rsidRDefault="00FB59AF" w:rsidP="001F08B5">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379B6C0E" w14:textId="37C20B72" w:rsidR="001F08B5" w:rsidRPr="001F08B5" w:rsidRDefault="001F08B5" w:rsidP="001F08B5">
      <w:pPr>
        <w:numPr>
          <w:ilvl w:val="1"/>
          <w:numId w:val="1"/>
        </w:numPr>
        <w:tabs>
          <w:tab w:val="left" w:pos="1134"/>
        </w:tabs>
        <w:ind w:left="0" w:firstLine="567"/>
        <w:jc w:val="both"/>
        <w:rPr>
          <w:rFonts w:eastAsia="Calibri" w:cs="Times New Roman"/>
          <w:szCs w:val="24"/>
          <w:lang w:eastAsia="en-US"/>
        </w:rPr>
      </w:pPr>
      <w:r w:rsidRPr="001F08B5">
        <w:rPr>
          <w:b/>
        </w:rPr>
        <w:t xml:space="preserve">Kvazisubtiekėjas </w:t>
      </w:r>
      <w:r w:rsidRPr="001F08B5">
        <w:rPr>
          <w:rFonts w:cstheme="minorHAnsi"/>
        </w:rPr>
        <w:t>–</w:t>
      </w:r>
      <w:r w:rsidRPr="001F08B5">
        <w:rPr>
          <w:b/>
        </w:rPr>
        <w:t xml:space="preserve"> </w:t>
      </w:r>
      <w:r w:rsidRPr="001F08B5">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59F19DC" w14:textId="00FE7F04" w:rsidR="00977758" w:rsidRPr="001F08B5" w:rsidRDefault="00977758" w:rsidP="001F08B5">
      <w:pPr>
        <w:pStyle w:val="Sraopastraipa"/>
        <w:numPr>
          <w:ilvl w:val="1"/>
          <w:numId w:val="1"/>
        </w:numPr>
        <w:tabs>
          <w:tab w:val="left" w:pos="1134"/>
        </w:tabs>
        <w:spacing w:after="120" w:line="20" w:lineRule="atLeast"/>
        <w:ind w:left="0" w:firstLine="567"/>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35A26D6B" w14:textId="77777777" w:rsidR="001F08B5" w:rsidRPr="00294EC1" w:rsidRDefault="001F08B5" w:rsidP="001F08B5">
      <w:pPr>
        <w:pStyle w:val="Sraopastraipa"/>
        <w:numPr>
          <w:ilvl w:val="1"/>
          <w:numId w:val="1"/>
        </w:numPr>
        <w:tabs>
          <w:tab w:val="left" w:pos="1134"/>
        </w:tabs>
        <w:spacing w:after="120" w:line="20" w:lineRule="atLeast"/>
        <w:ind w:left="0" w:firstLine="567"/>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3E5B5B8C" w14:textId="5C9F26F0" w:rsidR="001F08B5" w:rsidRPr="001F08B5" w:rsidRDefault="001F08B5" w:rsidP="001F08B5">
      <w:pPr>
        <w:pStyle w:val="Sraopastraipa"/>
        <w:numPr>
          <w:ilvl w:val="1"/>
          <w:numId w:val="1"/>
        </w:numPr>
        <w:tabs>
          <w:tab w:val="left" w:pos="1134"/>
        </w:tabs>
        <w:spacing w:after="120" w:line="20" w:lineRule="atLeast"/>
        <w:ind w:left="0" w:firstLine="567"/>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70778EA" w14:textId="77777777" w:rsidR="00BF7BB4" w:rsidRPr="00BF7BB4" w:rsidRDefault="00E258C9" w:rsidP="00BF7BB4">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p>
    <w:p w14:paraId="0818E865" w14:textId="14BAA2E2" w:rsidR="00BF7BB4" w:rsidRPr="00BF7BB4" w:rsidRDefault="00DA4F26" w:rsidP="00BF7BB4">
      <w:pPr>
        <w:numPr>
          <w:ilvl w:val="0"/>
          <w:numId w:val="1"/>
        </w:numPr>
        <w:tabs>
          <w:tab w:val="left" w:pos="1134"/>
        </w:tabs>
        <w:suppressAutoHyphens/>
        <w:ind w:left="0" w:firstLine="567"/>
        <w:jc w:val="both"/>
        <w:rPr>
          <w:rFonts w:eastAsia="Times New Roman" w:cs="Times New Roman"/>
          <w:i/>
          <w:szCs w:val="20"/>
          <w:lang w:eastAsia="en-US"/>
        </w:rPr>
      </w:pPr>
      <w:r w:rsidRPr="00BF7BB4">
        <w:rPr>
          <w:szCs w:val="24"/>
        </w:rPr>
        <w:t>Perkančiosios organizacijos sprendimo neatlikti pirkimo naudojantis centrinės perkančiosios organizacijos paslaugomis argumentai, kaip numatyta Viešųjų pirkimų įstatymo 82 straipsnio 2 dalies 1 punkte</w:t>
      </w:r>
      <w:r w:rsidR="00F26F9D" w:rsidRPr="00BF7BB4">
        <w:rPr>
          <w:szCs w:val="24"/>
        </w:rPr>
        <w:t xml:space="preserve">: </w:t>
      </w:r>
      <w:r w:rsidR="00BF7BB4" w:rsidRPr="00BF7BB4">
        <w:rPr>
          <w:szCs w:val="24"/>
        </w:rPr>
        <w:t>CPO</w:t>
      </w:r>
      <w:r w:rsidR="00BF7BB4" w:rsidRPr="00BF7BB4">
        <w:rPr>
          <w:szCs w:val="24"/>
          <w:vertAlign w:val="superscript"/>
        </w:rPr>
        <w:t>LT</w:t>
      </w:r>
      <w:r w:rsidR="00BF7BB4" w:rsidRPr="00BF7BB4">
        <w:rPr>
          <w:szCs w:val="24"/>
          <w:lang w:eastAsia="en-US"/>
        </w:rPr>
        <w:t xml:space="preserve"> centralizuoto viešųjų pirkimų katalogo modulyje „Komunalinių atliekų surinkimo ir vežimo paslaugos“ modulyje (20 02 03) Kitos biologiškai neskaidžios atliekos yra numatytos šios konteinerių rūšys: • Antžeminis iki 0,24 m³ (imtinai) konteineris, • Antžeminis virš 0,24 m³ iki 1,1 m³ (imtinai) konteineris, • Mažai įgilintas ir požeminis nuo 1,3 m³ iki 3,0 m³ (imtinai) konteineris, • Mažai įgilintas ir požeminis virš 3,0 m³ konteineris. Tarp </w:t>
      </w:r>
      <w:r w:rsidR="00BF7BB4" w:rsidRPr="00BF7BB4">
        <w:rPr>
          <w:szCs w:val="24"/>
        </w:rPr>
        <w:t>CPO</w:t>
      </w:r>
      <w:r w:rsidR="00BF7BB4" w:rsidRPr="00BF7BB4">
        <w:rPr>
          <w:szCs w:val="24"/>
          <w:vertAlign w:val="superscript"/>
        </w:rPr>
        <w:t>LT</w:t>
      </w:r>
      <w:r w:rsidR="00BF7BB4" w:rsidRPr="00BF7BB4">
        <w:rPr>
          <w:szCs w:val="24"/>
          <w:lang w:eastAsia="en-US"/>
        </w:rPr>
        <w:t xml:space="preserve"> modulyje apibrėžtų paslaugų nėra numatyta kategorijos antžeminiams konteineriams, kurių talpa viršija 3,0 m³. </w:t>
      </w:r>
      <w:r w:rsidR="00BF7BB4" w:rsidRPr="00BF7BB4">
        <w:rPr>
          <w:szCs w:val="24"/>
          <w:lang w:eastAsia="en-US"/>
        </w:rPr>
        <w:lastRenderedPageBreak/>
        <w:t xml:space="preserve">Atliekų surinkimui turimas 10 m³ konteineris yra antžeminis ir pagal savo techninius parametrus neatitinka nė vienos </w:t>
      </w:r>
      <w:r w:rsidR="00BF7BB4" w:rsidRPr="00BF7BB4">
        <w:rPr>
          <w:szCs w:val="24"/>
        </w:rPr>
        <w:t>CPO</w:t>
      </w:r>
      <w:r w:rsidR="00BF7BB4" w:rsidRPr="00BF7BB4">
        <w:rPr>
          <w:szCs w:val="24"/>
          <w:vertAlign w:val="superscript"/>
        </w:rPr>
        <w:t>LT</w:t>
      </w:r>
      <w:r w:rsidR="00BF7BB4" w:rsidRPr="00BF7BB4">
        <w:rPr>
          <w:szCs w:val="24"/>
          <w:lang w:eastAsia="en-US"/>
        </w:rPr>
        <w:t xml:space="preserve"> kataloge apibrėžtos konteinerių kategorijos. Perkama paslauga bus 1 t įkainis, o ne konteinerio pakėlimas, nes žalienos bus renkamos ne tik 10 m³ konteineriais, bet ir </w:t>
      </w:r>
      <w:proofErr w:type="spellStart"/>
      <w:r w:rsidR="00BF7BB4" w:rsidRPr="00BF7BB4">
        <w:rPr>
          <w:szCs w:val="24"/>
          <w:lang w:eastAsia="en-US"/>
        </w:rPr>
        <w:t>didmaišiais</w:t>
      </w:r>
      <w:proofErr w:type="spellEnd"/>
      <w:r w:rsidR="00BF7BB4" w:rsidRPr="00BF7BB4">
        <w:rPr>
          <w:szCs w:val="24"/>
          <w:lang w:eastAsia="en-US"/>
        </w:rPr>
        <w:t xml:space="preserve"> bei iš sąvartų. Todėl tokio konteinerio aptarnavimo (ištuštinimo, pakėlimo ar transportavimo) paslauga negali būti įsigyta per </w:t>
      </w:r>
      <w:r w:rsidR="00BF7BB4" w:rsidRPr="00BF7BB4">
        <w:rPr>
          <w:szCs w:val="24"/>
        </w:rPr>
        <w:t>CPO</w:t>
      </w:r>
      <w:r w:rsidR="00BF7BB4" w:rsidRPr="00BF7BB4">
        <w:rPr>
          <w:szCs w:val="24"/>
          <w:vertAlign w:val="superscript"/>
        </w:rPr>
        <w:t>LT</w:t>
      </w:r>
      <w:r w:rsidR="00BF7BB4" w:rsidRPr="00BF7BB4">
        <w:rPr>
          <w:szCs w:val="24"/>
          <w:lang w:eastAsia="en-US"/>
        </w:rPr>
        <w:t xml:space="preserve"> katalogą, nes katalogas šios paslaugos techninės galimybės nenumato.</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BE268E">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6B371C28" w:rsidR="0041254B" w:rsidRPr="00BE268E" w:rsidRDefault="006A050F" w:rsidP="00BF7BB4">
      <w:pPr>
        <w:pStyle w:val="Sraopastraipa"/>
        <w:widowControl w:val="0"/>
        <w:numPr>
          <w:ilvl w:val="0"/>
          <w:numId w:val="1"/>
        </w:numPr>
        <w:tabs>
          <w:tab w:val="left" w:pos="1134"/>
        </w:tabs>
        <w:ind w:left="0" w:firstLine="567"/>
        <w:rPr>
          <w:bCs/>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w:t>
      </w:r>
      <w:r w:rsidR="00974331">
        <w:rPr>
          <w:bCs/>
          <w:szCs w:val="24"/>
        </w:rPr>
        <w:t xml:space="preserve"> </w:t>
      </w:r>
      <w:r w:rsidR="00BE268E" w:rsidRPr="00BE268E">
        <w:rPr>
          <w:bCs/>
          <w:szCs w:val="24"/>
        </w:rPr>
        <w:t>Žaliųjų atliekų surinkimo, transportavimo ir sutvarkymo Plungės rajono savivaldybės</w:t>
      </w:r>
      <w:r w:rsidR="00BE268E">
        <w:rPr>
          <w:bCs/>
          <w:szCs w:val="24"/>
        </w:rPr>
        <w:t xml:space="preserve"> </w:t>
      </w:r>
      <w:r w:rsidR="00BE268E" w:rsidRPr="00BE268E">
        <w:rPr>
          <w:bCs/>
          <w:szCs w:val="24"/>
        </w:rPr>
        <w:t>teritorijoje paslaugos teikimas</w:t>
      </w:r>
      <w:r w:rsidR="00366979" w:rsidRPr="00BE268E">
        <w:rPr>
          <w:bCs/>
          <w:szCs w:val="24"/>
        </w:rPr>
        <w:t xml:space="preserve"> </w:t>
      </w:r>
      <w:r w:rsidR="00191CC4" w:rsidRPr="00BE268E">
        <w:rPr>
          <w:szCs w:val="24"/>
        </w:rPr>
        <w:t>(toliau –</w:t>
      </w:r>
      <w:r w:rsidRPr="00BE268E">
        <w:rPr>
          <w:szCs w:val="24"/>
        </w:rPr>
        <w:t xml:space="preserve"> </w:t>
      </w:r>
      <w:r w:rsidR="00BE268E" w:rsidRPr="00BE268E">
        <w:rPr>
          <w:szCs w:val="24"/>
        </w:rPr>
        <w:t>paslaugos</w:t>
      </w:r>
      <w:r w:rsidR="00E7551B" w:rsidRPr="00BE268E">
        <w:rPr>
          <w:szCs w:val="24"/>
        </w:rPr>
        <w:t>).</w:t>
      </w:r>
    </w:p>
    <w:p w14:paraId="142978A7" w14:textId="0DBA62AA" w:rsidR="00E7551B" w:rsidRPr="00BF7BB4" w:rsidRDefault="00E7551B" w:rsidP="00BF7BB4">
      <w:pPr>
        <w:pStyle w:val="Sraopastraipa"/>
        <w:widowControl w:val="0"/>
        <w:numPr>
          <w:ilvl w:val="0"/>
          <w:numId w:val="1"/>
        </w:numPr>
        <w:tabs>
          <w:tab w:val="left" w:pos="1134"/>
        </w:tabs>
        <w:ind w:left="0" w:firstLine="567"/>
        <w:rPr>
          <w:szCs w:val="24"/>
        </w:rPr>
      </w:pPr>
      <w:r w:rsidRPr="006C1657">
        <w:rPr>
          <w:b/>
        </w:rPr>
        <w:t>Trumpas pirkimo objekto aprašymas:</w:t>
      </w:r>
      <w:r w:rsidRPr="00E7551B">
        <w:rPr>
          <w:szCs w:val="24"/>
        </w:rPr>
        <w:t xml:space="preserve"> </w:t>
      </w:r>
      <w:r w:rsidR="00BF7BB4" w:rsidRPr="00BF7BB4">
        <w:rPr>
          <w:szCs w:val="24"/>
        </w:rPr>
        <w:t>Žaliųjų atliekų surinkimo iš seniūnijų kapinių</w:t>
      </w:r>
      <w:r w:rsidR="00BF7BB4">
        <w:rPr>
          <w:szCs w:val="24"/>
        </w:rPr>
        <w:t xml:space="preserve"> </w:t>
      </w:r>
      <w:r w:rsidR="00BF7BB4" w:rsidRPr="00BF7BB4">
        <w:rPr>
          <w:szCs w:val="24"/>
        </w:rPr>
        <w:t>(konteineriuose) ir iš kitų nurodytų sąvartų</w:t>
      </w:r>
      <w:r w:rsidR="00BF7BB4">
        <w:rPr>
          <w:szCs w:val="24"/>
        </w:rPr>
        <w:t xml:space="preserve"> </w:t>
      </w:r>
      <w:r w:rsidR="00BF7BB4" w:rsidRPr="00BF7BB4">
        <w:rPr>
          <w:szCs w:val="24"/>
        </w:rPr>
        <w:t>vietų (žaliosios atliekos gali būti sąvartose</w:t>
      </w:r>
      <w:r w:rsidR="00BF7BB4">
        <w:rPr>
          <w:szCs w:val="24"/>
        </w:rPr>
        <w:t xml:space="preserve"> ir/</w:t>
      </w:r>
      <w:r w:rsidR="00BF7BB4" w:rsidRPr="00BF7BB4">
        <w:rPr>
          <w:szCs w:val="24"/>
        </w:rPr>
        <w:t>arba surinktos maišuose), transportavimo</w:t>
      </w:r>
      <w:r w:rsidR="00BF7BB4">
        <w:rPr>
          <w:szCs w:val="24"/>
        </w:rPr>
        <w:t xml:space="preserve"> ir sutvarkymo Plungės rajono </w:t>
      </w:r>
      <w:r w:rsidR="00BF7BB4" w:rsidRPr="00BF7BB4">
        <w:rPr>
          <w:szCs w:val="24"/>
        </w:rPr>
        <w:t>savivaldybės</w:t>
      </w:r>
      <w:r w:rsidR="00BF7BB4">
        <w:rPr>
          <w:szCs w:val="24"/>
        </w:rPr>
        <w:t xml:space="preserve"> </w:t>
      </w:r>
      <w:r w:rsidR="00BF7BB4" w:rsidRPr="00BF7BB4">
        <w:rPr>
          <w:szCs w:val="24"/>
        </w:rPr>
        <w:t>teritorijoje paslaugos teikimas.</w:t>
      </w:r>
    </w:p>
    <w:p w14:paraId="2C8309F1" w14:textId="6AEEC4B5" w:rsidR="005B0B77" w:rsidRPr="00BF7BB4" w:rsidRDefault="00BE268E" w:rsidP="00BF7BB4">
      <w:pPr>
        <w:pStyle w:val="Sraopastraipa"/>
        <w:widowControl w:val="0"/>
        <w:numPr>
          <w:ilvl w:val="0"/>
          <w:numId w:val="1"/>
        </w:numPr>
        <w:tabs>
          <w:tab w:val="left" w:pos="1134"/>
        </w:tabs>
        <w:suppressAutoHyphens/>
        <w:ind w:left="0" w:firstLine="567"/>
        <w:rPr>
          <w:b/>
          <w:szCs w:val="24"/>
        </w:rPr>
      </w:pPr>
      <w:bookmarkStart w:id="5" w:name="_Ref188883041"/>
      <w:r>
        <w:rPr>
          <w:b/>
          <w:szCs w:val="24"/>
        </w:rPr>
        <w:t>Paslaug</w:t>
      </w:r>
      <w:r w:rsidR="00E7551B" w:rsidRPr="00E7551B">
        <w:rPr>
          <w:b/>
          <w:szCs w:val="24"/>
        </w:rPr>
        <w:t>ų apimtis (kiekiai):</w:t>
      </w:r>
      <w:r w:rsidR="00E7551B" w:rsidRPr="00BF7BB4">
        <w:rPr>
          <w:b/>
          <w:szCs w:val="24"/>
        </w:rPr>
        <w:t xml:space="preserve"> </w:t>
      </w:r>
      <w:r w:rsidR="00BF7BB4" w:rsidRPr="00BF7BB4">
        <w:rPr>
          <w:szCs w:val="24"/>
        </w:rPr>
        <w:t>preliminarus kiekis visam paslaugų teikimo laikotarpiui– 1090 (t).</w:t>
      </w:r>
      <w:r w:rsidR="00BF7BB4" w:rsidRPr="00BF7BB4">
        <w:rPr>
          <w:b/>
          <w:szCs w:val="24"/>
        </w:rPr>
        <w:t xml:space="preserve"> </w:t>
      </w:r>
      <w:r w:rsidR="00BF7BB4" w:rsidRPr="00BF7BB4">
        <w:rPr>
          <w:szCs w:val="24"/>
        </w:rPr>
        <w:t>Paslaugos perkamos</w:t>
      </w:r>
      <w:r w:rsidR="00E7551B" w:rsidRPr="00BF7BB4">
        <w:rPr>
          <w:szCs w:val="24"/>
        </w:rPr>
        <w:t xml:space="preserve"> pagal faktinį poreikį ir atskiras perkančiosios organizacijos paraiškas. Perkančioji organizacija neįsipareigoja nupirkti viso pirkimo dokumentuose nurodytų </w:t>
      </w:r>
      <w:r w:rsidR="00BF7BB4" w:rsidRPr="00BF7BB4">
        <w:rPr>
          <w:szCs w:val="24"/>
        </w:rPr>
        <w:t>preki</w:t>
      </w:r>
      <w:r w:rsidR="00E7551B" w:rsidRPr="00BF7BB4">
        <w:rPr>
          <w:szCs w:val="24"/>
        </w:rPr>
        <w:t>ų kiekio.</w:t>
      </w:r>
      <w:bookmarkEnd w:id="5"/>
    </w:p>
    <w:p w14:paraId="66B83FAC" w14:textId="71C27289" w:rsidR="005B0B77" w:rsidRDefault="00BE268E" w:rsidP="00BF7BB4">
      <w:pPr>
        <w:pStyle w:val="Sraopastraipa"/>
        <w:widowControl w:val="0"/>
        <w:numPr>
          <w:ilvl w:val="0"/>
          <w:numId w:val="1"/>
        </w:numPr>
        <w:tabs>
          <w:tab w:val="left" w:pos="1134"/>
        </w:tabs>
        <w:suppressAutoHyphens/>
        <w:ind w:left="0" w:firstLine="567"/>
        <w:rPr>
          <w:szCs w:val="24"/>
        </w:rPr>
      </w:pPr>
      <w:r>
        <w:rPr>
          <w:b/>
          <w:szCs w:val="24"/>
        </w:rPr>
        <w:t>Paslaug</w:t>
      </w:r>
      <w:r w:rsidRPr="00E7551B">
        <w:rPr>
          <w:b/>
          <w:szCs w:val="24"/>
        </w:rPr>
        <w:t>ų</w:t>
      </w:r>
      <w:r w:rsidR="00876A6F" w:rsidRPr="005B0B77">
        <w:rPr>
          <w:b/>
          <w:szCs w:val="24"/>
        </w:rPr>
        <w:t xml:space="preserve"> savybės ir reikalavimai </w:t>
      </w:r>
      <w:r w:rsidR="00876A6F" w:rsidRPr="005B0B77">
        <w:rPr>
          <w:szCs w:val="24"/>
        </w:rPr>
        <w:t xml:space="preserve">apibūdinti techninėje specifikacijoje (pirkimo sąlygų 2 priedas). </w:t>
      </w:r>
    </w:p>
    <w:p w14:paraId="00E886FC" w14:textId="08A61675" w:rsidR="00E7551B" w:rsidRPr="005B0B77" w:rsidRDefault="00876A6F" w:rsidP="005B0B77">
      <w:pPr>
        <w:pStyle w:val="Sraopastraipa"/>
        <w:widowControl w:val="0"/>
        <w:numPr>
          <w:ilvl w:val="0"/>
          <w:numId w:val="1"/>
        </w:numPr>
        <w:tabs>
          <w:tab w:val="left" w:pos="1134"/>
        </w:tabs>
        <w:suppressAutoHyphens/>
        <w:ind w:left="0" w:firstLine="567"/>
        <w:rPr>
          <w:szCs w:val="24"/>
        </w:rPr>
      </w:pPr>
      <w:r w:rsidRPr="005B0B77">
        <w:rPr>
          <w:szCs w:val="24"/>
        </w:rPr>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p>
    <w:p w14:paraId="2912D026" w14:textId="6ED4DF62" w:rsidR="001704FD" w:rsidRPr="001704FD" w:rsidRDefault="00BE268E" w:rsidP="00BF7BB4">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b/>
          <w:szCs w:val="24"/>
        </w:rPr>
        <w:t>Paslaug</w:t>
      </w:r>
      <w:r w:rsidRPr="00E7551B">
        <w:rPr>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005B0B77">
        <w:rPr>
          <w:rFonts w:eastAsia="Calibri"/>
          <w:szCs w:val="24"/>
        </w:rPr>
        <w:t>Plungės rajon</w:t>
      </w:r>
      <w:r w:rsidR="00876A6F">
        <w:rPr>
          <w:rFonts w:eastAsia="Calibri"/>
          <w:szCs w:val="24"/>
        </w:rPr>
        <w:t>as.</w:t>
      </w:r>
    </w:p>
    <w:p w14:paraId="4C9D0BE2" w14:textId="64167E21" w:rsidR="00222308" w:rsidRPr="00BF7BB4" w:rsidRDefault="00EC451E" w:rsidP="00772D27">
      <w:pPr>
        <w:widowControl w:val="0"/>
        <w:numPr>
          <w:ilvl w:val="0"/>
          <w:numId w:val="1"/>
        </w:numPr>
        <w:tabs>
          <w:tab w:val="left" w:pos="1134"/>
        </w:tabs>
        <w:suppressAutoHyphens/>
        <w:ind w:left="0" w:right="-1" w:firstLine="567"/>
        <w:jc w:val="both"/>
        <w:rPr>
          <w:rFonts w:cs="Times New Roman"/>
          <w:szCs w:val="24"/>
          <w:lang w:eastAsia="lt-LT"/>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perkančiosios organizacijos biudžeto lėšos</w:t>
      </w:r>
      <w:r w:rsidR="00BF7BB4">
        <w:rPr>
          <w:rFonts w:cs="Times New Roman"/>
          <w:szCs w:val="24"/>
          <w:lang w:eastAsia="lt-LT"/>
        </w:rPr>
        <w:t xml:space="preserve">. </w:t>
      </w:r>
      <w:r w:rsidR="00BF7BB4" w:rsidRPr="00BF7BB4">
        <w:rPr>
          <w:rFonts w:cs="Times New Roman"/>
          <w:szCs w:val="24"/>
          <w:lang w:eastAsia="lt-LT"/>
        </w:rPr>
        <w:t>05 programa Komunalinių atliekų tvarkymo</w:t>
      </w:r>
      <w:r w:rsidR="00BF7BB4">
        <w:rPr>
          <w:rFonts w:cs="Times New Roman"/>
          <w:szCs w:val="24"/>
          <w:lang w:eastAsia="lt-LT"/>
        </w:rPr>
        <w:t xml:space="preserve"> </w:t>
      </w:r>
      <w:r w:rsidR="00BF7BB4" w:rsidRPr="00BF7BB4">
        <w:rPr>
          <w:rFonts w:cs="Times New Roman"/>
          <w:szCs w:val="24"/>
          <w:lang w:eastAsia="lt-LT"/>
        </w:rPr>
        <w:t>priemonė</w:t>
      </w:r>
      <w:r w:rsidR="00222308" w:rsidRPr="00BF7BB4">
        <w:rPr>
          <w:rFonts w:cs="Times New Roman"/>
          <w:szCs w:val="24"/>
          <w:lang w:eastAsia="lt-LT"/>
        </w:rPr>
        <w:t>.</w:t>
      </w:r>
    </w:p>
    <w:p w14:paraId="36557D1F" w14:textId="591DA91C" w:rsidR="00A34D61" w:rsidRPr="00A34D61" w:rsidRDefault="0085580F" w:rsidP="00BF7BB4">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BE268E">
        <w:rPr>
          <w:rFonts w:cs="Times New Roman"/>
          <w:b/>
          <w:szCs w:val="24"/>
        </w:rPr>
        <w:t>145 2</w:t>
      </w:r>
      <w:r w:rsidR="00A34D61" w:rsidRPr="00EA0DAD">
        <w:rPr>
          <w:rFonts w:cs="Times New Roman"/>
          <w:b/>
          <w:szCs w:val="24"/>
        </w:rPr>
        <w:t xml:space="preserve">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BE268E">
        <w:rPr>
          <w:rFonts w:cs="Times New Roman"/>
          <w:b/>
          <w:szCs w:val="24"/>
        </w:rPr>
        <w:t>120 000,00</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1DB5DD3F" w:rsidR="006F6022" w:rsidRPr="004664E8" w:rsidRDefault="006A050F" w:rsidP="00BF7BB4">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w:t>
      </w:r>
      <w:r w:rsidR="00B64CC9">
        <w:rPr>
          <w:rFonts w:eastAsia="Times New Roman" w:cs="Times New Roman"/>
          <w:szCs w:val="24"/>
        </w:rPr>
        <w:t>is, o jeigu pasiūlymą pateikė t</w:t>
      </w:r>
      <w:r w:rsidRPr="004664E8">
        <w:rPr>
          <w:rFonts w:eastAsia="Times New Roman" w:cs="Times New Roman"/>
          <w:szCs w:val="24"/>
        </w:rPr>
        <w:t>i</w:t>
      </w:r>
      <w:r w:rsidR="00B64CC9">
        <w:rPr>
          <w:rFonts w:eastAsia="Times New Roman" w:cs="Times New Roman"/>
          <w:szCs w:val="24"/>
        </w:rPr>
        <w:t>e</w:t>
      </w:r>
      <w:r w:rsidRPr="004664E8">
        <w:rPr>
          <w:rFonts w:eastAsia="Times New Roman" w:cs="Times New Roman"/>
          <w:szCs w:val="24"/>
        </w:rPr>
        <w:t>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68BF1A12" w14:textId="77777777" w:rsidR="00F51ED8" w:rsidRPr="00F51ED8" w:rsidRDefault="00897E2E" w:rsidP="00847E70">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valstybės teritorija), todėl </w:t>
      </w:r>
      <w:r w:rsidRPr="00F51ED8">
        <w:rPr>
          <w:rFonts w:eastAsia="Times New Roman" w:cs="Times New Roman"/>
          <w:szCs w:val="24"/>
          <w:lang w:eastAsia="en-US"/>
        </w:rPr>
        <w:t>ener</w:t>
      </w:r>
      <w:r w:rsidR="00151180" w:rsidRPr="00F51ED8">
        <w:rPr>
          <w:rFonts w:eastAsia="Times New Roman" w:cs="Times New Roman"/>
          <w:szCs w:val="24"/>
          <w:lang w:eastAsia="en-US"/>
        </w:rPr>
        <w:t>gijos vartojimo efektyvumo reikalavimai jai neprivalomi.</w:t>
      </w:r>
    </w:p>
    <w:p w14:paraId="0F383403" w14:textId="51FAB0D6" w:rsidR="00847E70" w:rsidRPr="00621352" w:rsidRDefault="003A3A6D" w:rsidP="00847E70">
      <w:pPr>
        <w:widowControl w:val="0"/>
        <w:numPr>
          <w:ilvl w:val="0"/>
          <w:numId w:val="1"/>
        </w:numPr>
        <w:tabs>
          <w:tab w:val="left" w:pos="1134"/>
        </w:tabs>
        <w:ind w:left="0" w:firstLine="567"/>
        <w:jc w:val="both"/>
        <w:rPr>
          <w:rFonts w:eastAsia="Times New Roman" w:cs="Times New Roman"/>
          <w:szCs w:val="24"/>
          <w:lang w:eastAsia="en-US"/>
        </w:rPr>
      </w:pPr>
      <w:r w:rsidRPr="00621352">
        <w:t xml:space="preserve">Perkančioji organizacija, įvertinusi visus galinčius kelti grėsmę nacionalinio saugumo interesams rizikos veiksnius šiame pirkime </w:t>
      </w:r>
      <w:r w:rsidR="00847E70" w:rsidRPr="00621352">
        <w:rPr>
          <w:rFonts w:eastAsia="Times New Roman" w:cs="Times New Roman"/>
          <w:szCs w:val="24"/>
          <w:lang w:eastAsia="en-US"/>
        </w:rPr>
        <w:t>saugumo reikalavimų pagal 2022 m. balandžio 8 d. Tarybos Reglamento (ES) 2022/576 kuriuo iš dalies keičiamas Reglamentas (ES) Nr. 833/2014 dėl ribojamųjų priemonių atsižvelgiant į Rusijos veiksmus, kuriais destabilizuojama padėtis Ukrainoje, VPĮ 17 straipsnio 5 dalies, VPĮ 37 straipsnio 8 ir 9 dalies, 45 straipsnio 2(1) dalies, 47 straipsnio 8 ir 9 dalies straipsnių bei atitinkamai PĮ 29 straipsnio 5 dalies, PĮ 50 straipsnio 8 ir 9 dalies, 58 straipsnio 4(1) dalies straipsnių nuostatas netaiko.</w:t>
      </w:r>
    </w:p>
    <w:p w14:paraId="50CDD2D3" w14:textId="5AA86D00" w:rsidR="00C2170D" w:rsidRPr="00C1049E" w:rsidRDefault="00E251EB" w:rsidP="00C1049E">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1049E">
        <w:rPr>
          <w:szCs w:val="24"/>
        </w:rPr>
        <w:lastRenderedPageBreak/>
        <w:t xml:space="preserve">Šiame pirkime taikomi </w:t>
      </w:r>
      <w:r w:rsidRPr="00C1049E">
        <w:rPr>
          <w:b/>
          <w:szCs w:val="24"/>
        </w:rPr>
        <w:t>aplinkos apsaugos kriterijai</w:t>
      </w:r>
      <w:r w:rsidRPr="00C1049E">
        <w:rPr>
          <w:szCs w:val="24"/>
        </w:rPr>
        <w:t xml:space="preserve"> (žaliųjų pirkimų </w:t>
      </w:r>
      <w:r w:rsidR="00C1049E" w:rsidRPr="00C1049E">
        <w:rPr>
          <w:szCs w:val="24"/>
        </w:rPr>
        <w:t xml:space="preserve">reikalavimai). </w:t>
      </w:r>
      <w:r w:rsidRPr="00C1049E">
        <w:rPr>
          <w:rFonts w:eastAsia="Calibri"/>
          <w:szCs w:val="24"/>
        </w:rPr>
        <w:t>Aplinkos apsaugos kriterijai nustatyti pagal Lietuvos Respublikos a</w:t>
      </w:r>
      <w:r w:rsidRPr="00C1049E">
        <w:rPr>
          <w:rFonts w:eastAsia="Calibri"/>
          <w:spacing w:val="2"/>
          <w:szCs w:val="24"/>
          <w:shd w:val="clear" w:color="auto" w:fill="FFFFFF"/>
        </w:rPr>
        <w:t>plinkos ministro 20</w:t>
      </w:r>
      <w:r w:rsidR="007E7961" w:rsidRPr="00C1049E">
        <w:rPr>
          <w:rFonts w:eastAsia="Calibri"/>
          <w:spacing w:val="2"/>
          <w:szCs w:val="24"/>
          <w:shd w:val="clear" w:color="auto" w:fill="FFFFFF"/>
        </w:rPr>
        <w:t>11</w:t>
      </w:r>
      <w:r w:rsidRPr="00C1049E">
        <w:rPr>
          <w:rFonts w:eastAsia="Calibri"/>
          <w:spacing w:val="2"/>
          <w:szCs w:val="24"/>
          <w:shd w:val="clear" w:color="auto" w:fill="FFFFFF"/>
        </w:rPr>
        <w:t xml:space="preserve"> m. </w:t>
      </w:r>
      <w:r w:rsidR="007E7961" w:rsidRPr="00C1049E">
        <w:rPr>
          <w:rFonts w:eastAsia="Calibri"/>
          <w:spacing w:val="2"/>
          <w:szCs w:val="24"/>
          <w:shd w:val="clear" w:color="auto" w:fill="FFFFFF"/>
        </w:rPr>
        <w:t>birželio</w:t>
      </w:r>
      <w:r w:rsidRPr="00C1049E">
        <w:rPr>
          <w:rFonts w:eastAsia="Calibri"/>
          <w:spacing w:val="2"/>
          <w:szCs w:val="24"/>
          <w:shd w:val="clear" w:color="auto" w:fill="FFFFFF"/>
        </w:rPr>
        <w:t xml:space="preserve"> </w:t>
      </w:r>
      <w:r w:rsidR="007E7961" w:rsidRPr="00C1049E">
        <w:rPr>
          <w:rFonts w:eastAsia="Calibri"/>
          <w:spacing w:val="2"/>
          <w:szCs w:val="24"/>
          <w:shd w:val="clear" w:color="auto" w:fill="FFFFFF"/>
        </w:rPr>
        <w:t>28</w:t>
      </w:r>
      <w:r w:rsidRPr="00C1049E">
        <w:rPr>
          <w:rFonts w:eastAsia="Calibri"/>
          <w:spacing w:val="2"/>
          <w:szCs w:val="24"/>
          <w:shd w:val="clear" w:color="auto" w:fill="FFFFFF"/>
        </w:rPr>
        <w:t xml:space="preserve"> d. įsakymu Nr. D1-</w:t>
      </w:r>
      <w:r w:rsidR="007E7961" w:rsidRPr="00C1049E">
        <w:rPr>
          <w:rFonts w:eastAsia="Calibri"/>
          <w:spacing w:val="2"/>
          <w:szCs w:val="24"/>
          <w:shd w:val="clear" w:color="auto" w:fill="FFFFFF"/>
        </w:rPr>
        <w:t>508</w:t>
      </w:r>
      <w:r w:rsidRPr="00C1049E">
        <w:rPr>
          <w:rFonts w:eastAsia="Calibri"/>
          <w:spacing w:val="2"/>
          <w:szCs w:val="24"/>
          <w:shd w:val="clear" w:color="auto" w:fill="FFFFFF"/>
        </w:rPr>
        <w:t xml:space="preserve"> patvirtintą „</w:t>
      </w:r>
      <w:r w:rsidRPr="00C1049E">
        <w:rPr>
          <w:rFonts w:eastAsia="Calibri"/>
          <w:szCs w:val="24"/>
        </w:rPr>
        <w:t xml:space="preserve">Aplinkos apsaugos kriterijų taikymo, vykdant žaliuosius pirkimus, tvarkos aprašo“ </w:t>
      </w:r>
      <w:r w:rsidR="00B66D8B" w:rsidRPr="00C1049E">
        <w:rPr>
          <w:rFonts w:eastAsia="Calibri"/>
          <w:szCs w:val="24"/>
        </w:rPr>
        <w:t>(</w:t>
      </w:r>
      <w:r w:rsidR="00A878EF" w:rsidRPr="00C1049E">
        <w:t>toliau – Tvarkos aprašas)</w:t>
      </w:r>
      <w:r w:rsidR="00B66D8B" w:rsidRPr="00C1049E">
        <w:t xml:space="preserve"> </w:t>
      </w:r>
      <w:r w:rsidR="00AE467F" w:rsidRPr="00C1049E">
        <w:t xml:space="preserve">(aktuali redakcija) </w:t>
      </w:r>
      <w:r w:rsidR="00C1049E" w:rsidRPr="00C1049E">
        <w:rPr>
          <w:rFonts w:eastAsia="Calibri"/>
          <w:b/>
          <w:szCs w:val="24"/>
        </w:rPr>
        <w:t>4.4.1</w:t>
      </w:r>
      <w:r w:rsidR="00C1049E" w:rsidRPr="00C1049E">
        <w:rPr>
          <w:rFonts w:eastAsia="Calibri"/>
          <w:szCs w:val="24"/>
        </w:rPr>
        <w:t xml:space="preserve"> papunktį</w:t>
      </w:r>
      <w:r w:rsidR="00E94ECA">
        <w:rPr>
          <w:rFonts w:eastAsia="Calibri"/>
          <w:szCs w:val="24"/>
        </w:rPr>
        <w:t>.</w:t>
      </w:r>
      <w:r w:rsidR="00C1049E" w:rsidRPr="00C1049E">
        <w:rPr>
          <w:rFonts w:eastAsia="Calibri"/>
          <w:szCs w:val="24"/>
        </w:rPr>
        <w:t xml:space="preserve"> </w:t>
      </w:r>
      <w:r w:rsidR="00E94ECA">
        <w:rPr>
          <w:kern w:val="2"/>
          <w:szCs w:val="24"/>
          <w:shd w:val="clear" w:color="auto" w:fill="FFFFFF"/>
        </w:rPr>
        <w:t>P</w:t>
      </w:r>
      <w:r w:rsidR="00C1049E" w:rsidRPr="00C1049E">
        <w:rPr>
          <w:kern w:val="2"/>
          <w:szCs w:val="24"/>
          <w:shd w:val="clear" w:color="auto" w:fill="FFFFFF"/>
        </w:rPr>
        <w:t xml:space="preserve">erkamas aplinkosauginis ir aplinkai palankus produktas, kuris patenka į orientacinį aplinkosauginių ir aplinkai palankių prekių bei paslaugų </w:t>
      </w:r>
      <w:r w:rsidR="00C1049E" w:rsidRPr="00C1049E">
        <w:rPr>
          <w:color w:val="000000"/>
          <w:kern w:val="2"/>
          <w:szCs w:val="24"/>
          <w:shd w:val="clear" w:color="auto" w:fill="FFFFFF"/>
        </w:rPr>
        <w:t>sąrašą pagal 2015 m. lapkričio 24 d. Komisijos įgyvendinimo reglamentą (ES) 2015/2174 dėl orientacinio aplinkosauginių ir aplinkai palankių prekių bei paslaugų rinkinio</w:t>
      </w:r>
      <w:r w:rsidR="00E94ECA" w:rsidRPr="00B96A5B">
        <w:rPr>
          <w:szCs w:val="24"/>
        </w:rPr>
        <w:t>, Europos aplinkos ekonominėms sąskaitoms skirtų duomenų perdavimo formato ir kokybės ataskaitų teikimo sąlygų, struktūros ir periodiškumo pagal Europos Parlamento ir Tarybos reglamentą (ES) Nr. 691/2011 dėl Europos aplinkos ekonominių sąskaitų</w:t>
      </w:r>
      <w:r w:rsidR="00C1049E" w:rsidRPr="00C1049E">
        <w:rPr>
          <w:color w:val="000000"/>
          <w:kern w:val="2"/>
          <w:szCs w:val="24"/>
          <w:shd w:val="clear" w:color="auto" w:fill="FFFFFF"/>
        </w:rPr>
        <w:t xml:space="preserve"> – </w:t>
      </w:r>
      <w:r w:rsidR="00C1049E" w:rsidRPr="00C1049E">
        <w:rPr>
          <w:i/>
          <w:color w:val="000000"/>
          <w:kern w:val="2"/>
          <w:szCs w:val="24"/>
          <w:shd w:val="clear" w:color="auto" w:fill="FFFFFF"/>
        </w:rPr>
        <w:t>Nepavojingų ir pavojingų atliekų surinkimo, tvarkymo ir šalinimo paslaugos.</w:t>
      </w:r>
      <w:r w:rsidR="00E94ECA">
        <w:rPr>
          <w:i/>
          <w:color w:val="000000"/>
          <w:kern w:val="2"/>
          <w:szCs w:val="24"/>
          <w:shd w:val="clear" w:color="auto" w:fill="FFFFFF"/>
        </w:rPr>
        <w:t xml:space="preserve"> </w:t>
      </w:r>
      <w:r w:rsidR="00E94ECA">
        <w:rPr>
          <w:szCs w:val="24"/>
        </w:rPr>
        <w:t xml:space="preserve">Pirkimo dokumentuose </w:t>
      </w:r>
      <w:r w:rsidR="00E94ECA" w:rsidRPr="00B96A5B">
        <w:rPr>
          <w:b/>
          <w:szCs w:val="24"/>
        </w:rPr>
        <w:t>papildomai nenustatomi aplinkosauginiai</w:t>
      </w:r>
      <w:r w:rsidR="00E94ECA">
        <w:rPr>
          <w:szCs w:val="24"/>
        </w:rPr>
        <w:t xml:space="preserve"> (žaliųjų pirkimų) </w:t>
      </w:r>
      <w:r w:rsidR="00E94ECA" w:rsidRPr="00B96A5B">
        <w:rPr>
          <w:b/>
          <w:szCs w:val="24"/>
        </w:rPr>
        <w:t>reikalavimai</w:t>
      </w:r>
      <w:r w:rsidR="00E94ECA">
        <w:rPr>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619C77FE" w:rsidR="00D60076" w:rsidRDefault="00956183"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4D47CB76" w:rsidR="006D3715" w:rsidRPr="00B64CC9" w:rsidRDefault="00B64CC9" w:rsidP="006D3715">
            <w:pPr>
              <w:pStyle w:val="Betarp"/>
              <w:jc w:val="center"/>
              <w:rPr>
                <w:rFonts w:ascii="Times New Roman" w:hAnsi="Times New Roman"/>
                <w:i/>
                <w:sz w:val="24"/>
                <w:szCs w:val="24"/>
              </w:rPr>
            </w:pPr>
            <w:r w:rsidRPr="00B64CC9">
              <w:rPr>
                <w:rFonts w:ascii="Times New Roman" w:hAnsi="Times New Roman"/>
                <w:b/>
                <w:i/>
                <w:sz w:val="24"/>
                <w:szCs w:val="24"/>
              </w:rPr>
              <w:t>Teisės verstis veikla</w:t>
            </w:r>
            <w:r w:rsidRPr="00B64CC9">
              <w:rPr>
                <w:rFonts w:ascii="Times New Roman" w:hAnsi="Times New Roman"/>
                <w:i/>
                <w:sz w:val="24"/>
                <w:szCs w:val="24"/>
              </w:rPr>
              <w:t xml:space="preserve"> </w:t>
            </w:r>
            <w:r w:rsidRPr="00B64CC9">
              <w:rPr>
                <w:rFonts w:ascii="Times New Roman" w:hAnsi="Times New Roman"/>
                <w:b/>
                <w:i/>
                <w:sz w:val="24"/>
                <w:szCs w:val="24"/>
              </w:rPr>
              <w:t>reikalavimai</w:t>
            </w:r>
          </w:p>
        </w:tc>
      </w:tr>
      <w:tr w:rsidR="00E94ECA" w:rsidRPr="00EE2642" w14:paraId="14BFE269" w14:textId="77777777" w:rsidTr="007958AC">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6AFCFA10" w:rsidR="00E94ECA" w:rsidRPr="00CD7016" w:rsidRDefault="00E94ECA" w:rsidP="00E94ECA">
            <w:pPr>
              <w:jc w:val="both"/>
              <w:rPr>
                <w:rFonts w:cs="Times New Roman"/>
                <w:sz w:val="23"/>
                <w:szCs w:val="23"/>
              </w:rPr>
            </w:pPr>
            <w:r>
              <w:rPr>
                <w:rFonts w:cs="Times New Roman"/>
                <w:sz w:val="23"/>
                <w:szCs w:val="23"/>
              </w:rPr>
              <w:lastRenderedPageBreak/>
              <w:t>29.1</w:t>
            </w:r>
          </w:p>
        </w:tc>
        <w:tc>
          <w:tcPr>
            <w:tcW w:w="4536" w:type="dxa"/>
          </w:tcPr>
          <w:p w14:paraId="7DE931AC" w14:textId="767B0ED8" w:rsidR="00E94ECA" w:rsidRPr="00CD7016" w:rsidRDefault="00E94ECA" w:rsidP="00E94ECA">
            <w:pPr>
              <w:autoSpaceDE w:val="0"/>
              <w:autoSpaceDN w:val="0"/>
              <w:adjustRightInd w:val="0"/>
              <w:jc w:val="both"/>
              <w:rPr>
                <w:rFonts w:eastAsia="Times New Roman" w:cs="Times New Roman"/>
                <w:b/>
                <w:color w:val="00B050"/>
                <w:sz w:val="23"/>
                <w:szCs w:val="23"/>
              </w:rPr>
            </w:pPr>
            <w:r w:rsidRPr="007F7864">
              <w:rPr>
                <w:rFonts w:cs="Times New Roman"/>
                <w:szCs w:val="24"/>
              </w:rPr>
              <w:t xml:space="preserve">Tiekėjas, tiekėjų grupės partneriai kartu (kiekvienas partneris toje srityje, kurioje vykdys veiklą), subtiekėjai ar kiti ūkio subjektai, kurių pajėgumais remiasi tiekėjas (kiekvienas toje srityje, kurioje vykdys veiklą) turi būti </w:t>
            </w:r>
            <w:r w:rsidRPr="003E408C">
              <w:rPr>
                <w:rFonts w:cs="Times New Roman"/>
                <w:szCs w:val="24"/>
              </w:rPr>
              <w:t>registruotas Atliekų tvarkytojų valstybės registre (ATVR) kaip turintis teisę surinkti ir vežti biologiškai skaidžias atliekas, kurių kodas 20 02 01 (biologiškai skaidžios atliekos).</w:t>
            </w:r>
          </w:p>
        </w:tc>
        <w:tc>
          <w:tcPr>
            <w:tcW w:w="4614" w:type="dxa"/>
          </w:tcPr>
          <w:p w14:paraId="69F56336" w14:textId="77777777" w:rsidR="00E94ECA" w:rsidRPr="007F7864" w:rsidRDefault="00E94ECA" w:rsidP="00E94ECA">
            <w:pPr>
              <w:jc w:val="both"/>
              <w:rPr>
                <w:rFonts w:cs="Times New Roman"/>
                <w:szCs w:val="24"/>
              </w:rPr>
            </w:pPr>
            <w:r w:rsidRPr="007F7864">
              <w:rPr>
                <w:rFonts w:cs="Times New Roman"/>
                <w:szCs w:val="24"/>
              </w:rPr>
              <w:t xml:space="preserve">Tiekėjas, tiekėjų grupės partneriai kartu (kiekvienas partneris toje srityje, kurioje vykdys veiklą), subtiekėjai ar kiti ūkio subjektai, kurių pajėgumais remiasi tiekėjas (kiekvienas toje srityje, kurioje vykdys veiklą) nurodo kodą, kuriuo yra registruotas Atliekų tvarkytojų valstybės registre. </w:t>
            </w:r>
            <w:r w:rsidRPr="00AA13DF">
              <w:rPr>
                <w:rFonts w:cs="Times New Roman"/>
                <w:szCs w:val="24"/>
              </w:rPr>
              <w:t>Perkančioji organizacija naudodamasi Atliekų tvarkytojų valstybės registro (ATVR</w:t>
            </w:r>
            <w:r>
              <w:rPr>
                <w:rFonts w:cs="Times New Roman"/>
                <w:szCs w:val="24"/>
              </w:rPr>
              <w:t xml:space="preserve">) duomenimis per GPAIS prieigą: </w:t>
            </w:r>
            <w:hyperlink r:id="rId11" w:history="1">
              <w:r w:rsidRPr="007A258E">
                <w:rPr>
                  <w:rStyle w:val="Hipersaitas"/>
                  <w:szCs w:val="24"/>
                </w:rPr>
                <w:t>https://www.gpais.eu/atvr-viesa-paieska</w:t>
              </w:r>
            </w:hyperlink>
            <w:r>
              <w:rPr>
                <w:rFonts w:cs="Times New Roman"/>
                <w:szCs w:val="24"/>
              </w:rPr>
              <w:t xml:space="preserve">, </w:t>
            </w:r>
            <w:r w:rsidRPr="00AA13DF">
              <w:rPr>
                <w:rFonts w:cs="Times New Roman"/>
                <w:szCs w:val="24"/>
              </w:rPr>
              <w:t>patikrins atitiktį nustatytam reikalavimui.</w:t>
            </w:r>
            <w:r>
              <w:rPr>
                <w:rFonts w:cs="Times New Roman"/>
                <w:szCs w:val="24"/>
              </w:rPr>
              <w:t xml:space="preserve"> </w:t>
            </w:r>
            <w:r w:rsidRPr="007F7864">
              <w:rPr>
                <w:rFonts w:cs="Times New Roman"/>
                <w:szCs w:val="24"/>
              </w:rPr>
              <w:t>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Užsienyje registruotas Tiekėjas, turintis teisę pagal šalies, kurioje jis yra registruotas, įstatymus atlikti jam priskirtus darbus (paslaugas) ir norintis atlikti tokius darbus (paslaugas) Lietuvos Respublikos teritorijoje, turės kreiptis į Aplinkos apsaugos departamentą dėl turimų dokumentų pripažinimo ir prašymo įtraukti jį į Lietuvoje atliekas tvarkančių įmonių registro sąrašą.</w:t>
            </w:r>
          </w:p>
          <w:p w14:paraId="329EE4E5" w14:textId="05EBFA71" w:rsidR="00E94ECA" w:rsidRPr="00EE2642" w:rsidRDefault="00E94ECA" w:rsidP="00E94ECA">
            <w:pPr>
              <w:tabs>
                <w:tab w:val="left" w:pos="1134"/>
              </w:tabs>
              <w:jc w:val="both"/>
              <w:rPr>
                <w:rFonts w:cs="Times New Roman"/>
                <w:szCs w:val="24"/>
              </w:rPr>
            </w:pPr>
            <w:r w:rsidRPr="007F7864">
              <w:rPr>
                <w:rFonts w:cs="Times New Roman"/>
                <w:i/>
                <w:szCs w:val="24"/>
              </w:rPr>
              <w:t>CVP IS priemonėmis pateikiamos skaitmeninės dokumentų kopijos.</w:t>
            </w:r>
          </w:p>
        </w:tc>
      </w:tr>
      <w:tr w:rsidR="00E94ECA" w:rsidRPr="00EE2642" w14:paraId="6AD998F8" w14:textId="77777777" w:rsidTr="008A4311">
        <w:trPr>
          <w:trHeight w:val="271"/>
        </w:trPr>
        <w:tc>
          <w:tcPr>
            <w:tcW w:w="9854" w:type="dxa"/>
            <w:gridSpan w:val="3"/>
            <w:tcBorders>
              <w:top w:val="single" w:sz="4" w:space="0" w:color="auto"/>
              <w:left w:val="single" w:sz="4" w:space="0" w:color="auto"/>
              <w:bottom w:val="single" w:sz="4" w:space="0" w:color="auto"/>
              <w:right w:val="single" w:sz="4" w:space="0" w:color="000000"/>
            </w:tcBorders>
          </w:tcPr>
          <w:p w14:paraId="4FD99FF0" w14:textId="0839F133" w:rsidR="00E94ECA" w:rsidRPr="00E94ECA" w:rsidRDefault="00E94ECA" w:rsidP="00E94ECA">
            <w:pPr>
              <w:pStyle w:val="Default"/>
              <w:tabs>
                <w:tab w:val="left" w:pos="311"/>
              </w:tabs>
              <w:jc w:val="both"/>
              <w:rPr>
                <w:rFonts w:ascii="Times New Roman" w:hAnsi="Times New Roman" w:cs="Times New Roman"/>
                <w:color w:val="auto"/>
                <w:sz w:val="20"/>
                <w:szCs w:val="20"/>
              </w:rPr>
            </w:pPr>
            <w:r w:rsidRPr="003E408C">
              <w:rPr>
                <w:rFonts w:ascii="Times New Roman" w:hAnsi="Times New Roman" w:cs="Times New Roman"/>
                <w:bCs/>
                <w:i/>
                <w:sz w:val="20"/>
                <w:szCs w:val="20"/>
              </w:rPr>
              <w:t>Reikalavimas nustatytas vadovaujantis 2017 m. birželio 29 d. Viešųjų pirkimų tarnybos direktoriaus įsakymo Nr. 1S-105 „Dėl tiekėjų kvalifikacijos reikalavimų nustatymo metodikos patvirtinimo“ (galiojanti suvestinė redakcija (nuo 2022-04-01) 9 punktu.</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lastRenderedPageBreak/>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1F0B4DDB" w:rsidR="00D108BB" w:rsidRPr="00E94ECA" w:rsidRDefault="00D108BB" w:rsidP="00E94ECA">
      <w:pPr>
        <w:pStyle w:val="Sraopastraipa"/>
        <w:numPr>
          <w:ilvl w:val="0"/>
          <w:numId w:val="1"/>
        </w:numPr>
        <w:tabs>
          <w:tab w:val="left" w:pos="1276"/>
        </w:tabs>
        <w:ind w:left="0" w:firstLine="710"/>
        <w:rPr>
          <w:szCs w:val="24"/>
        </w:rPr>
      </w:pPr>
      <w:r w:rsidRPr="00154595">
        <w:rPr>
          <w:szCs w:val="24"/>
        </w:rPr>
        <w:t xml:space="preserve">Perkančioji organizacija šiame </w:t>
      </w:r>
      <w:r w:rsidRPr="00E94ECA">
        <w:rPr>
          <w:szCs w:val="24"/>
        </w:rPr>
        <w:t>pirkime netaiko kokybės vadybos sistemos standartų</w:t>
      </w:r>
      <w:r w:rsidR="00E94ECA" w:rsidRPr="00E94ECA">
        <w:rPr>
          <w:szCs w:val="24"/>
        </w:rPr>
        <w:t xml:space="preserve"> </w:t>
      </w:r>
      <w:r w:rsidR="00E94ECA">
        <w:rPr>
          <w:szCs w:val="24"/>
        </w:rPr>
        <w:t xml:space="preserve">ir </w:t>
      </w:r>
      <w:r w:rsidR="00E94ECA" w:rsidRPr="00E94ECA">
        <w:rPr>
          <w:szCs w:val="24"/>
        </w:rPr>
        <w:t>aplinkos apsaugos vadybos sistemos standartų</w:t>
      </w:r>
      <w:r w:rsidRPr="00E94ECA">
        <w:rPr>
          <w:szCs w:val="24"/>
        </w:rPr>
        <w:t xml:space="preserve"> reikalavimų.</w:t>
      </w:r>
    </w:p>
    <w:p w14:paraId="64F1B802" w14:textId="2A49FC8A" w:rsidR="00FB69BC" w:rsidRPr="00FB69BC" w:rsidRDefault="00FB69BC" w:rsidP="00E94ECA">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4F9DFA7A"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977758">
        <w:rPr>
          <w:rFonts w:eastAsia="Calibri" w:cs="Times New Roman"/>
          <w:b/>
          <w:szCs w:val="24"/>
          <w:lang w:eastAsia="en-US"/>
        </w:rPr>
        <w:t>19</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F51ED8">
      <w:pPr>
        <w:widowControl w:val="0"/>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F51ED8">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F51ED8">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w:t>
      </w:r>
      <w:r w:rsidRPr="0052442B">
        <w:rPr>
          <w:rFonts w:eastAsia="Calibri" w:cs="Times New Roman"/>
          <w:szCs w:val="24"/>
          <w:lang w:eastAsia="en-US"/>
        </w:rPr>
        <w:lastRenderedPageBreak/>
        <w:t xml:space="preserve">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Pateikdamas pasiūlymą tiekėjas sutinka su šiais pirkimo dokumentais ir patvirtina, kad </w:t>
      </w:r>
      <w:r w:rsidRPr="0052442B">
        <w:rPr>
          <w:rFonts w:eastAsia="Calibri" w:cs="Times New Roman"/>
          <w:szCs w:val="24"/>
          <w:lang w:eastAsia="en-US"/>
        </w:rPr>
        <w:lastRenderedPageBreak/>
        <w:t>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1493385E"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darbų apimtis, į </w:t>
      </w:r>
      <w:r w:rsidR="003B14A4" w:rsidRPr="003B14A4">
        <w:rPr>
          <w:rFonts w:eastAsia="Times New Roman" w:cs="Times New Roman"/>
          <w:szCs w:val="24"/>
          <w:lang w:eastAsia="en-US"/>
        </w:rPr>
        <w:lastRenderedPageBreak/>
        <w:t>pasiūlymo kainos sudėtines dalis, į techninės specifikacijos (pirkimo sąlygų 2 priedas) reikalavimus, į pirkimo sutarties projekte numatytą atsiskaitymo už suteiktus darbus terminą bei į visus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 xml:space="preserve">informacija apie pasitelktus ūkio subjektus, kurių pajėgumais remiasi tiekėjas, ir </w:t>
      </w:r>
      <w:r w:rsidRPr="0052442B">
        <w:rPr>
          <w:szCs w:val="24"/>
        </w:rPr>
        <w:lastRenderedPageBreak/>
        <w:t>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52C93A9E" w:rsidR="004C154C" w:rsidRDefault="00303298" w:rsidP="00DF6805">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C82DE6">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C82DE6">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w:t>
      </w:r>
      <w:r w:rsidRPr="0052442B">
        <w:rPr>
          <w:rFonts w:eastAsia="Times New Roman" w:cs="Times New Roman"/>
          <w:color w:val="000000"/>
          <w:szCs w:val="24"/>
          <w:lang w:eastAsia="lt-LT"/>
        </w:rPr>
        <w:lastRenderedPageBreak/>
        <w:t xml:space="preserve">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393E9629"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10193D18" w:rsidR="00E772C9" w:rsidRPr="008B3DC5" w:rsidRDefault="00191CC4" w:rsidP="00596775">
      <w:pPr>
        <w:pStyle w:val="Sraopastraipa"/>
        <w:numPr>
          <w:ilvl w:val="0"/>
          <w:numId w:val="1"/>
        </w:numPr>
        <w:ind w:left="0" w:firstLine="567"/>
        <w:contextualSpacing w:val="0"/>
        <w:rPr>
          <w:szCs w:val="24"/>
        </w:rPr>
      </w:pPr>
      <w:r w:rsidRPr="00E772C9">
        <w:rPr>
          <w:szCs w:val="24"/>
        </w:rPr>
        <w:t xml:space="preserve">Tuo atveju, kai </w:t>
      </w:r>
      <w:r w:rsidRPr="008B3DC5">
        <w:rPr>
          <w:szCs w:val="24"/>
        </w:rPr>
        <w:t>tikslinama pirkimo skelbimuose paskelbta informacija, Viešųjų pirkimų įstatymo 34 straipsnyje nustatyta tvarka</w:t>
      </w:r>
      <w:r w:rsidR="00B2336B" w:rsidRPr="008B3DC5">
        <w:rPr>
          <w:szCs w:val="24"/>
        </w:rPr>
        <w:t xml:space="preserve"> </w:t>
      </w:r>
      <w:r w:rsidR="006572D6" w:rsidRPr="008B3DC5">
        <w:rPr>
          <w:szCs w:val="24"/>
        </w:rPr>
        <w:t>užpildomas ir išsiunčiamas skelbti Pranešimas apie pakeitimus.</w:t>
      </w:r>
    </w:p>
    <w:p w14:paraId="1733F9DE" w14:textId="6E96AF34" w:rsidR="00E772C9" w:rsidRPr="003D1C6B" w:rsidRDefault="00F608CF" w:rsidP="00596775">
      <w:pPr>
        <w:pStyle w:val="Sraopastraipa"/>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15171D2C" w14:textId="55EBFE9D" w:rsidR="00544E82" w:rsidRPr="000C7732" w:rsidRDefault="005707C3" w:rsidP="003326FA">
      <w:pPr>
        <w:pStyle w:val="Sraopastraipa"/>
        <w:numPr>
          <w:ilvl w:val="0"/>
          <w:numId w:val="1"/>
        </w:numPr>
        <w:ind w:left="0" w:firstLine="567"/>
        <w:contextualSpacing w:val="0"/>
        <w:rPr>
          <w:b/>
          <w:szCs w:val="24"/>
        </w:rPr>
      </w:pPr>
      <w:r w:rsidRPr="000C7732">
        <w:rPr>
          <w:bCs/>
          <w:szCs w:val="24"/>
        </w:rPr>
        <w:t>Pirkimo Komisija</w:t>
      </w:r>
      <w:r w:rsidR="004772CD" w:rsidRPr="000C7732">
        <w:rPr>
          <w:bCs/>
          <w:szCs w:val="24"/>
        </w:rPr>
        <w:t xml:space="preserve"> savo iniciatyva gali paaiškinti (patikslinti) pirkimo dokumentus </w:t>
      </w:r>
      <w:r w:rsidR="004772CD" w:rsidRPr="000C7732">
        <w:rPr>
          <w:b/>
          <w:bCs/>
          <w:szCs w:val="24"/>
        </w:rPr>
        <w:t>ne vėliau kaip likus</w:t>
      </w:r>
      <w:r w:rsidR="004772CD" w:rsidRPr="000C7732">
        <w:rPr>
          <w:bCs/>
          <w:szCs w:val="24"/>
        </w:rPr>
        <w:t xml:space="preserve"> </w:t>
      </w:r>
      <w:r w:rsidR="00E36A23" w:rsidRPr="000C7732">
        <w:rPr>
          <w:b/>
          <w:bCs/>
          <w:szCs w:val="24"/>
        </w:rPr>
        <w:t>4</w:t>
      </w:r>
      <w:r w:rsidR="00E515A5" w:rsidRPr="000C7732">
        <w:rPr>
          <w:b/>
          <w:bCs/>
          <w:szCs w:val="24"/>
        </w:rPr>
        <w:t xml:space="preserve"> </w:t>
      </w:r>
      <w:r w:rsidR="004772CD" w:rsidRPr="000C7732">
        <w:rPr>
          <w:b/>
          <w:bCs/>
          <w:szCs w:val="24"/>
        </w:rPr>
        <w:t xml:space="preserve">dienoms </w:t>
      </w:r>
      <w:r w:rsidR="004772CD" w:rsidRPr="000C7732">
        <w:rPr>
          <w:bCs/>
          <w:szCs w:val="24"/>
        </w:rPr>
        <w:t>iki pasiūlymų pateikimo termino pabaigos.</w:t>
      </w:r>
      <w:r w:rsidR="0004689B" w:rsidRPr="000C7732">
        <w:rPr>
          <w:bCs/>
          <w:szCs w:val="24"/>
        </w:rPr>
        <w:t xml:space="preserve"> </w:t>
      </w:r>
    </w:p>
    <w:p w14:paraId="10ECE280" w14:textId="77777777" w:rsidR="000C7732" w:rsidRPr="000C7732" w:rsidRDefault="000C7732" w:rsidP="000C7732">
      <w:pPr>
        <w:pStyle w:val="Sraopastraipa"/>
        <w:numPr>
          <w:ilvl w:val="0"/>
          <w:numId w:val="1"/>
        </w:numPr>
        <w:tabs>
          <w:tab w:val="left" w:pos="1276"/>
        </w:tabs>
        <w:ind w:left="0" w:firstLine="567"/>
        <w:rPr>
          <w:bCs/>
          <w:szCs w:val="24"/>
        </w:rPr>
      </w:pPr>
      <w:r w:rsidRPr="000C7732">
        <w:rPr>
          <w:bCs/>
          <w:szCs w:val="24"/>
        </w:rPr>
        <w:t>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0D2F353E" w14:textId="7F6AE5ED" w:rsidR="000C7732" w:rsidRPr="000C7732" w:rsidRDefault="000C7732" w:rsidP="000C7732">
      <w:pPr>
        <w:rPr>
          <w:b/>
          <w:szCs w:val="24"/>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lastRenderedPageBreak/>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 xml:space="preserve">aplinkos </w:t>
      </w:r>
      <w:r w:rsidRPr="00567679">
        <w:rPr>
          <w:rFonts w:eastAsia="Calibri"/>
          <w:b/>
          <w:szCs w:val="24"/>
        </w:rPr>
        <w:lastRenderedPageBreak/>
        <w:t>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5DBD2752"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5E0576">
        <w:rPr>
          <w:b/>
          <w:szCs w:val="24"/>
        </w:rPr>
        <w:t>84</w:t>
      </w:r>
      <w:r w:rsidR="006B5AB3" w:rsidRPr="00D87207">
        <w:rPr>
          <w:szCs w:val="24"/>
        </w:rPr>
        <w:t xml:space="preserve"> </w:t>
      </w:r>
      <w:r w:rsidRPr="00D87207">
        <w:rPr>
          <w:szCs w:val="24"/>
        </w:rPr>
        <w:t>punkto reikalavimus</w:t>
      </w:r>
      <w:r w:rsidR="00A47CC8" w:rsidRPr="00D87207">
        <w:rPr>
          <w:szCs w:val="24"/>
        </w:rPr>
        <w:t>.</w:t>
      </w:r>
      <w:bookmarkEnd w:id="30"/>
    </w:p>
    <w:p w14:paraId="6BE0ED67" w14:textId="154DF7A2"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5E0576">
        <w:rPr>
          <w:b/>
          <w:szCs w:val="24"/>
        </w:rPr>
        <w:t>93</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 xml:space="preserve">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w:t>
      </w:r>
      <w:r w:rsidRPr="00891757">
        <w:rPr>
          <w:szCs w:val="24"/>
        </w:rPr>
        <w:lastRenderedPageBreak/>
        <w:t>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5E0576">
      <w:pPr>
        <w:pStyle w:val="Sraopastraipa"/>
        <w:numPr>
          <w:ilvl w:val="0"/>
          <w:numId w:val="1"/>
        </w:numPr>
        <w:tabs>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0F741C39" w:rsidR="00B90BA6" w:rsidRPr="005E0576" w:rsidRDefault="00C020D1" w:rsidP="005E0576">
      <w:pPr>
        <w:pStyle w:val="Sraopastraipa"/>
        <w:numPr>
          <w:ilvl w:val="0"/>
          <w:numId w:val="1"/>
        </w:numPr>
        <w:tabs>
          <w:tab w:val="left" w:pos="1276"/>
        </w:tabs>
        <w:ind w:left="0" w:firstLine="567"/>
        <w:contextualSpacing w:val="0"/>
        <w:rPr>
          <w:szCs w:val="24"/>
        </w:rPr>
      </w:pPr>
      <w:r w:rsidRPr="005E0576">
        <w:rPr>
          <w:b/>
          <w:szCs w:val="24"/>
          <w:lang w:eastAsia="lt-LT"/>
        </w:rPr>
        <w:t xml:space="preserve">Sutarties galiojimo laikotarpis: </w:t>
      </w:r>
      <w:r w:rsidR="00977758" w:rsidRPr="005E0576">
        <w:rPr>
          <w:szCs w:val="24"/>
          <w:lang w:eastAsia="lt-LT"/>
        </w:rPr>
        <w:t>2</w:t>
      </w:r>
      <w:r w:rsidR="005E0576" w:rsidRPr="005E0576">
        <w:rPr>
          <w:szCs w:val="24"/>
          <w:lang w:eastAsia="lt-LT"/>
        </w:rPr>
        <w:t>5</w:t>
      </w:r>
      <w:r w:rsidR="005E0576" w:rsidRPr="005E0576">
        <w:rPr>
          <w:szCs w:val="24"/>
        </w:rPr>
        <w:t xml:space="preserve"> mėn</w:t>
      </w:r>
      <w:r w:rsidR="00B90BA6" w:rsidRPr="005E0576">
        <w:rPr>
          <w:szCs w:val="24"/>
        </w:rPr>
        <w:t xml:space="preserve">. </w:t>
      </w:r>
    </w:p>
    <w:p w14:paraId="0A617576" w14:textId="106CBBAC" w:rsidR="00B90BA6" w:rsidRPr="005E0576" w:rsidRDefault="00B041C7" w:rsidP="005E0576">
      <w:pPr>
        <w:pStyle w:val="Sraopastraipa"/>
        <w:numPr>
          <w:ilvl w:val="0"/>
          <w:numId w:val="1"/>
        </w:numPr>
        <w:tabs>
          <w:tab w:val="left" w:pos="1276"/>
        </w:tabs>
        <w:ind w:left="0" w:firstLine="567"/>
        <w:contextualSpacing w:val="0"/>
        <w:rPr>
          <w:szCs w:val="24"/>
        </w:rPr>
      </w:pPr>
      <w:r w:rsidRPr="005E0576">
        <w:rPr>
          <w:szCs w:val="24"/>
        </w:rPr>
        <w:t>Paslaug</w:t>
      </w:r>
      <w:r w:rsidR="00B90BA6" w:rsidRPr="005E0576">
        <w:rPr>
          <w:szCs w:val="24"/>
        </w:rPr>
        <w:t>ų atlikimo trukmė –</w:t>
      </w:r>
      <w:r w:rsidR="00977758" w:rsidRPr="005E0576">
        <w:rPr>
          <w:szCs w:val="24"/>
        </w:rPr>
        <w:t xml:space="preserve"> </w:t>
      </w:r>
      <w:r w:rsidR="005E0576" w:rsidRPr="005E0576">
        <w:rPr>
          <w:szCs w:val="24"/>
        </w:rPr>
        <w:t>24 mėn</w:t>
      </w:r>
      <w:r w:rsidR="00B90BA6" w:rsidRPr="005E0576">
        <w:rPr>
          <w:szCs w:val="24"/>
        </w:rPr>
        <w:t>.</w:t>
      </w:r>
    </w:p>
    <w:p w14:paraId="1D846E6C" w14:textId="18FA7F79" w:rsidR="00C020D1" w:rsidRPr="009527D6" w:rsidRDefault="00C020D1" w:rsidP="005E0576">
      <w:pPr>
        <w:numPr>
          <w:ilvl w:val="0"/>
          <w:numId w:val="1"/>
        </w:numPr>
        <w:tabs>
          <w:tab w:val="left" w:pos="1276"/>
        </w:tabs>
        <w:ind w:left="0" w:firstLine="567"/>
        <w:jc w:val="both"/>
        <w:rPr>
          <w:rFonts w:eastAsia="Calibri" w:cs="Times New Roman"/>
          <w:szCs w:val="24"/>
          <w:lang w:eastAsia="en-US"/>
        </w:rPr>
      </w:pPr>
      <w:r w:rsidRPr="005E0576">
        <w:rPr>
          <w:rFonts w:eastAsia="Calibri" w:cs="Times New Roman"/>
          <w:bCs/>
          <w:szCs w:val="24"/>
          <w:lang w:eastAsia="en-US"/>
        </w:rPr>
        <w:t>Sudarius pirkimo sutartį, tačiau ne vėliau negu</w:t>
      </w:r>
      <w:r w:rsidRPr="009527D6">
        <w:rPr>
          <w:rFonts w:eastAsia="Calibri" w:cs="Times New Roman"/>
          <w:bCs/>
          <w:szCs w:val="24"/>
          <w:lang w:eastAsia="en-US"/>
        </w:rPr>
        <w:t xml:space="preserve"> pirkimo sutartis pradedama vykdyti, tiekėjas įsipareigoja perkančiajai organizacijai pr</w:t>
      </w:r>
      <w:r w:rsidR="00977758">
        <w:rPr>
          <w:rFonts w:eastAsia="Calibri" w:cs="Times New Roman"/>
          <w:bCs/>
          <w:szCs w:val="24"/>
          <w:lang w:eastAsia="en-US"/>
        </w:rPr>
        <w:t>anešti tuo metu žinomų sub</w:t>
      </w:r>
      <w:r w:rsidR="00DA25CD">
        <w:rPr>
          <w:rFonts w:eastAsia="Calibri" w:cs="Times New Roman"/>
          <w:bCs/>
          <w:szCs w:val="24"/>
          <w:lang w:eastAsia="en-US"/>
        </w:rPr>
        <w:t>tiekėj</w:t>
      </w:r>
      <w:r w:rsidRPr="009527D6">
        <w:rPr>
          <w:rFonts w:eastAsia="Calibri" w:cs="Times New Roman"/>
          <w:bCs/>
          <w:szCs w:val="24"/>
          <w:lang w:eastAsia="en-US"/>
        </w:rPr>
        <w:t>ų pavadinimus, kontaktinius duomenis ir jų atstovus. Perkančioji organizacija taip pat reikalauja, kad tiekėjas informuotų apie minėtos informacijos pasikeitimus visu pirkimo sutarties vykdymo metu</w:t>
      </w:r>
      <w:r w:rsidR="00977758">
        <w:rPr>
          <w:rFonts w:eastAsia="Calibri" w:cs="Times New Roman"/>
          <w:bCs/>
          <w:szCs w:val="24"/>
          <w:lang w:eastAsia="en-US"/>
        </w:rPr>
        <w:t>, taip pat apie naujus sub</w:t>
      </w:r>
      <w:r w:rsidR="00DA25CD">
        <w:rPr>
          <w:rFonts w:eastAsia="Calibri" w:cs="Times New Roman"/>
          <w:bCs/>
          <w:szCs w:val="24"/>
          <w:lang w:eastAsia="en-US"/>
        </w:rPr>
        <w:t>tiekėj</w:t>
      </w:r>
      <w:r w:rsidRPr="009527D6">
        <w:rPr>
          <w:rFonts w:eastAsia="Calibri" w:cs="Times New Roman"/>
          <w:bCs/>
          <w:szCs w:val="24"/>
          <w:lang w:eastAsia="en-US"/>
        </w:rPr>
        <w:t>us, kuriuos jis ketina pasitelkti vėliau.</w:t>
      </w:r>
    </w:p>
    <w:p w14:paraId="0236ECB1" w14:textId="086801EC" w:rsidR="00425323" w:rsidRPr="009527D6" w:rsidRDefault="00425323" w:rsidP="005E0576">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5E0576">
      <w:pPr>
        <w:pStyle w:val="Sraopastraipa"/>
        <w:numPr>
          <w:ilvl w:val="0"/>
          <w:numId w:val="1"/>
        </w:numPr>
        <w:tabs>
          <w:tab w:val="left" w:pos="1276"/>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4981E217" w:rsidR="00C020D1" w:rsidRPr="005E0576" w:rsidRDefault="00191CC4" w:rsidP="005E0576">
      <w:pPr>
        <w:numPr>
          <w:ilvl w:val="0"/>
          <w:numId w:val="1"/>
        </w:numPr>
        <w:tabs>
          <w:tab w:val="left" w:pos="1276"/>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 xml:space="preserve">vadovaujantis Kainodaros taisyklių nustatymo metodika, patvirtinta Viešųjų pirkimų tarnybos direktoriaus 2017 m. </w:t>
      </w:r>
      <w:r w:rsidR="00C020D1" w:rsidRPr="005E0576">
        <w:rPr>
          <w:rFonts w:eastAsia="Calibri" w:cs="Times New Roman"/>
          <w:bCs/>
          <w:szCs w:val="24"/>
        </w:rPr>
        <w:t>birželio 28 d. įsakymu Nr. 1S-95 „Dėl Kainodaros taisyklių nustatymo metodikos patvirtinimo“ (Suvestinė redakcija nuo 2022-12-31.), pasirinktas kainos apskaičiavimo būdas –</w:t>
      </w:r>
      <w:r w:rsidR="00A638D3" w:rsidRPr="005E0576">
        <w:rPr>
          <w:rFonts w:eastAsia="Calibri" w:cs="Times New Roman"/>
          <w:bCs/>
          <w:szCs w:val="24"/>
        </w:rPr>
        <w:t xml:space="preserve"> </w:t>
      </w:r>
      <w:r w:rsidR="004B6F5C" w:rsidRPr="005E0576">
        <w:rPr>
          <w:rFonts w:cs="Times New Roman"/>
          <w:b/>
          <w:spacing w:val="2"/>
          <w:shd w:val="clear" w:color="auto" w:fill="FFFFFF"/>
        </w:rPr>
        <w:t>fiksuot</w:t>
      </w:r>
      <w:r w:rsidR="00EA0DAD" w:rsidRPr="005E0576">
        <w:rPr>
          <w:rFonts w:cs="Times New Roman"/>
          <w:b/>
          <w:spacing w:val="2"/>
          <w:shd w:val="clear" w:color="auto" w:fill="FFFFFF"/>
        </w:rPr>
        <w:t>a</w:t>
      </w:r>
      <w:r w:rsidR="00B90BA6" w:rsidRPr="005E0576">
        <w:rPr>
          <w:rFonts w:cs="Times New Roman"/>
          <w:b/>
          <w:spacing w:val="2"/>
          <w:shd w:val="clear" w:color="auto" w:fill="FFFFFF"/>
        </w:rPr>
        <w:t>s</w:t>
      </w:r>
      <w:r w:rsidR="00731B84" w:rsidRPr="005E0576">
        <w:rPr>
          <w:rFonts w:cs="Times New Roman"/>
          <w:b/>
          <w:spacing w:val="2"/>
          <w:shd w:val="clear" w:color="auto" w:fill="FFFFFF"/>
        </w:rPr>
        <w:t xml:space="preserve"> </w:t>
      </w:r>
      <w:r w:rsidR="00B90BA6" w:rsidRPr="005E0576">
        <w:rPr>
          <w:rFonts w:cs="Times New Roman"/>
          <w:b/>
          <w:spacing w:val="2"/>
          <w:shd w:val="clear" w:color="auto" w:fill="FFFFFF"/>
        </w:rPr>
        <w:t>įkainis</w:t>
      </w:r>
      <w:r w:rsidR="00253465" w:rsidRPr="005E0576">
        <w:rPr>
          <w:rFonts w:eastAsia="Calibri" w:cs="Times New Roman"/>
          <w:b/>
          <w:bCs/>
          <w:szCs w:val="24"/>
        </w:rPr>
        <w:t>:</w:t>
      </w:r>
    </w:p>
    <w:p w14:paraId="4BE66940" w14:textId="77777777" w:rsidR="005E0576" w:rsidRPr="005E0576" w:rsidRDefault="005E0576" w:rsidP="005E0576">
      <w:pPr>
        <w:pStyle w:val="Sraopastraipa"/>
        <w:widowControl w:val="0"/>
        <w:numPr>
          <w:ilvl w:val="1"/>
          <w:numId w:val="1"/>
        </w:numPr>
        <w:tabs>
          <w:tab w:val="left" w:pos="1418"/>
        </w:tabs>
        <w:ind w:left="0" w:firstLine="567"/>
        <w:contextualSpacing w:val="0"/>
        <w:rPr>
          <w:rFonts w:eastAsia="Calibri"/>
          <w:b/>
          <w:bCs/>
          <w:szCs w:val="24"/>
        </w:rPr>
      </w:pPr>
      <w:r w:rsidRPr="005E0576">
        <w:rPr>
          <w:szCs w:val="24"/>
        </w:rPr>
        <w:t>pradinės sutarties vertė bus lygi maksimaliai pirkimui skirtai lėšų sumai be PVM pirkimo dokumentuose ir sutartyje nurodytų paslaugų įsigijimui tiekėjo pasiūlyme nurodytais įkainiais be PVM.</w:t>
      </w:r>
      <w:r w:rsidRPr="005E0576">
        <w:rPr>
          <w:sz w:val="23"/>
          <w:szCs w:val="23"/>
        </w:rPr>
        <w:t xml:space="preserve"> </w:t>
      </w:r>
    </w:p>
    <w:p w14:paraId="152F0CAA" w14:textId="7B20B659" w:rsidR="00253465" w:rsidRPr="00253465" w:rsidRDefault="00253465" w:rsidP="00C82DE6">
      <w:pPr>
        <w:pStyle w:val="Sraopastraipa"/>
        <w:widowControl w:val="0"/>
        <w:numPr>
          <w:ilvl w:val="1"/>
          <w:numId w:val="1"/>
        </w:numPr>
        <w:tabs>
          <w:tab w:val="left" w:pos="1418"/>
        </w:tabs>
        <w:ind w:left="0" w:firstLine="567"/>
        <w:contextualSpacing w:val="0"/>
        <w:rPr>
          <w:rFonts w:eastAsia="Calibri"/>
          <w:b/>
          <w:bCs/>
          <w:szCs w:val="24"/>
        </w:rPr>
      </w:pPr>
      <w:r>
        <w:rPr>
          <w:rFonts w:eastAsia="Calibri"/>
          <w:bCs/>
          <w:szCs w:val="24"/>
        </w:rPr>
        <w:t>f</w:t>
      </w:r>
      <w:r w:rsidRPr="00A66E3B">
        <w:rPr>
          <w:rFonts w:eastAsia="Calibri"/>
          <w:bCs/>
          <w:szCs w:val="24"/>
        </w:rPr>
        <w:t xml:space="preserve">iksuoto įkainio </w:t>
      </w:r>
      <w:r>
        <w:rPr>
          <w:rFonts w:eastAsia="Calibri"/>
          <w:bCs/>
          <w:szCs w:val="24"/>
        </w:rPr>
        <w:t>peržiūros taisyklės nustatytos s</w:t>
      </w:r>
      <w:r w:rsidRPr="00A66E3B">
        <w:rPr>
          <w:rFonts w:eastAsia="Calibri"/>
          <w:bCs/>
          <w:szCs w:val="24"/>
        </w:rPr>
        <w:t xml:space="preserve">utarties projekte (pirkimo sąlygų </w:t>
      </w:r>
      <w:r>
        <w:rPr>
          <w:rFonts w:eastAsia="Calibri"/>
          <w:bCs/>
          <w:szCs w:val="24"/>
        </w:rPr>
        <w:t>3</w:t>
      </w:r>
      <w:r w:rsidRPr="00A66E3B">
        <w:rPr>
          <w:rFonts w:eastAsia="Calibri"/>
          <w:bCs/>
          <w:szCs w:val="24"/>
        </w:rPr>
        <w:t xml:space="preserve"> priedas).</w:t>
      </w:r>
    </w:p>
    <w:p w14:paraId="346BA9FA" w14:textId="46B60287" w:rsidR="00875C16" w:rsidRDefault="00191CC4" w:rsidP="00C82DE6">
      <w:pPr>
        <w:widowControl w:val="0"/>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5968EE7F" w14:textId="77777777" w:rsidR="003F3A68" w:rsidRPr="004E76CA" w:rsidRDefault="003F3A68" w:rsidP="003F3A68">
      <w:pPr>
        <w:pStyle w:val="Sraopastraipa"/>
        <w:numPr>
          <w:ilvl w:val="0"/>
          <w:numId w:val="1"/>
        </w:numPr>
        <w:tabs>
          <w:tab w:val="left" w:pos="1418"/>
        </w:tabs>
        <w:ind w:left="0" w:firstLine="567"/>
        <w:rPr>
          <w:rFonts w:eastAsia="Calibri"/>
          <w:bCs/>
          <w:szCs w:val="24"/>
        </w:rPr>
      </w:pPr>
      <w:bookmarkStart w:id="33" w:name="_Ref173412746"/>
      <w:r w:rsidRPr="004E76CA">
        <w:rPr>
          <w:rFonts w:eastAsia="Calibri"/>
          <w:bCs/>
          <w:szCs w:val="24"/>
        </w:rPr>
        <w:t xml:space="preserve">Perkančioji organizacija reikalauja, kad pirkimo sutarties įvykdymas būtų užtikrinamas. </w:t>
      </w:r>
    </w:p>
    <w:p w14:paraId="3BABC813" w14:textId="357B2232" w:rsidR="005E0576" w:rsidRPr="004E76CA" w:rsidRDefault="004E76CA" w:rsidP="007F00D6">
      <w:pPr>
        <w:numPr>
          <w:ilvl w:val="0"/>
          <w:numId w:val="1"/>
        </w:numPr>
        <w:tabs>
          <w:tab w:val="left" w:pos="1418"/>
        </w:tabs>
        <w:ind w:left="0" w:firstLine="567"/>
        <w:jc w:val="both"/>
        <w:rPr>
          <w:rFonts w:eastAsia="Calibri" w:cs="Times New Roman"/>
          <w:bCs/>
          <w:szCs w:val="24"/>
          <w:lang w:eastAsia="en-US"/>
        </w:rPr>
      </w:pPr>
      <w:r w:rsidRPr="004E76CA">
        <w:rPr>
          <w:rFonts w:eastAsia="Calibri" w:cs="Times New Roman"/>
          <w:bCs/>
          <w:szCs w:val="24"/>
          <w:lang w:eastAsia="en-US"/>
        </w:rPr>
        <w:t xml:space="preserve">Tiekėjas ne vėliau kaip per 10 (dešimt) darbo dienų nuo Sutarties pasirašymo dienos turi pateikti </w:t>
      </w:r>
      <w:r>
        <w:rPr>
          <w:rFonts w:eastAsia="Calibri" w:cs="Times New Roman"/>
          <w:bCs/>
          <w:szCs w:val="24"/>
          <w:lang w:eastAsia="en-US"/>
        </w:rPr>
        <w:t xml:space="preserve">perkančiajai organizacijai </w:t>
      </w:r>
      <w:r w:rsidRPr="004E76CA">
        <w:rPr>
          <w:rFonts w:eastAsia="Calibri" w:cs="Times New Roman"/>
          <w:bCs/>
          <w:szCs w:val="24"/>
          <w:lang w:eastAsia="en-US"/>
        </w:rPr>
        <w:t>pirkimo sutarties įvykdymo užtikrinimą – 6 000,00 (šeši tūkstančiai Eur 00 ct.) Eur (be PVM) pirmo pareikalavimo banko garantiją arba draudimo bendrovės laidavimo draudimo raštą</w:t>
      </w:r>
      <w:r>
        <w:rPr>
          <w:rFonts w:eastAsia="Calibri" w:cs="Times New Roman"/>
          <w:bCs/>
          <w:szCs w:val="24"/>
          <w:lang w:eastAsia="en-US"/>
        </w:rPr>
        <w:t xml:space="preserve"> , ar</w:t>
      </w:r>
      <w:r w:rsidRPr="004E76CA">
        <w:rPr>
          <w:rFonts w:eastAsia="Calibri" w:cs="Times New Roman"/>
          <w:bCs/>
          <w:szCs w:val="24"/>
          <w:lang w:eastAsia="en-US"/>
        </w:rPr>
        <w:t xml:space="preserve"> </w:t>
      </w:r>
      <w:r>
        <w:rPr>
          <w:rFonts w:eastAsia="Calibri" w:cs="Times New Roman"/>
          <w:bCs/>
          <w:szCs w:val="24"/>
          <w:lang w:eastAsia="en-US"/>
        </w:rPr>
        <w:t>k</w:t>
      </w:r>
      <w:r w:rsidRPr="004E76CA">
        <w:rPr>
          <w:rFonts w:eastAsia="Calibri" w:cs="Times New Roman"/>
          <w:bCs/>
          <w:szCs w:val="24"/>
          <w:lang w:eastAsia="en-US"/>
        </w:rPr>
        <w:t>redito unijos išduotą Sutarties įvykdymo užtikrinimą, atitinkančius Bendrųjų sąlygų 10 skyriaus reikal</w:t>
      </w:r>
      <w:r>
        <w:rPr>
          <w:rFonts w:eastAsia="Calibri" w:cs="Times New Roman"/>
          <w:bCs/>
          <w:szCs w:val="24"/>
          <w:lang w:eastAsia="en-US"/>
        </w:rPr>
        <w:t>avimus. Esant poreikiui, gavus t</w:t>
      </w:r>
      <w:r w:rsidRPr="004E76CA">
        <w:rPr>
          <w:rFonts w:eastAsia="Calibri" w:cs="Times New Roman"/>
          <w:bCs/>
          <w:szCs w:val="24"/>
          <w:lang w:eastAsia="en-US"/>
        </w:rPr>
        <w:t>iekėjo prašymą, šis terminas gali būti pratęstas Šalių suderintam terminui.</w:t>
      </w:r>
    </w:p>
    <w:bookmarkEnd w:id="33"/>
    <w:p w14:paraId="47D120B3" w14:textId="55CBC294" w:rsidR="003326FA" w:rsidRPr="003F3A68" w:rsidRDefault="003326FA" w:rsidP="003F3A68">
      <w:pPr>
        <w:tabs>
          <w:tab w:val="left" w:pos="1418"/>
        </w:tabs>
        <w:ind w:left="567"/>
        <w:jc w:val="both"/>
        <w:rPr>
          <w:rFonts w:eastAsia="Calibri" w:cs="Times New Roman"/>
          <w:bCs/>
          <w:szCs w:val="24"/>
          <w:highlight w:val="yellow"/>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lastRenderedPageBreak/>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3326FA">
      <w:pPr>
        <w:numPr>
          <w:ilvl w:val="0"/>
          <w:numId w:val="1"/>
        </w:numPr>
        <w:tabs>
          <w:tab w:val="left" w:pos="1418"/>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40AF4FE0" w:rsidR="00700530" w:rsidRPr="00C7085A" w:rsidRDefault="004F1F9B" w:rsidP="007F00D6">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253465" w:rsidRPr="00C7085A">
        <w:t xml:space="preserve">administracijos </w:t>
      </w:r>
      <w:r w:rsidR="00C7085A" w:rsidRPr="00C7085A">
        <w:t>Vietos</w:t>
      </w:r>
      <w:r w:rsidR="007F00D6" w:rsidRPr="00C7085A">
        <w:t xml:space="preserve"> ūkio skyriaus vyr. specialistė </w:t>
      </w:r>
      <w:r w:rsidR="00C7085A" w:rsidRPr="00C7085A">
        <w:t>Roberta Jakum</w:t>
      </w:r>
      <w:r w:rsidR="007F00D6" w:rsidRPr="00C7085A">
        <w:t>ienė</w:t>
      </w:r>
      <w:r w:rsidR="00700530" w:rsidRPr="00C7085A">
        <w:t xml:space="preserve">, el. paštas </w:t>
      </w:r>
      <w:proofErr w:type="spellStart"/>
      <w:r w:rsidR="00C7085A" w:rsidRPr="00C7085A">
        <w:t>roberta.jakum</w:t>
      </w:r>
      <w:r w:rsidR="007F00D6" w:rsidRPr="00C7085A">
        <w:t>iene</w:t>
      </w:r>
      <w:r w:rsidR="00700530" w:rsidRPr="00C7085A">
        <w:t>@plunge.lt</w:t>
      </w:r>
      <w:proofErr w:type="spellEnd"/>
      <w:r w:rsidR="00700530" w:rsidRPr="00C7085A">
        <w:t>;</w:t>
      </w:r>
    </w:p>
    <w:p w14:paraId="5B3AD30A" w14:textId="1185F631" w:rsidR="004F1F9B" w:rsidRPr="00700530" w:rsidRDefault="004F1F9B" w:rsidP="003326FA">
      <w:pPr>
        <w:numPr>
          <w:ilvl w:val="1"/>
          <w:numId w:val="1"/>
        </w:numPr>
        <w:tabs>
          <w:tab w:val="left" w:pos="1418"/>
        </w:tabs>
        <w:ind w:left="0" w:firstLine="567"/>
        <w:jc w:val="both"/>
        <w:rPr>
          <w:rFonts w:eastAsia="Calibri" w:cs="Times New Roman"/>
          <w:bCs/>
          <w:szCs w:val="24"/>
          <w:lang w:eastAsia="en-US"/>
        </w:rPr>
      </w:pPr>
      <w:r w:rsidRPr="00C7085A">
        <w:rPr>
          <w:rFonts w:cs="Times New Roman"/>
          <w:szCs w:val="24"/>
        </w:rPr>
        <w:t xml:space="preserve">viešųjų pirkimų procedūrų klausimais </w:t>
      </w:r>
      <w:r w:rsidR="006F482B" w:rsidRPr="00C7085A">
        <w:rPr>
          <w:rFonts w:eastAsia="Times New Roman" w:cs="Times New Roman"/>
          <w:szCs w:val="20"/>
          <w:lang w:eastAsia="en-US"/>
        </w:rPr>
        <w:t>Plungės rajono savivaldybės administracijos</w:t>
      </w:r>
      <w:r w:rsidR="006F482B" w:rsidRPr="00700530">
        <w:rPr>
          <w:rFonts w:eastAsia="Times New Roman" w:cs="Times New Roman"/>
          <w:szCs w:val="20"/>
          <w:lang w:eastAsia="en-US"/>
        </w:rPr>
        <w:t xml:space="preserve">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3360AA">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FB25" w14:textId="77777777" w:rsidR="00157BAD" w:rsidRDefault="00157BAD" w:rsidP="00191CC4">
      <w:r>
        <w:separator/>
      </w:r>
    </w:p>
    <w:p w14:paraId="4D08721D" w14:textId="77777777" w:rsidR="00157BAD" w:rsidRDefault="00157BAD"/>
  </w:endnote>
  <w:endnote w:type="continuationSeparator" w:id="0">
    <w:p w14:paraId="43558343" w14:textId="77777777" w:rsidR="00157BAD" w:rsidRDefault="00157BAD" w:rsidP="00191CC4">
      <w:r>
        <w:continuationSeparator/>
      </w:r>
    </w:p>
    <w:p w14:paraId="4299848C" w14:textId="77777777" w:rsidR="00157BAD" w:rsidRDefault="0015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C7884" w14:textId="77777777" w:rsidR="00157BAD" w:rsidRDefault="00157BAD" w:rsidP="00191CC4">
      <w:r>
        <w:separator/>
      </w:r>
    </w:p>
    <w:p w14:paraId="7EA84C5F" w14:textId="77777777" w:rsidR="00157BAD" w:rsidRDefault="00157BAD"/>
  </w:footnote>
  <w:footnote w:type="continuationSeparator" w:id="0">
    <w:p w14:paraId="6440614B" w14:textId="77777777" w:rsidR="00157BAD" w:rsidRDefault="00157BAD" w:rsidP="00191CC4">
      <w:r>
        <w:continuationSeparator/>
      </w:r>
    </w:p>
    <w:p w14:paraId="14E16698" w14:textId="77777777" w:rsidR="00157BAD" w:rsidRDefault="00157BAD"/>
  </w:footnote>
  <w:footnote w:id="1">
    <w:p w14:paraId="690EF1E4" w14:textId="77777777" w:rsidR="00974331" w:rsidRDefault="00974331"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974331" w:rsidRPr="00974D4C" w:rsidRDefault="00974331"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974331" w:rsidRPr="00427C59" w:rsidRDefault="00974331"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974331" w:rsidRDefault="00974331"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974331" w:rsidRDefault="00974331"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138402C2" w:rsidR="00974331" w:rsidRDefault="00974331">
        <w:pPr>
          <w:pStyle w:val="Antrats"/>
          <w:jc w:val="center"/>
        </w:pPr>
        <w:r>
          <w:fldChar w:fldCharType="begin"/>
        </w:r>
        <w:r>
          <w:instrText>PAGE   \* MERGEFORMAT</w:instrText>
        </w:r>
        <w:r>
          <w:fldChar w:fldCharType="separate"/>
        </w:r>
        <w:r w:rsidR="00547CEF">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92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0026B"/>
    <w:multiLevelType w:val="hybridMultilevel"/>
    <w:tmpl w:val="903A8D8A"/>
    <w:lvl w:ilvl="0" w:tplc="811C981E">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8605CA"/>
    <w:multiLevelType w:val="hybridMultilevel"/>
    <w:tmpl w:val="903A8D8A"/>
    <w:lvl w:ilvl="0" w:tplc="811C981E">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7"/>
  </w:num>
  <w:num w:numId="5">
    <w:abstractNumId w:val="2"/>
  </w:num>
  <w:num w:numId="6">
    <w:abstractNumId w:val="10"/>
  </w:num>
  <w:num w:numId="7">
    <w:abstractNumId w:val="14"/>
  </w:num>
  <w:num w:numId="8">
    <w:abstractNumId w:val="12"/>
  </w:num>
  <w:num w:numId="9">
    <w:abstractNumId w:val="8"/>
  </w:num>
  <w:num w:numId="10">
    <w:abstractNumId w:val="9"/>
  </w:num>
  <w:num w:numId="11">
    <w:abstractNumId w:val="16"/>
  </w:num>
  <w:num w:numId="12">
    <w:abstractNumId w:val="15"/>
  </w:num>
  <w:num w:numId="13">
    <w:abstractNumId w:val="1"/>
  </w:num>
  <w:num w:numId="14">
    <w:abstractNumId w:val="13"/>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1648"/>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298A"/>
    <w:rsid w:val="001234FB"/>
    <w:rsid w:val="00123612"/>
    <w:rsid w:val="00124800"/>
    <w:rsid w:val="00125BB0"/>
    <w:rsid w:val="00130DEA"/>
    <w:rsid w:val="00130FFF"/>
    <w:rsid w:val="0013484D"/>
    <w:rsid w:val="001348C2"/>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57BAD"/>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08B5"/>
    <w:rsid w:val="001F5C21"/>
    <w:rsid w:val="00200460"/>
    <w:rsid w:val="002009BD"/>
    <w:rsid w:val="00201266"/>
    <w:rsid w:val="00201390"/>
    <w:rsid w:val="00202044"/>
    <w:rsid w:val="002021A7"/>
    <w:rsid w:val="00202A36"/>
    <w:rsid w:val="00202B09"/>
    <w:rsid w:val="00202DD1"/>
    <w:rsid w:val="00205C83"/>
    <w:rsid w:val="0021016B"/>
    <w:rsid w:val="00211644"/>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6B9C"/>
    <w:rsid w:val="002D70FE"/>
    <w:rsid w:val="002D7303"/>
    <w:rsid w:val="002D7CEF"/>
    <w:rsid w:val="002E03D0"/>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5E66"/>
    <w:rsid w:val="003360A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66979"/>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3A6D"/>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3A68"/>
    <w:rsid w:val="003F691C"/>
    <w:rsid w:val="00400C78"/>
    <w:rsid w:val="00402D03"/>
    <w:rsid w:val="0040366B"/>
    <w:rsid w:val="00403A2D"/>
    <w:rsid w:val="0040427B"/>
    <w:rsid w:val="00404A1E"/>
    <w:rsid w:val="004058E9"/>
    <w:rsid w:val="00405AFB"/>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3B76"/>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D6E54"/>
    <w:rsid w:val="004E1238"/>
    <w:rsid w:val="004E1494"/>
    <w:rsid w:val="004E1AB9"/>
    <w:rsid w:val="004E33B5"/>
    <w:rsid w:val="004E33F7"/>
    <w:rsid w:val="004E4969"/>
    <w:rsid w:val="004E49DF"/>
    <w:rsid w:val="004E4E46"/>
    <w:rsid w:val="004E76CA"/>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47CEF"/>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2D6"/>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0B7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2134"/>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576"/>
    <w:rsid w:val="005E0694"/>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1352"/>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572D6"/>
    <w:rsid w:val="00660B45"/>
    <w:rsid w:val="00663061"/>
    <w:rsid w:val="0066567B"/>
    <w:rsid w:val="00666AAC"/>
    <w:rsid w:val="00667C09"/>
    <w:rsid w:val="00670F66"/>
    <w:rsid w:val="00672F7D"/>
    <w:rsid w:val="006745A9"/>
    <w:rsid w:val="0067609C"/>
    <w:rsid w:val="0068193F"/>
    <w:rsid w:val="006819B4"/>
    <w:rsid w:val="00684C34"/>
    <w:rsid w:val="00686C96"/>
    <w:rsid w:val="0068711E"/>
    <w:rsid w:val="00692D80"/>
    <w:rsid w:val="00692F2C"/>
    <w:rsid w:val="00693600"/>
    <w:rsid w:val="0069434C"/>
    <w:rsid w:val="00694B59"/>
    <w:rsid w:val="00696DE7"/>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1C6E"/>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4852"/>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2D1A"/>
    <w:rsid w:val="00772D27"/>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0D6"/>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4E8F"/>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45F75"/>
    <w:rsid w:val="00847E70"/>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3DC5"/>
    <w:rsid w:val="008B42E9"/>
    <w:rsid w:val="008B4B90"/>
    <w:rsid w:val="008B5AE0"/>
    <w:rsid w:val="008B79DA"/>
    <w:rsid w:val="008C1858"/>
    <w:rsid w:val="008C1DA7"/>
    <w:rsid w:val="008C25AC"/>
    <w:rsid w:val="008C71CD"/>
    <w:rsid w:val="008C7E9D"/>
    <w:rsid w:val="008D0FBF"/>
    <w:rsid w:val="008D1578"/>
    <w:rsid w:val="008D38A0"/>
    <w:rsid w:val="008D44F5"/>
    <w:rsid w:val="008D62CB"/>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07691"/>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33B8"/>
    <w:rsid w:val="009442A4"/>
    <w:rsid w:val="00944AAD"/>
    <w:rsid w:val="00945A34"/>
    <w:rsid w:val="00946064"/>
    <w:rsid w:val="0095166B"/>
    <w:rsid w:val="009521B9"/>
    <w:rsid w:val="009527D6"/>
    <w:rsid w:val="00953024"/>
    <w:rsid w:val="00954C82"/>
    <w:rsid w:val="00956183"/>
    <w:rsid w:val="00957946"/>
    <w:rsid w:val="00957B66"/>
    <w:rsid w:val="009614A8"/>
    <w:rsid w:val="009626B7"/>
    <w:rsid w:val="009646F5"/>
    <w:rsid w:val="0096497B"/>
    <w:rsid w:val="00964B62"/>
    <w:rsid w:val="00967F80"/>
    <w:rsid w:val="009713A2"/>
    <w:rsid w:val="00971974"/>
    <w:rsid w:val="0097249D"/>
    <w:rsid w:val="00972FB6"/>
    <w:rsid w:val="00973477"/>
    <w:rsid w:val="00974331"/>
    <w:rsid w:val="009767FC"/>
    <w:rsid w:val="009772E8"/>
    <w:rsid w:val="0097775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810"/>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3A6"/>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4D56"/>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41C7"/>
    <w:rsid w:val="00B05445"/>
    <w:rsid w:val="00B06B10"/>
    <w:rsid w:val="00B0713C"/>
    <w:rsid w:val="00B10581"/>
    <w:rsid w:val="00B11E40"/>
    <w:rsid w:val="00B12C45"/>
    <w:rsid w:val="00B14016"/>
    <w:rsid w:val="00B148AD"/>
    <w:rsid w:val="00B14B43"/>
    <w:rsid w:val="00B157C5"/>
    <w:rsid w:val="00B16F23"/>
    <w:rsid w:val="00B219E5"/>
    <w:rsid w:val="00B21C9C"/>
    <w:rsid w:val="00B220E6"/>
    <w:rsid w:val="00B2308D"/>
    <w:rsid w:val="00B2336B"/>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7AA"/>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4CC9"/>
    <w:rsid w:val="00B6616E"/>
    <w:rsid w:val="00B669C0"/>
    <w:rsid w:val="00B66C43"/>
    <w:rsid w:val="00B66D8B"/>
    <w:rsid w:val="00B677E9"/>
    <w:rsid w:val="00B720C9"/>
    <w:rsid w:val="00B723F0"/>
    <w:rsid w:val="00B72C6C"/>
    <w:rsid w:val="00B72E48"/>
    <w:rsid w:val="00B73E64"/>
    <w:rsid w:val="00B741C4"/>
    <w:rsid w:val="00B76D4D"/>
    <w:rsid w:val="00B77416"/>
    <w:rsid w:val="00B8038E"/>
    <w:rsid w:val="00B809D1"/>
    <w:rsid w:val="00B827C3"/>
    <w:rsid w:val="00B839D8"/>
    <w:rsid w:val="00B84C0B"/>
    <w:rsid w:val="00B863A5"/>
    <w:rsid w:val="00B86A0C"/>
    <w:rsid w:val="00B87355"/>
    <w:rsid w:val="00B90A7B"/>
    <w:rsid w:val="00B90BA6"/>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68E"/>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BB4"/>
    <w:rsid w:val="00BF7EAC"/>
    <w:rsid w:val="00C020D1"/>
    <w:rsid w:val="00C05104"/>
    <w:rsid w:val="00C06056"/>
    <w:rsid w:val="00C1049E"/>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85A"/>
    <w:rsid w:val="00C70AF8"/>
    <w:rsid w:val="00C72741"/>
    <w:rsid w:val="00C732DE"/>
    <w:rsid w:val="00C733EA"/>
    <w:rsid w:val="00C74A06"/>
    <w:rsid w:val="00C76AC6"/>
    <w:rsid w:val="00C77B78"/>
    <w:rsid w:val="00C8003F"/>
    <w:rsid w:val="00C802C1"/>
    <w:rsid w:val="00C82676"/>
    <w:rsid w:val="00C82DE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32D4"/>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C09"/>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062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25CD"/>
    <w:rsid w:val="00DA3100"/>
    <w:rsid w:val="00DA32B6"/>
    <w:rsid w:val="00DA3A04"/>
    <w:rsid w:val="00DA41FB"/>
    <w:rsid w:val="00DA4F26"/>
    <w:rsid w:val="00DA583E"/>
    <w:rsid w:val="00DA757F"/>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CF4"/>
    <w:rsid w:val="00E23D98"/>
    <w:rsid w:val="00E23FD0"/>
    <w:rsid w:val="00E251EB"/>
    <w:rsid w:val="00E258C9"/>
    <w:rsid w:val="00E27E32"/>
    <w:rsid w:val="00E300EC"/>
    <w:rsid w:val="00E302D6"/>
    <w:rsid w:val="00E31202"/>
    <w:rsid w:val="00E313A6"/>
    <w:rsid w:val="00E32242"/>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4ECA"/>
    <w:rsid w:val="00E95280"/>
    <w:rsid w:val="00E960EE"/>
    <w:rsid w:val="00E9703A"/>
    <w:rsid w:val="00EA0DAD"/>
    <w:rsid w:val="00EA17C9"/>
    <w:rsid w:val="00EA2AC4"/>
    <w:rsid w:val="00EA2FB0"/>
    <w:rsid w:val="00EA591E"/>
    <w:rsid w:val="00EA6292"/>
    <w:rsid w:val="00EB1160"/>
    <w:rsid w:val="00EB2794"/>
    <w:rsid w:val="00EB2A41"/>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2E04"/>
    <w:rsid w:val="00F3789E"/>
    <w:rsid w:val="00F43963"/>
    <w:rsid w:val="00F43F22"/>
    <w:rsid w:val="00F44A2D"/>
    <w:rsid w:val="00F455C9"/>
    <w:rsid w:val="00F46C9E"/>
    <w:rsid w:val="00F46FA6"/>
    <w:rsid w:val="00F470E5"/>
    <w:rsid w:val="00F4776E"/>
    <w:rsid w:val="00F47D91"/>
    <w:rsid w:val="00F500D3"/>
    <w:rsid w:val="00F50958"/>
    <w:rsid w:val="00F51248"/>
    <w:rsid w:val="00F51ED8"/>
    <w:rsid w:val="00F5323B"/>
    <w:rsid w:val="00F55133"/>
    <w:rsid w:val="00F56284"/>
    <w:rsid w:val="00F57BBB"/>
    <w:rsid w:val="00F57DC4"/>
    <w:rsid w:val="00F608A7"/>
    <w:rsid w:val="00F608CF"/>
    <w:rsid w:val="00F60AB0"/>
    <w:rsid w:val="00F62E55"/>
    <w:rsid w:val="00F64CCA"/>
    <w:rsid w:val="00F65385"/>
    <w:rsid w:val="00F6667D"/>
    <w:rsid w:val="00F66FAE"/>
    <w:rsid w:val="00F670B7"/>
    <w:rsid w:val="00F673FB"/>
    <w:rsid w:val="00F72767"/>
    <w:rsid w:val="00F72951"/>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B7C18"/>
    <w:rsid w:val="00FC0949"/>
    <w:rsid w:val="00FC2592"/>
    <w:rsid w:val="00FC27B5"/>
    <w:rsid w:val="00FC2DE4"/>
    <w:rsid w:val="00FC374B"/>
    <w:rsid w:val="00FC3F49"/>
    <w:rsid w:val="00FC4854"/>
    <w:rsid w:val="00FC6050"/>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8D7"/>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12277469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ais.eu/atvr-viesa-paies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5335C-54D3-4666-B12B-F7B6C11B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32842</Words>
  <Characters>18720</Characters>
  <Application>Microsoft Office Word</Application>
  <DocSecurity>0</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Vaida Burčikienė</cp:lastModifiedBy>
  <cp:revision>2</cp:revision>
  <cp:lastPrinted>2024-06-06T11:24:00Z</cp:lastPrinted>
  <dcterms:created xsi:type="dcterms:W3CDTF">2025-11-19T10:03:00Z</dcterms:created>
  <dcterms:modified xsi:type="dcterms:W3CDTF">2025-11-19T10:03:00Z</dcterms:modified>
</cp:coreProperties>
</file>