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ED52F" w14:textId="30A053D4" w:rsidR="00801C5E" w:rsidRPr="00D06688" w:rsidRDefault="00D06688">
      <w:pPr>
        <w:rPr>
          <w:rFonts w:ascii="Times New Roman" w:hAnsi="Times New Roman" w:cs="Times New Roman"/>
        </w:rPr>
      </w:pPr>
      <w:r w:rsidRPr="00D06688">
        <w:rPr>
          <w:rFonts w:ascii="Times New Roman" w:hAnsi="Times New Roman" w:cs="Times New Roman"/>
        </w:rPr>
        <w:t>Klausimai-atsakymai</w:t>
      </w:r>
    </w:p>
    <w:p w14:paraId="53A8ACD6" w14:textId="77777777" w:rsidR="00926143" w:rsidRPr="00D06688" w:rsidRDefault="00801C5E" w:rsidP="00D06688">
      <w:pPr>
        <w:pStyle w:val="Sraopastraipa"/>
        <w:numPr>
          <w:ilvl w:val="0"/>
          <w:numId w:val="1"/>
        </w:numPr>
        <w:tabs>
          <w:tab w:val="left" w:pos="567"/>
        </w:tabs>
        <w:ind w:left="0" w:firstLine="0"/>
        <w:rPr>
          <w:rFonts w:ascii="Times New Roman" w:hAnsi="Times New Roman" w:cs="Times New Roman"/>
        </w:rPr>
      </w:pPr>
      <w:r w:rsidRPr="00D06688">
        <w:rPr>
          <w:rFonts w:ascii="Times New Roman" w:hAnsi="Times New Roman" w:cs="Times New Roman"/>
        </w:rPr>
        <w:t xml:space="preserve">Prašome pateikti technines specifikacijas </w:t>
      </w:r>
      <w:proofErr w:type="spellStart"/>
      <w:r w:rsidRPr="00D06688">
        <w:rPr>
          <w:rFonts w:ascii="Times New Roman" w:hAnsi="Times New Roman" w:cs="Times New Roman"/>
        </w:rPr>
        <w:t>geotekstilės</w:t>
      </w:r>
      <w:proofErr w:type="spellEnd"/>
      <w:r w:rsidRPr="00D06688">
        <w:rPr>
          <w:rFonts w:ascii="Times New Roman" w:hAnsi="Times New Roman" w:cs="Times New Roman"/>
        </w:rPr>
        <w:t xml:space="preserve">, kuri naudojama po </w:t>
      </w:r>
      <w:proofErr w:type="spellStart"/>
      <w:r w:rsidRPr="00D06688">
        <w:rPr>
          <w:rFonts w:ascii="Times New Roman" w:hAnsi="Times New Roman" w:cs="Times New Roman"/>
        </w:rPr>
        <w:t>akmenbetoniu</w:t>
      </w:r>
      <w:proofErr w:type="spellEnd"/>
      <w:r w:rsidRPr="00D06688">
        <w:rPr>
          <w:rFonts w:ascii="Times New Roman" w:hAnsi="Times New Roman" w:cs="Times New Roman"/>
        </w:rPr>
        <w:t xml:space="preserve"> ties pralaidų antgaliais.</w:t>
      </w:r>
    </w:p>
    <w:p w14:paraId="291F5DB1" w14:textId="42F01D59" w:rsidR="00926143" w:rsidRPr="00D06688" w:rsidRDefault="00926143" w:rsidP="00926143">
      <w:pPr>
        <w:autoSpaceDE w:val="0"/>
        <w:autoSpaceDN w:val="0"/>
        <w:adjustRightInd w:val="0"/>
        <w:spacing w:after="0" w:line="360" w:lineRule="auto"/>
        <w:jc w:val="both"/>
        <w:rPr>
          <w:rFonts w:ascii="Times New Roman" w:eastAsia="ArialMT"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 xml:space="preserve">Projekto techninėse specifikacijose nurodyta, </w:t>
      </w:r>
      <w:r w:rsidRPr="00D06688">
        <w:rPr>
          <w:rFonts w:ascii="Times New Roman" w:eastAsia="ArialMT" w:hAnsi="Times New Roman" w:cs="Times New Roman"/>
          <w:color w:val="4472C4" w:themeColor="accent1"/>
          <w:kern w:val="0"/>
          <w:lang w:eastAsia="lt-LT"/>
          <w14:ligatures w14:val="none"/>
        </w:rPr>
        <w:t xml:space="preserve">kad sąnaudų kiekių žiniaraščiuose, brėžiniuose, aiškinamajame rašte ir techninėse specifikacijose nurodyti medžiagų ir gaminių pavadinimai </w:t>
      </w:r>
      <w:r w:rsidRPr="00D06688">
        <w:rPr>
          <w:rFonts w:ascii="Times New Roman" w:eastAsia="Times New Roman" w:hAnsi="Times New Roman" w:cs="Times New Roman"/>
          <w:color w:val="4472C4" w:themeColor="accent1"/>
          <w:kern w:val="0"/>
          <w:lang w:eastAsia="lt-LT"/>
          <w14:ligatures w14:val="none"/>
        </w:rPr>
        <w:t>yra priimti kaip analogai nustatant statybos ska</w:t>
      </w:r>
      <w:r w:rsidRPr="00D06688">
        <w:rPr>
          <w:rFonts w:ascii="Times New Roman" w:eastAsia="ArialMT" w:hAnsi="Times New Roman" w:cs="Times New Roman"/>
          <w:color w:val="4472C4" w:themeColor="accent1"/>
          <w:kern w:val="0"/>
          <w:lang w:eastAsia="lt-LT"/>
          <w14:ligatures w14:val="none"/>
        </w:rPr>
        <w:t>ičiuojamąją kainą ir jie gali būti keičiami į analogiškos paskirties ne blogesnių techninių charakteristikų medžiagas ar gaminius.</w:t>
      </w:r>
    </w:p>
    <w:p w14:paraId="335A0E04" w14:textId="77777777" w:rsidR="00926143" w:rsidRPr="00D06688" w:rsidRDefault="00926143" w:rsidP="00926143">
      <w:pPr>
        <w:spacing w:before="100" w:beforeAutospacing="1" w:after="100" w:afterAutospacing="1" w:line="276" w:lineRule="auto"/>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iCs/>
          <w:color w:val="4472C4" w:themeColor="accent1"/>
          <w:kern w:val="0"/>
          <w:lang w:eastAsia="lt-LT"/>
          <w14:ligatures w14:val="none"/>
        </w:rPr>
        <w:t xml:space="preserve">Pateikiame neaustinės </w:t>
      </w:r>
      <w:proofErr w:type="spellStart"/>
      <w:r w:rsidRPr="00D06688">
        <w:rPr>
          <w:rFonts w:ascii="Times New Roman" w:eastAsia="Times New Roman" w:hAnsi="Times New Roman" w:cs="Times New Roman"/>
          <w:iCs/>
          <w:color w:val="4472C4" w:themeColor="accent1"/>
          <w:kern w:val="0"/>
          <w:lang w:eastAsia="lt-LT"/>
          <w14:ligatures w14:val="none"/>
        </w:rPr>
        <w:t>geotekstilės</w:t>
      </w:r>
      <w:proofErr w:type="spellEnd"/>
      <w:r w:rsidRPr="00D06688">
        <w:rPr>
          <w:rFonts w:ascii="Times New Roman" w:eastAsia="Times New Roman" w:hAnsi="Times New Roman" w:cs="Times New Roman"/>
          <w:iCs/>
          <w:color w:val="4472C4" w:themeColor="accent1"/>
          <w:kern w:val="0"/>
          <w:lang w:eastAsia="lt-LT"/>
          <w14:ligatures w14:val="none"/>
        </w:rPr>
        <w:t xml:space="preserve"> techninę specifikaciją, kuri tenkina MN </w:t>
      </w:r>
      <w:proofErr w:type="spellStart"/>
      <w:r w:rsidRPr="00D06688">
        <w:rPr>
          <w:rFonts w:ascii="Times New Roman" w:eastAsia="Times New Roman" w:hAnsi="Times New Roman" w:cs="Times New Roman"/>
          <w:iCs/>
          <w:color w:val="4472C4" w:themeColor="accent1"/>
          <w:kern w:val="0"/>
          <w:lang w:eastAsia="lt-LT"/>
          <w14:ligatures w14:val="none"/>
        </w:rPr>
        <w:t>Geosint</w:t>
      </w:r>
      <w:proofErr w:type="spellEnd"/>
      <w:r w:rsidRPr="00D06688">
        <w:rPr>
          <w:rFonts w:ascii="Times New Roman" w:eastAsia="Times New Roman" w:hAnsi="Times New Roman" w:cs="Times New Roman"/>
          <w:iCs/>
          <w:color w:val="4472C4" w:themeColor="accent1"/>
          <w:kern w:val="0"/>
          <w:lang w:eastAsia="lt-LT"/>
          <w14:ligatures w14:val="none"/>
        </w:rPr>
        <w:t xml:space="preserve"> ŽD 13, bei TRA </w:t>
      </w:r>
      <w:proofErr w:type="spellStart"/>
      <w:r w:rsidRPr="00D06688">
        <w:rPr>
          <w:rFonts w:ascii="Times New Roman" w:eastAsia="Times New Roman" w:hAnsi="Times New Roman" w:cs="Times New Roman"/>
          <w:iCs/>
          <w:color w:val="4472C4" w:themeColor="accent1"/>
          <w:kern w:val="0"/>
          <w:lang w:eastAsia="lt-LT"/>
          <w14:ligatures w14:val="none"/>
        </w:rPr>
        <w:t>Geosint</w:t>
      </w:r>
      <w:proofErr w:type="spellEnd"/>
      <w:r w:rsidRPr="00D06688">
        <w:rPr>
          <w:rFonts w:ascii="Times New Roman" w:eastAsia="Times New Roman" w:hAnsi="Times New Roman" w:cs="Times New Roman"/>
          <w:iCs/>
          <w:color w:val="4472C4" w:themeColor="accent1"/>
          <w:kern w:val="0"/>
          <w:lang w:eastAsia="lt-LT"/>
          <w14:ligatures w14:val="none"/>
        </w:rPr>
        <w:t xml:space="preserve"> ŽD 13 pateiktus reikalavimus. Medžiaga turi būti neprastesnių savybių nei nurodoma lentelėje žemiau: </w:t>
      </w:r>
    </w:p>
    <w:tbl>
      <w:tblPr>
        <w:tblW w:w="0" w:type="auto"/>
        <w:tblInd w:w="108" w:type="dxa"/>
        <w:tblCellMar>
          <w:left w:w="0" w:type="dxa"/>
          <w:right w:w="0" w:type="dxa"/>
        </w:tblCellMar>
        <w:tblLook w:val="04A0" w:firstRow="1" w:lastRow="0" w:firstColumn="1" w:lastColumn="0" w:noHBand="0" w:noVBand="1"/>
      </w:tblPr>
      <w:tblGrid>
        <w:gridCol w:w="4702"/>
        <w:gridCol w:w="4394"/>
      </w:tblGrid>
      <w:tr w:rsidR="00926143" w:rsidRPr="00D06688" w14:paraId="0A8CD584" w14:textId="77777777">
        <w:trPr>
          <w:cantSplit/>
          <w:trHeight w:val="324"/>
        </w:trPr>
        <w:tc>
          <w:tcPr>
            <w:tcW w:w="4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D88A91"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b/>
                <w:bCs/>
                <w:color w:val="4472C4" w:themeColor="accent1"/>
                <w:kern w:val="0"/>
                <w:lang w:eastAsia="lt-LT"/>
                <w14:ligatures w14:val="none"/>
              </w:rPr>
              <w:t>Funkcijos</w:t>
            </w:r>
          </w:p>
          <w:p w14:paraId="2E48B1B9"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b/>
                <w:bCs/>
                <w:color w:val="4472C4" w:themeColor="accent1"/>
                <w:kern w:val="0"/>
                <w:lang w:eastAsia="lt-LT"/>
                <w14:ligatures w14:val="none"/>
              </w:rPr>
              <w:t>Savybės</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D6BFE7"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proofErr w:type="spellStart"/>
            <w:r w:rsidRPr="00D06688">
              <w:rPr>
                <w:rFonts w:ascii="Times New Roman" w:eastAsia="Times New Roman" w:hAnsi="Times New Roman" w:cs="Times New Roman"/>
                <w:b/>
                <w:bCs/>
                <w:color w:val="4472C4" w:themeColor="accent1"/>
                <w:kern w:val="0"/>
                <w:lang w:eastAsia="lt-LT"/>
                <w14:ligatures w14:val="none"/>
              </w:rPr>
              <w:t>Geosintetinių</w:t>
            </w:r>
            <w:proofErr w:type="spellEnd"/>
            <w:r w:rsidRPr="00D06688">
              <w:rPr>
                <w:rFonts w:ascii="Times New Roman" w:eastAsia="Times New Roman" w:hAnsi="Times New Roman" w:cs="Times New Roman"/>
                <w:b/>
                <w:bCs/>
                <w:color w:val="4472C4" w:themeColor="accent1"/>
                <w:kern w:val="0"/>
                <w:lang w:eastAsia="lt-LT"/>
                <w14:ligatures w14:val="none"/>
              </w:rPr>
              <w:t xml:space="preserve"> užtvarų apsauga (minimalios/maksimalios reikšmės)</w:t>
            </w:r>
          </w:p>
        </w:tc>
      </w:tr>
      <w:tr w:rsidR="00926143" w:rsidRPr="00D06688" w14:paraId="14DD2333" w14:textId="77777777">
        <w:trPr>
          <w:trHeight w:val="257"/>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7DF33"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Plotinis tankis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756A94D8"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GRK 4 ≥ 250 g/m</w:t>
            </w:r>
            <w:r w:rsidRPr="00D06688">
              <w:rPr>
                <w:rFonts w:ascii="Times New Roman" w:eastAsia="Times New Roman" w:hAnsi="Times New Roman" w:cs="Times New Roman"/>
                <w:color w:val="4472C4" w:themeColor="accent1"/>
                <w:kern w:val="0"/>
                <w:vertAlign w:val="superscript"/>
                <w:lang w:eastAsia="lt-LT"/>
                <w14:ligatures w14:val="none"/>
              </w:rPr>
              <w:t>2</w:t>
            </w:r>
          </w:p>
        </w:tc>
      </w:tr>
      <w:tr w:rsidR="00926143" w:rsidRPr="00D06688" w14:paraId="18FC4E2A" w14:textId="77777777">
        <w:trPr>
          <w:trHeight w:val="257"/>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C1168"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Storis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85466E6"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 1,6 mm</w:t>
            </w:r>
          </w:p>
        </w:tc>
      </w:tr>
      <w:tr w:rsidR="00926143" w:rsidRPr="00D06688" w14:paraId="21C1EE5F" w14:textId="77777777">
        <w:trPr>
          <w:trHeight w:val="257"/>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F6C1D"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Atsparumas statiniam pradūrimui</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5BF3599E"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 xml:space="preserve">GRK 4 ≥ 2,5 </w:t>
            </w:r>
            <w:proofErr w:type="spellStart"/>
            <w:r w:rsidRPr="00D06688">
              <w:rPr>
                <w:rFonts w:ascii="Times New Roman" w:eastAsia="Times New Roman" w:hAnsi="Times New Roman" w:cs="Times New Roman"/>
                <w:color w:val="4472C4" w:themeColor="accent1"/>
                <w:kern w:val="0"/>
                <w:lang w:eastAsia="lt-LT"/>
                <w14:ligatures w14:val="none"/>
              </w:rPr>
              <w:t>kN</w:t>
            </w:r>
            <w:proofErr w:type="spellEnd"/>
          </w:p>
        </w:tc>
      </w:tr>
      <w:tr w:rsidR="00926143" w:rsidRPr="00D06688" w14:paraId="737101DC" w14:textId="77777777">
        <w:trPr>
          <w:trHeight w:val="257"/>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28289"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 xml:space="preserve">Stipris tempiant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7B69B4F"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F</w:t>
            </w:r>
            <w:r w:rsidRPr="00D06688">
              <w:rPr>
                <w:rFonts w:ascii="Times New Roman" w:eastAsia="Times New Roman" w:hAnsi="Times New Roman" w:cs="Times New Roman"/>
                <w:color w:val="4472C4" w:themeColor="accent1"/>
                <w:kern w:val="0"/>
                <w:vertAlign w:val="subscript"/>
                <w:lang w:eastAsia="lt-LT"/>
                <w14:ligatures w14:val="none"/>
              </w:rPr>
              <w:t>k,5%</w:t>
            </w:r>
            <w:r w:rsidRPr="00D06688">
              <w:rPr>
                <w:rFonts w:ascii="Times New Roman" w:eastAsia="Times New Roman" w:hAnsi="Times New Roman" w:cs="Times New Roman"/>
                <w:color w:val="4472C4" w:themeColor="accent1"/>
                <w:kern w:val="0"/>
                <w:lang w:eastAsia="lt-LT"/>
                <w14:ligatures w14:val="none"/>
              </w:rPr>
              <w:t xml:space="preserve"> ≥ 20 </w:t>
            </w:r>
            <w:proofErr w:type="spellStart"/>
            <w:r w:rsidRPr="00D06688">
              <w:rPr>
                <w:rFonts w:ascii="Times New Roman" w:eastAsia="Times New Roman" w:hAnsi="Times New Roman" w:cs="Times New Roman"/>
                <w:color w:val="4472C4" w:themeColor="accent1"/>
                <w:kern w:val="0"/>
                <w:lang w:eastAsia="lt-LT"/>
                <w14:ligatures w14:val="none"/>
              </w:rPr>
              <w:t>kN</w:t>
            </w:r>
            <w:proofErr w:type="spellEnd"/>
            <w:r w:rsidRPr="00D06688">
              <w:rPr>
                <w:rFonts w:ascii="Times New Roman" w:eastAsia="Times New Roman" w:hAnsi="Times New Roman" w:cs="Times New Roman"/>
                <w:color w:val="4472C4" w:themeColor="accent1"/>
                <w:kern w:val="0"/>
                <w:lang w:eastAsia="lt-LT"/>
                <w14:ligatures w14:val="none"/>
              </w:rPr>
              <w:t>/m</w:t>
            </w:r>
          </w:p>
        </w:tc>
      </w:tr>
      <w:tr w:rsidR="00926143" w:rsidRPr="00D06688" w14:paraId="5C049F73" w14:textId="77777777">
        <w:trPr>
          <w:trHeight w:val="273"/>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13ECB"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Pailgėjimas esant didžiausiai apkrovai</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1AB2E4EA"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 35 %</w:t>
            </w:r>
          </w:p>
        </w:tc>
      </w:tr>
      <w:tr w:rsidR="00926143" w:rsidRPr="00D06688" w14:paraId="6A5238E1" w14:textId="77777777">
        <w:trPr>
          <w:trHeight w:val="273"/>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5F2B1"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proofErr w:type="spellStart"/>
            <w:r w:rsidRPr="00D06688">
              <w:rPr>
                <w:rFonts w:ascii="Times New Roman" w:eastAsia="Times New Roman" w:hAnsi="Times New Roman" w:cs="Times New Roman"/>
                <w:color w:val="4472C4" w:themeColor="accent1"/>
                <w:kern w:val="0"/>
                <w:lang w:eastAsia="lt-LT"/>
                <w14:ligatures w14:val="none"/>
              </w:rPr>
              <w:t>Valkšnumas</w:t>
            </w:r>
            <w:proofErr w:type="spellEnd"/>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A1C4A11"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w:t>
            </w:r>
          </w:p>
        </w:tc>
      </w:tr>
      <w:tr w:rsidR="00926143" w:rsidRPr="00D06688" w14:paraId="23207ACC" w14:textId="77777777">
        <w:trPr>
          <w:trHeight w:val="273"/>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CED3F"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Trintis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5B067E19"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w:t>
            </w:r>
          </w:p>
        </w:tc>
      </w:tr>
      <w:tr w:rsidR="00926143" w:rsidRPr="00D06688" w14:paraId="676001A3" w14:textId="77777777">
        <w:trPr>
          <w:trHeight w:val="273"/>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3A54C"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Sugadinimas instaliuojant</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7CB92F7E"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GRK4</w:t>
            </w:r>
          </w:p>
        </w:tc>
      </w:tr>
      <w:tr w:rsidR="00926143" w:rsidRPr="00D06688" w14:paraId="21DF46C1" w14:textId="77777777">
        <w:trPr>
          <w:trHeight w:val="273"/>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BB6A2"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 xml:space="preserve">Apsaugos efektyvumas (300 </w:t>
            </w:r>
            <w:proofErr w:type="spellStart"/>
            <w:r w:rsidRPr="00D06688">
              <w:rPr>
                <w:rFonts w:ascii="Times New Roman" w:eastAsia="Times New Roman" w:hAnsi="Times New Roman" w:cs="Times New Roman"/>
                <w:color w:val="4472C4" w:themeColor="accent1"/>
                <w:kern w:val="0"/>
                <w:lang w:eastAsia="lt-LT"/>
                <w14:ligatures w14:val="none"/>
              </w:rPr>
              <w:t>kPa</w:t>
            </w:r>
            <w:proofErr w:type="spellEnd"/>
            <w:r w:rsidRPr="00D06688">
              <w:rPr>
                <w:rFonts w:ascii="Times New Roman" w:eastAsia="Times New Roman" w:hAnsi="Times New Roman" w:cs="Times New Roman"/>
                <w:color w:val="4472C4" w:themeColor="accent1"/>
                <w:kern w:val="0"/>
                <w:lang w:eastAsia="lt-LT"/>
                <w14:ligatures w14:val="none"/>
              </w:rPr>
              <w:t>)</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D0A5EAF"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 1,7 %</w:t>
            </w:r>
          </w:p>
        </w:tc>
      </w:tr>
      <w:tr w:rsidR="00926143" w:rsidRPr="00D06688" w14:paraId="79D1EEC2" w14:textId="77777777">
        <w:trPr>
          <w:trHeight w:val="273"/>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A122A"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Būdingasis kiaurymės matmuo</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508783A3"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0,045 mm ≤ pasirinktas O</w:t>
            </w:r>
            <w:r w:rsidRPr="00D06688">
              <w:rPr>
                <w:rFonts w:ascii="Times New Roman" w:eastAsia="Times New Roman" w:hAnsi="Times New Roman" w:cs="Times New Roman"/>
                <w:color w:val="4472C4" w:themeColor="accent1"/>
                <w:kern w:val="0"/>
                <w:vertAlign w:val="subscript"/>
                <w:lang w:eastAsia="lt-LT"/>
                <w14:ligatures w14:val="none"/>
              </w:rPr>
              <w:t>90</w:t>
            </w:r>
            <w:r w:rsidRPr="00D06688">
              <w:rPr>
                <w:rFonts w:ascii="Times New Roman" w:eastAsia="Times New Roman" w:hAnsi="Times New Roman" w:cs="Times New Roman"/>
                <w:color w:val="4472C4" w:themeColor="accent1"/>
                <w:kern w:val="0"/>
                <w:lang w:eastAsia="lt-LT"/>
                <w14:ligatures w14:val="none"/>
              </w:rPr>
              <w:t xml:space="preserve"> ≤ 0,13 mm</w:t>
            </w:r>
          </w:p>
        </w:tc>
      </w:tr>
      <w:tr w:rsidR="00926143" w:rsidRPr="00D06688" w14:paraId="39C83EF6" w14:textId="77777777">
        <w:trPr>
          <w:trHeight w:val="264"/>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193EC"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Pralaidumas vandeniui</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6E54798E"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K</w:t>
            </w:r>
            <w:r w:rsidRPr="00D06688">
              <w:rPr>
                <w:rFonts w:ascii="Times New Roman" w:eastAsia="Times New Roman" w:hAnsi="Times New Roman" w:cs="Times New Roman"/>
                <w:color w:val="4472C4" w:themeColor="accent1"/>
                <w:kern w:val="0"/>
                <w:vertAlign w:val="subscript"/>
                <w:lang w:eastAsia="lt-LT"/>
                <w14:ligatures w14:val="none"/>
              </w:rPr>
              <w:t>v,5</w:t>
            </w:r>
            <w:r w:rsidRPr="00D06688">
              <w:rPr>
                <w:rFonts w:ascii="Times New Roman" w:eastAsia="Times New Roman" w:hAnsi="Times New Roman" w:cs="Times New Roman"/>
                <w:color w:val="4472C4" w:themeColor="accent1"/>
                <w:kern w:val="0"/>
                <w:lang w:eastAsia="lt-LT"/>
                <w14:ligatures w14:val="none"/>
              </w:rPr>
              <w:t>%≥1×10</w:t>
            </w:r>
            <w:r w:rsidRPr="00D06688">
              <w:rPr>
                <w:rFonts w:ascii="Times New Roman" w:eastAsia="Times New Roman" w:hAnsi="Times New Roman" w:cs="Times New Roman"/>
                <w:color w:val="4472C4" w:themeColor="accent1"/>
                <w:kern w:val="0"/>
                <w:vertAlign w:val="superscript"/>
                <w:lang w:eastAsia="lt-LT"/>
                <w14:ligatures w14:val="none"/>
              </w:rPr>
              <w:t>-4</w:t>
            </w:r>
            <w:r w:rsidRPr="00D06688">
              <w:rPr>
                <w:rFonts w:ascii="Times New Roman" w:eastAsia="Times New Roman" w:hAnsi="Times New Roman" w:cs="Times New Roman"/>
                <w:color w:val="4472C4" w:themeColor="accent1"/>
                <w:kern w:val="0"/>
                <w:lang w:eastAsia="lt-LT"/>
                <w14:ligatures w14:val="none"/>
              </w:rPr>
              <w:t xml:space="preserve"> m/s</w:t>
            </w:r>
          </w:p>
        </w:tc>
      </w:tr>
      <w:tr w:rsidR="00926143" w:rsidRPr="00D06688" w14:paraId="58B7516D" w14:textId="77777777">
        <w:trPr>
          <w:trHeight w:val="232"/>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43F4E"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Cheminio senėjimo atsparumas</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D684E"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Mažiausiai 25 metai, gaminiai naudojami tik natūriniame grunte (4≤pH≤9) bei grunto temperatūra &lt;25˚C</w:t>
            </w:r>
          </w:p>
        </w:tc>
      </w:tr>
      <w:tr w:rsidR="00926143" w:rsidRPr="00D06688" w14:paraId="0010DC75" w14:textId="77777777">
        <w:trPr>
          <w:trHeight w:val="232"/>
        </w:trPr>
        <w:tc>
          <w:tcPr>
            <w:tcW w:w="4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B9B51" w14:textId="77777777" w:rsidR="00926143" w:rsidRPr="00D06688" w:rsidRDefault="00926143" w:rsidP="00926143">
            <w:pPr>
              <w:spacing w:before="100" w:beforeAutospacing="1" w:after="100" w:afterAutospacing="1" w:line="280" w:lineRule="exact"/>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Atmosferos poveikio atsparumas</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2284D" w14:textId="77777777" w:rsidR="00926143" w:rsidRPr="00D06688" w:rsidRDefault="00926143" w:rsidP="00926143">
            <w:pPr>
              <w:spacing w:before="100" w:beforeAutospacing="1" w:after="100" w:afterAutospacing="1" w:line="280" w:lineRule="exact"/>
              <w:jc w:val="center"/>
              <w:rPr>
                <w:rFonts w:ascii="Times New Roman" w:eastAsia="Times New Roman" w:hAnsi="Times New Roman" w:cs="Times New Roman"/>
                <w:color w:val="4472C4" w:themeColor="accent1"/>
                <w:kern w:val="0"/>
                <w:lang w:eastAsia="lt-LT"/>
                <w14:ligatures w14:val="none"/>
              </w:rPr>
            </w:pPr>
            <w:r w:rsidRPr="00D06688">
              <w:rPr>
                <w:rFonts w:ascii="Times New Roman" w:eastAsia="Times New Roman" w:hAnsi="Times New Roman" w:cs="Times New Roman"/>
                <w:color w:val="4472C4" w:themeColor="accent1"/>
                <w:kern w:val="0"/>
                <w:lang w:eastAsia="lt-LT"/>
                <w14:ligatures w14:val="none"/>
              </w:rPr>
              <w:t>Pagal MN GEOSINT ŽD 13 IX skyriaus IV skirsnio 425 punkto 6 lentelės reikalavimus, bei gamintojo rekomendacijas</w:t>
            </w:r>
          </w:p>
        </w:tc>
      </w:tr>
    </w:tbl>
    <w:p w14:paraId="6C4CE19F" w14:textId="11B5E6D9" w:rsidR="006A18AE" w:rsidRPr="00D06688" w:rsidRDefault="00801C5E" w:rsidP="00926143">
      <w:pPr>
        <w:ind w:left="360"/>
        <w:rPr>
          <w:rFonts w:ascii="Times New Roman" w:hAnsi="Times New Roman" w:cs="Times New Roman"/>
        </w:rPr>
      </w:pPr>
      <w:r w:rsidRPr="00D06688">
        <w:rPr>
          <w:rFonts w:ascii="Times New Roman" w:hAnsi="Times New Roman" w:cs="Times New Roman"/>
        </w:rPr>
        <w:br/>
        <w:t>2. Prašome pateikti technines specifikacijas betonui, kuris naudojamas šlaito ir dugno tvirtinimui.</w:t>
      </w:r>
    </w:p>
    <w:p w14:paraId="2B424987" w14:textId="77777777" w:rsidR="00926143" w:rsidRPr="00D06688" w:rsidRDefault="00926143" w:rsidP="00926143">
      <w:pPr>
        <w:rPr>
          <w:rFonts w:ascii="Times New Roman" w:hAnsi="Times New Roman" w:cs="Times New Roman"/>
          <w:color w:val="4472C4" w:themeColor="accent1"/>
        </w:rPr>
      </w:pPr>
      <w:r w:rsidRPr="00D06688">
        <w:rPr>
          <w:rFonts w:ascii="Times New Roman" w:hAnsi="Times New Roman" w:cs="Times New Roman"/>
          <w:iCs/>
          <w:color w:val="4472C4" w:themeColor="accent1"/>
        </w:rPr>
        <w:t xml:space="preserve"> Šlaitų ir dugno tvirtinimo darbams prie pralaidos numatytas betonas -  </w:t>
      </w:r>
      <w:r w:rsidRPr="00D06688">
        <w:rPr>
          <w:rFonts w:ascii="Times New Roman" w:hAnsi="Times New Roman" w:cs="Times New Roman"/>
          <w:color w:val="4472C4" w:themeColor="accent1"/>
        </w:rPr>
        <w:t>C30/37, W6, XF4, F150, Cl 0,20-16-S2.</w:t>
      </w:r>
    </w:p>
    <w:p w14:paraId="4BCF33DE" w14:textId="77777777" w:rsidR="00926143" w:rsidRPr="00D06688" w:rsidRDefault="00926143" w:rsidP="00926143">
      <w:pPr>
        <w:rPr>
          <w:rFonts w:ascii="Times New Roman" w:hAnsi="Times New Roman" w:cs="Times New Roman"/>
        </w:rPr>
      </w:pPr>
    </w:p>
    <w:p w14:paraId="4CCB5F13" w14:textId="6F1EBFD1" w:rsidR="00926143" w:rsidRPr="00D06688" w:rsidRDefault="00D06688" w:rsidP="00D06688">
      <w:pPr>
        <w:rPr>
          <w:rFonts w:ascii="Times New Roman" w:hAnsi="Times New Roman" w:cs="Times New Roman"/>
        </w:rPr>
      </w:pPr>
      <w:r w:rsidRPr="00D06688">
        <w:rPr>
          <w:rFonts w:ascii="Times New Roman" w:hAnsi="Times New Roman" w:cs="Times New Roman"/>
        </w:rPr>
        <w:t>3.</w:t>
      </w:r>
      <w:r w:rsidR="00801C5E" w:rsidRPr="00D06688">
        <w:rPr>
          <w:rFonts w:ascii="Times New Roman" w:hAnsi="Times New Roman" w:cs="Times New Roman"/>
        </w:rPr>
        <w:t xml:space="preserve">Sutarties 7.5. punkte numatyta - Delspinigių dydis pagal Bendrosios dalies 71 punktą: 0,05 proc. nuo pradinės Sutarties vertės. Pažymėtina, jog sudarant sutartį šalys turi būti lygios ir negali dominuoti viena kitos atžvilgiu ir tam, kad netesybų taikymas netaptų nepagrįsto vienos šalies </w:t>
      </w:r>
      <w:r w:rsidR="00801C5E" w:rsidRPr="00D06688">
        <w:rPr>
          <w:rFonts w:ascii="Times New Roman" w:hAnsi="Times New Roman" w:cs="Times New Roman"/>
        </w:rPr>
        <w:lastRenderedPageBreak/>
        <w:t>praturtėjimo kitos šalies atžvilgiu prielaida, prašome koreguoti delspinigių taikymą ir delspinigius taikyti nuo vėluojamų atlikti/ neatliktų darbų vertės, bet ne nuo visos sutarties kainos ir tokiu būdu grąžinti sutarties šalių lygybę.</w:t>
      </w:r>
    </w:p>
    <w:p w14:paraId="6B29601A" w14:textId="77777777" w:rsidR="00926143" w:rsidRPr="00D06688" w:rsidRDefault="00926143" w:rsidP="00926143">
      <w:pPr>
        <w:pStyle w:val="Sraopastraipa"/>
        <w:rPr>
          <w:rFonts w:ascii="Times New Roman" w:hAnsi="Times New Roman" w:cs="Times New Roman"/>
        </w:rPr>
      </w:pPr>
    </w:p>
    <w:p w14:paraId="25313479" w14:textId="0F46664F" w:rsidR="00926143" w:rsidRPr="00D06688" w:rsidRDefault="00926143" w:rsidP="00926143">
      <w:pPr>
        <w:ind w:left="360"/>
        <w:rPr>
          <w:rFonts w:ascii="Times New Roman" w:hAnsi="Times New Roman" w:cs="Times New Roman"/>
          <w:color w:val="4472C4" w:themeColor="accent1"/>
        </w:rPr>
      </w:pPr>
      <w:r w:rsidRPr="00D06688">
        <w:rPr>
          <w:rFonts w:ascii="Times New Roman" w:hAnsi="Times New Roman" w:cs="Times New Roman"/>
          <w:color w:val="4472C4" w:themeColor="accent1"/>
        </w:rPr>
        <w:t xml:space="preserve">Šios sutarties sąlygos perkančioji organizacija nekeis, kadangi tokia sąlyga nėra laikytina neteisėta. Minėta sąlyga dėl delspinigių dydžio pagal Bendrosios dalies </w:t>
      </w:r>
      <w:r w:rsidR="001E6618" w:rsidRPr="00D06688">
        <w:rPr>
          <w:rFonts w:ascii="Times New Roman" w:hAnsi="Times New Roman" w:cs="Times New Roman"/>
          <w:color w:val="4472C4" w:themeColor="accent1"/>
        </w:rPr>
        <w:t>71</w:t>
      </w:r>
      <w:r w:rsidRPr="00D06688">
        <w:rPr>
          <w:rFonts w:ascii="Times New Roman" w:hAnsi="Times New Roman" w:cs="Times New Roman"/>
          <w:color w:val="4472C4" w:themeColor="accent1"/>
        </w:rPr>
        <w:t xml:space="preserve"> punktą taikytina tik dėl tyčinio Rangovo veikimų/neveikimo (nepagrįstai uždelsęs atlikti Darbus pagal Sutartį arba dėl savo kaltės pavėlavęs įvykdyti kitus įsipareigojimus) ir esant būtent tokiai sąlygai Sutar</w:t>
      </w:r>
      <w:r w:rsidR="00D06688" w:rsidRPr="00D06688">
        <w:rPr>
          <w:rFonts w:ascii="Times New Roman" w:hAnsi="Times New Roman" w:cs="Times New Roman"/>
          <w:color w:val="4472C4" w:themeColor="accent1"/>
        </w:rPr>
        <w:t>t</w:t>
      </w:r>
      <w:r w:rsidRPr="00D06688">
        <w:rPr>
          <w:rFonts w:ascii="Times New Roman" w:hAnsi="Times New Roman" w:cs="Times New Roman"/>
          <w:color w:val="4472C4" w:themeColor="accent1"/>
        </w:rPr>
        <w:t xml:space="preserve">yje siekiama </w:t>
      </w:r>
      <w:r w:rsidR="00D06688" w:rsidRPr="00D06688">
        <w:rPr>
          <w:rFonts w:ascii="Times New Roman" w:hAnsi="Times New Roman" w:cs="Times New Roman"/>
          <w:color w:val="4472C4" w:themeColor="accent1"/>
        </w:rPr>
        <w:t>atgrasyti</w:t>
      </w:r>
      <w:r w:rsidRPr="00D06688">
        <w:rPr>
          <w:rFonts w:ascii="Times New Roman" w:hAnsi="Times New Roman" w:cs="Times New Roman"/>
          <w:color w:val="4472C4" w:themeColor="accent1"/>
        </w:rPr>
        <w:t xml:space="preserve"> Rangovą nuo nepagrįsto ir nepateisinamo vėlavimo pagal Sutartį. </w:t>
      </w:r>
    </w:p>
    <w:p w14:paraId="033A8232" w14:textId="78FA76A6" w:rsidR="00801C5E" w:rsidRPr="00D06688" w:rsidRDefault="00D06688" w:rsidP="00D06688">
      <w:pPr>
        <w:rPr>
          <w:rFonts w:ascii="Times New Roman" w:hAnsi="Times New Roman" w:cs="Times New Roman"/>
        </w:rPr>
      </w:pPr>
      <w:r w:rsidRPr="00D06688">
        <w:rPr>
          <w:rFonts w:ascii="Times New Roman" w:hAnsi="Times New Roman" w:cs="Times New Roman"/>
        </w:rPr>
        <w:t>4.</w:t>
      </w:r>
      <w:r w:rsidR="00801C5E" w:rsidRPr="00D06688">
        <w:rPr>
          <w:rFonts w:ascii="Times New Roman" w:hAnsi="Times New Roman" w:cs="Times New Roman"/>
        </w:rPr>
        <w:t xml:space="preserve"> Sutarties 7.6. punkte numatyta - Garantinių įsipareigojimų įvykdymo užtikrinimas pagal Bendrosios dalies 74–75 punktus 10 proc. nuo Sutarties kainos su PVM. Prašome koreguoti šį punktą ir numatytą procentinį dydį sumažinti iki 5 proc., kas pagal praktiką yra standartinis užtikrinimo dydis statinio garantiniu 3 metų laikotarpiui.</w:t>
      </w:r>
    </w:p>
    <w:p w14:paraId="0339CC19" w14:textId="3FA52137" w:rsidR="00801C5E" w:rsidRPr="00D06688" w:rsidRDefault="00926143" w:rsidP="00801C5E">
      <w:pPr>
        <w:rPr>
          <w:rFonts w:ascii="Times New Roman" w:hAnsi="Times New Roman" w:cs="Times New Roman"/>
          <w:color w:val="4472C4" w:themeColor="accent1"/>
        </w:rPr>
      </w:pPr>
      <w:r w:rsidRPr="00D06688">
        <w:rPr>
          <w:rFonts w:ascii="Times New Roman" w:hAnsi="Times New Roman" w:cs="Times New Roman"/>
          <w:color w:val="4472C4" w:themeColor="accent1"/>
        </w:rPr>
        <w:t>Sutarties 7.6 punkte nustatytas 10 proc. garantinių įsipareigojimų įvykdymo užtikrinimo dydis yra pasirinktas atsižvelgiant į perkančiosios organizacijos poreikį užtikrinti tinkamą atliktų darbų kokybę ir rizikų valdymą viso garantinio laikotarpio metu. Nors praktikoje taikomi skirtingi užtikrinimo dydžiai, pasirinktas 10 proc. dydis yra teisės aktams neprieštaraujantis ir perkančiosios organizacijos vertinimu proporcingas pirkimo objektui</w:t>
      </w:r>
      <w:r w:rsidR="001E6618" w:rsidRPr="00D06688">
        <w:rPr>
          <w:rFonts w:ascii="Times New Roman" w:hAnsi="Times New Roman" w:cs="Times New Roman"/>
          <w:color w:val="4472C4" w:themeColor="accent1"/>
        </w:rPr>
        <w:t>.</w:t>
      </w:r>
    </w:p>
    <w:p w14:paraId="05CEA300" w14:textId="4630E204" w:rsidR="00D06688" w:rsidRDefault="00D06688" w:rsidP="00D06688">
      <w:pPr>
        <w:pStyle w:val="prastasiniatinklio"/>
        <w:rPr>
          <w:color w:val="000000"/>
        </w:rPr>
      </w:pPr>
      <w:r w:rsidRPr="00D06688">
        <w:rPr>
          <w:color w:val="000000"/>
        </w:rPr>
        <w:t>5.</w:t>
      </w:r>
      <w:r w:rsidRPr="00D06688">
        <w:rPr>
          <w:color w:val="000000"/>
        </w:rPr>
        <w:t xml:space="preserve"> </w:t>
      </w:r>
      <w:r>
        <w:rPr>
          <w:color w:val="000000"/>
        </w:rPr>
        <w:t xml:space="preserve">Sutartyje </w:t>
      </w:r>
      <w:r w:rsidRPr="00D06688">
        <w:rPr>
          <w:color w:val="000000"/>
        </w:rPr>
        <w:t>nurodyta:</w:t>
      </w:r>
      <w:r w:rsidRPr="00D06688">
        <w:rPr>
          <w:noProof/>
        </w:rPr>
        <w:t xml:space="preserve"> </w:t>
      </w:r>
      <w:r w:rsidRPr="00957575">
        <w:rPr>
          <w:noProof/>
        </w:rPr>
        <w:drawing>
          <wp:inline distT="0" distB="0" distL="0" distR="0" wp14:anchorId="135108C4" wp14:editId="02438698">
            <wp:extent cx="6120130" cy="782320"/>
            <wp:effectExtent l="0" t="0" r="0" b="0"/>
            <wp:docPr id="7676815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81544" name=""/>
                    <pic:cNvPicPr/>
                  </pic:nvPicPr>
                  <pic:blipFill>
                    <a:blip r:embed="rId5"/>
                    <a:stretch>
                      <a:fillRect/>
                    </a:stretch>
                  </pic:blipFill>
                  <pic:spPr>
                    <a:xfrm>
                      <a:off x="0" y="0"/>
                      <a:ext cx="6120130" cy="782320"/>
                    </a:xfrm>
                    <a:prstGeom prst="rect">
                      <a:avLst/>
                    </a:prstGeom>
                  </pic:spPr>
                </pic:pic>
              </a:graphicData>
            </a:graphic>
          </wp:inline>
        </w:drawing>
      </w:r>
    </w:p>
    <w:p w14:paraId="634FDCB0" w14:textId="77777777" w:rsidR="00D06688" w:rsidRPr="00D06688" w:rsidRDefault="00D06688" w:rsidP="00D06688">
      <w:pPr>
        <w:pStyle w:val="prastasiniatinklio"/>
        <w:rPr>
          <w:color w:val="000000"/>
        </w:rPr>
      </w:pPr>
      <w:r w:rsidRPr="00D06688">
        <w:rPr>
          <w:color w:val="000000"/>
        </w:rPr>
        <w:t>O tuo tarpu Konkurso specialiųjų sąlygų 6.1.9 p. nurodyta:</w:t>
      </w:r>
    </w:p>
    <w:p w14:paraId="09D233CB" w14:textId="77777777" w:rsidR="00D06688" w:rsidRPr="00D06688" w:rsidRDefault="00D06688" w:rsidP="00D06688">
      <w:pPr>
        <w:pStyle w:val="prastasiniatinklio"/>
        <w:rPr>
          <w:color w:val="000000"/>
        </w:rPr>
      </w:pPr>
      <w:r w:rsidRPr="00D06688">
        <w:rPr>
          <w:color w:val="000000"/>
        </w:rPr>
        <w:t>Kitaip tariant sutartyje nurodyta, kad Rangovas kartu su pasiūlymu turi pateikti Veiklų sąrašą, o tuo tarpu Konkurso sąlygose tokio reikalavimo nėra.</w:t>
      </w:r>
    </w:p>
    <w:p w14:paraId="51A07AAC" w14:textId="6B0DA923" w:rsidR="00D06688" w:rsidRPr="00D06688" w:rsidRDefault="00D06688" w:rsidP="00D06688">
      <w:pPr>
        <w:pStyle w:val="prastasiniatinklio"/>
        <w:rPr>
          <w:color w:val="000000"/>
        </w:rPr>
      </w:pPr>
      <w:r w:rsidRPr="00D06688">
        <w:rPr>
          <w:color w:val="000000"/>
        </w:rPr>
        <w:t xml:space="preserve"> Prašome nurodyti ar tiekėjai kartu su pasiūlymu turi pateikti veiklų sąrašą? Jei taip, tai prašome nurodyti konkretų konkurso sąlygų punktą.</w:t>
      </w:r>
    </w:p>
    <w:p w14:paraId="148F0668" w14:textId="77777777" w:rsidR="00D06688" w:rsidRPr="00D06688" w:rsidRDefault="00D06688" w:rsidP="00D06688">
      <w:pPr>
        <w:pStyle w:val="prastasiniatinklio"/>
        <w:rPr>
          <w:color w:val="0070C0"/>
        </w:rPr>
      </w:pPr>
      <w:r w:rsidRPr="00D06688">
        <w:rPr>
          <w:color w:val="0070C0"/>
        </w:rPr>
        <w:t>Veiklų sąrašas neprivalomas. Pridedame patikslintą Sutarties projektą (pakoreguoti Specialiosios dalies 11.4. p. ir Bendrosios dalies 61.3 p.).</w:t>
      </w:r>
    </w:p>
    <w:p w14:paraId="4DF5892A" w14:textId="058D0BAE" w:rsidR="00D06688" w:rsidRPr="00D06688" w:rsidRDefault="00D06688" w:rsidP="00D06688">
      <w:pPr>
        <w:pStyle w:val="prastasiniatinklio"/>
        <w:rPr>
          <w:color w:val="000000"/>
        </w:rPr>
      </w:pPr>
      <w:r w:rsidRPr="00D06688">
        <w:rPr>
          <w:color w:val="000000"/>
        </w:rPr>
        <w:t>6</w:t>
      </w:r>
      <w:r w:rsidRPr="00D06688">
        <w:rPr>
          <w:color w:val="000000"/>
        </w:rPr>
        <w:t>. Prašome paaiškinti kokius kiekių žiniaraščius tiekėjas turės pateikti laimėjimo atveju per 5 darbo dienas nuo sutarties pasirašymo? Pateikite kiekių žiniaraščių sąvokos apibrėžimą ir pvz.</w:t>
      </w:r>
    </w:p>
    <w:p w14:paraId="5F9BF1BD" w14:textId="77777777" w:rsidR="00D06688" w:rsidRPr="00D06688" w:rsidRDefault="00D06688" w:rsidP="00D06688">
      <w:pPr>
        <w:pStyle w:val="prastasiniatinklio"/>
        <w:rPr>
          <w:color w:val="000000"/>
        </w:rPr>
      </w:pPr>
      <w:r w:rsidRPr="00D06688">
        <w:rPr>
          <w:color w:val="000000"/>
        </w:rPr>
        <w:t>Bet kokiu atveju pirkimo dokumentai turi būti aiškūs ir konkretūs. Už dviprasmybes atsako tik Perkančioji organizacija.</w:t>
      </w:r>
    </w:p>
    <w:p w14:paraId="7C95C58F" w14:textId="77777777" w:rsidR="00D06688" w:rsidRDefault="00D06688" w:rsidP="00D06688">
      <w:pPr>
        <w:pStyle w:val="prastasiniatinklio"/>
        <w:rPr>
          <w:color w:val="0070C0"/>
        </w:rPr>
      </w:pPr>
      <w:r w:rsidRPr="00D06688">
        <w:rPr>
          <w:color w:val="0070C0"/>
        </w:rPr>
        <w:t xml:space="preserve">Sutarties kainos (įkainių) </w:t>
      </w:r>
      <w:proofErr w:type="spellStart"/>
      <w:r w:rsidRPr="00D06688">
        <w:rPr>
          <w:color w:val="0070C0"/>
        </w:rPr>
        <w:t>detalizacijos</w:t>
      </w:r>
      <w:proofErr w:type="spellEnd"/>
      <w:r w:rsidRPr="00D06688">
        <w:rPr>
          <w:color w:val="0070C0"/>
        </w:rPr>
        <w:t xml:space="preserve"> žiniaraštis (detalūs sąmatiniai skaičiavimai su darbų įkainiais) pateikiamas sutarties projekto priede Nr. 6, kuris yra tas pats kas ir lokalinės sąmatos.</w:t>
      </w:r>
    </w:p>
    <w:p w14:paraId="330F172D" w14:textId="178CD7E3" w:rsidR="00EE5A9A" w:rsidRPr="00EE5A9A" w:rsidRDefault="00EE5A9A" w:rsidP="00EE5A9A">
      <w:pPr>
        <w:pStyle w:val="prastasiniatinklio"/>
        <w:jc w:val="both"/>
        <w:rPr>
          <w:color w:val="000000"/>
        </w:rPr>
      </w:pPr>
      <w:r w:rsidRPr="00EE5A9A">
        <w:rPr>
          <w:color w:val="000000"/>
        </w:rPr>
        <w:lastRenderedPageBreak/>
        <w:t>7.</w:t>
      </w:r>
      <w:r w:rsidRPr="00EE5A9A">
        <w:rPr>
          <w:color w:val="000000"/>
        </w:rPr>
        <w:t>Pastabos sutarčiai</w:t>
      </w:r>
    </w:p>
    <w:p w14:paraId="64F8F5E2" w14:textId="77777777" w:rsidR="00EE5A9A" w:rsidRPr="00EE5A9A" w:rsidRDefault="00EE5A9A" w:rsidP="00EE5A9A">
      <w:pPr>
        <w:pStyle w:val="prastasiniatinklio"/>
        <w:jc w:val="both"/>
        <w:rPr>
          <w:color w:val="000000"/>
        </w:rPr>
      </w:pPr>
      <w:r w:rsidRPr="00EE5A9A">
        <w:rPr>
          <w:color w:val="000000"/>
        </w:rPr>
        <w:t>I. Sutarties 41.7 p. nurodyta, kad Rangovas Sutarties IX skyriuje „Sutartinių prievolių įvykdymo užtikrinimas“ nustatyta tvarka pateikė Užsakovui garantinių įsipareigojimų įvykdymo užtikrinimą.</w:t>
      </w:r>
    </w:p>
    <w:p w14:paraId="3DFDC574" w14:textId="77777777" w:rsidR="00EE5A9A" w:rsidRPr="00EE5A9A" w:rsidRDefault="00EE5A9A" w:rsidP="00EE5A9A">
      <w:pPr>
        <w:pStyle w:val="prastasiniatinklio"/>
        <w:jc w:val="both"/>
        <w:rPr>
          <w:color w:val="000000"/>
        </w:rPr>
      </w:pPr>
      <w:r w:rsidRPr="00EE5A9A">
        <w:rPr>
          <w:color w:val="000000"/>
        </w:rPr>
        <w:t>Sutarties 74 ir 75 p. nurodyta:</w:t>
      </w:r>
    </w:p>
    <w:p w14:paraId="4B8CD1A0" w14:textId="77777777" w:rsidR="00EE5A9A" w:rsidRPr="00EE5A9A" w:rsidRDefault="00EE5A9A" w:rsidP="00EE5A9A">
      <w:pPr>
        <w:pStyle w:val="prastasiniatinklio"/>
        <w:jc w:val="both"/>
        <w:rPr>
          <w:color w:val="000000"/>
        </w:rPr>
      </w:pPr>
      <w:r w:rsidRPr="00EE5A9A">
        <w:rPr>
          <w:color w:val="000000"/>
        </w:rPr>
        <w:t>75. Rangovas privalo pateikti Užsakovui garantinių įsipareigojimų įvykdymo užtikrinimą, kuriuo užtikrinamas garantinio laikotarpio prievolių įvykdymas pagal STR 1.05.01:2017 „Statybą leidžiantys dokumentai. Statybos užbaigimas. Statybos sustabdymas. Savavališkos statybos padarinių šalinimas“ ne vėliau kaip kartu su prašymu Užsakovui priimti Darbus.</w:t>
      </w:r>
    </w:p>
    <w:p w14:paraId="7452C2D6" w14:textId="77777777" w:rsidR="00EE5A9A" w:rsidRPr="00EE5A9A" w:rsidRDefault="00EE5A9A" w:rsidP="00EE5A9A">
      <w:pPr>
        <w:pStyle w:val="prastasiniatinklio"/>
        <w:jc w:val="both"/>
        <w:rPr>
          <w:color w:val="000000"/>
        </w:rPr>
      </w:pPr>
      <w:r w:rsidRPr="00EE5A9A">
        <w:rPr>
          <w:color w:val="000000"/>
        </w:rPr>
        <w:t>75.1.Garantinių įsipareigojimų įvykdymo užtikrinimo sąlygos:</w:t>
      </w:r>
    </w:p>
    <w:p w14:paraId="2609722C" w14:textId="77777777" w:rsidR="00EE5A9A" w:rsidRPr="00EE5A9A" w:rsidRDefault="00EE5A9A" w:rsidP="00EE5A9A">
      <w:pPr>
        <w:pStyle w:val="prastasiniatinklio"/>
        <w:jc w:val="both"/>
        <w:rPr>
          <w:color w:val="000000"/>
        </w:rPr>
      </w:pPr>
      <w:r w:rsidRPr="00EE5A9A">
        <w:rPr>
          <w:color w:val="000000"/>
        </w:rPr>
        <w:t>75.2.Garantinių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ištaisyti defektą (-</w:t>
      </w:r>
      <w:proofErr w:type="spellStart"/>
      <w:r w:rsidRPr="00EE5A9A">
        <w:rPr>
          <w:color w:val="000000"/>
        </w:rPr>
        <w:t>us</w:t>
      </w:r>
      <w:proofErr w:type="spellEnd"/>
      <w:r w:rsidRPr="00EE5A9A">
        <w:rPr>
          <w:color w:val="000000"/>
        </w:rPr>
        <w:t>)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w:t>
      </w:r>
    </w:p>
    <w:p w14:paraId="536DC126" w14:textId="77777777" w:rsidR="00EE5A9A" w:rsidRPr="00EE5A9A" w:rsidRDefault="00EE5A9A" w:rsidP="00EE5A9A">
      <w:pPr>
        <w:pStyle w:val="prastasiniatinklio"/>
        <w:jc w:val="both"/>
        <w:rPr>
          <w:color w:val="000000"/>
        </w:rPr>
      </w:pPr>
      <w:r w:rsidRPr="00EE5A9A">
        <w:rPr>
          <w:color w:val="000000"/>
        </w:rPr>
        <w:t>75.3. Laidavimo draudimo atveju draudžiamuoju įvykiu turi būti laikomas pirmasis Užsakovo pareikalavimas sumokėti draudimo išmoką dėl garantinių įsipareigojimų neįvykdymo.</w:t>
      </w:r>
    </w:p>
    <w:p w14:paraId="3497AD5D" w14:textId="77777777" w:rsidR="00EE5A9A" w:rsidRPr="00EE5A9A" w:rsidRDefault="00EE5A9A" w:rsidP="00EE5A9A">
      <w:pPr>
        <w:pStyle w:val="prastasiniatinklio"/>
        <w:jc w:val="both"/>
        <w:rPr>
          <w:color w:val="000000"/>
        </w:rPr>
      </w:pPr>
      <w:r w:rsidRPr="00EE5A9A">
        <w:rPr>
          <w:color w:val="000000"/>
        </w:rPr>
        <w:t>75.4. Garantinių įsipareigojimų įvykdymo užtikrinimo suma turi būti ne mažesnė, negu Specialiojoje dalyje nurodytas procentinis dydis nuo statybos darbų kainos su PVM. Garantinių įsipareigojimų įvykdymo užtikrinimo suma turi būti nurodoma ir išmokama eurais.</w:t>
      </w:r>
    </w:p>
    <w:p w14:paraId="39E2AB77" w14:textId="77777777" w:rsidR="00EE5A9A" w:rsidRPr="00EE5A9A" w:rsidRDefault="00EE5A9A" w:rsidP="00EE5A9A">
      <w:pPr>
        <w:pStyle w:val="prastasiniatinklio"/>
        <w:jc w:val="both"/>
        <w:rPr>
          <w:color w:val="000000"/>
        </w:rPr>
      </w:pPr>
      <w:r w:rsidRPr="00EE5A9A">
        <w:rPr>
          <w:color w:val="000000"/>
        </w:rPr>
        <w:t>75.5. Reikalaujama pagal Garantinių įsipareigojimų įvykdymo užtikrinimą suma turi būti išmokama ne vėliau nei per 10 dienų po Užsakovo mokėjimo reikalavimo pateikimo garantui arba draudikui.</w:t>
      </w:r>
    </w:p>
    <w:p w14:paraId="47D8D689" w14:textId="77777777" w:rsidR="00EE5A9A" w:rsidRPr="00EE5A9A" w:rsidRDefault="00EE5A9A" w:rsidP="00EE5A9A">
      <w:pPr>
        <w:pStyle w:val="prastasiniatinklio"/>
        <w:jc w:val="both"/>
        <w:rPr>
          <w:color w:val="000000"/>
        </w:rPr>
      </w:pPr>
      <w:r w:rsidRPr="00EE5A9A">
        <w:rPr>
          <w:color w:val="000000"/>
        </w:rPr>
        <w:t>75.6. Garantinių įsipareigojimų įvykdymo užtikrinimas turi įsigalioti ne vėliau negu Garantinių terminų pradžios dieną (Sutarties Bendrosios dalies 76 punktas).</w:t>
      </w:r>
    </w:p>
    <w:p w14:paraId="64AB2B98" w14:textId="77777777" w:rsidR="00EE5A9A" w:rsidRPr="00EE5A9A" w:rsidRDefault="00EE5A9A" w:rsidP="00EE5A9A">
      <w:pPr>
        <w:pStyle w:val="prastasiniatinklio"/>
        <w:jc w:val="both"/>
        <w:rPr>
          <w:color w:val="000000"/>
        </w:rPr>
      </w:pPr>
      <w:r w:rsidRPr="00EE5A9A">
        <w:rPr>
          <w:color w:val="000000"/>
        </w:rPr>
        <w:t>75.7. 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15B460A8" w14:textId="77777777" w:rsidR="00EE5A9A" w:rsidRPr="00EE5A9A" w:rsidRDefault="00EE5A9A" w:rsidP="00EE5A9A">
      <w:pPr>
        <w:pStyle w:val="prastasiniatinklio"/>
        <w:jc w:val="both"/>
        <w:rPr>
          <w:color w:val="000000"/>
        </w:rPr>
      </w:pPr>
      <w:r w:rsidRPr="00EE5A9A">
        <w:rPr>
          <w:color w:val="000000"/>
        </w:rPr>
        <w:t xml:space="preserve">O tuo tarpu Statybos įstatymo 41 STR. 2.p. nurodyta, kad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w:t>
      </w:r>
      <w:r w:rsidRPr="00EE5A9A">
        <w:rPr>
          <w:color w:val="000000"/>
        </w:rPr>
        <w:lastRenderedPageBreak/>
        <w:t>statinius. Dokumentas, užtikrinantis garantinio laikotarpio prievolių įvykdymą pagal pasirašytą rangos sutartį, taip pat turi būti privalomai pateikiamas, kai norima gauti statybos užbaigimo aktą ar deklaracijos apie statybos užbaigimą patvirtinimą.</w:t>
      </w:r>
    </w:p>
    <w:p w14:paraId="43ECB8DD" w14:textId="77777777" w:rsidR="00EE5A9A" w:rsidRPr="00EE5A9A" w:rsidRDefault="00EE5A9A" w:rsidP="00EE5A9A">
      <w:pPr>
        <w:pStyle w:val="prastasiniatinklio"/>
        <w:jc w:val="both"/>
        <w:rPr>
          <w:color w:val="000000"/>
        </w:rPr>
      </w:pPr>
      <w:r w:rsidRPr="00EE5A9A">
        <w:rPr>
          <w:color w:val="000000"/>
        </w:rPr>
        <w:t>Techninėje specifikacijoje nurodyta, kad:</w:t>
      </w:r>
    </w:p>
    <w:p w14:paraId="5959EA93" w14:textId="6988DD05" w:rsidR="00EE5A9A" w:rsidRPr="00EE5A9A" w:rsidRDefault="00EE5A9A" w:rsidP="00EE5A9A">
      <w:pPr>
        <w:pStyle w:val="prastasiniatinklio"/>
        <w:jc w:val="both"/>
        <w:rPr>
          <w:color w:val="000000"/>
        </w:rPr>
      </w:pPr>
      <w:r w:rsidRPr="00EE5A9A">
        <w:rPr>
          <w:noProof/>
        </w:rPr>
        <w:drawing>
          <wp:inline distT="0" distB="0" distL="0" distR="0" wp14:anchorId="4293FDEE" wp14:editId="50F42C2B">
            <wp:extent cx="6120130" cy="201930"/>
            <wp:effectExtent l="0" t="0" r="0" b="7620"/>
            <wp:docPr id="32919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909" name=""/>
                    <pic:cNvPicPr/>
                  </pic:nvPicPr>
                  <pic:blipFill>
                    <a:blip r:embed="rId6"/>
                    <a:stretch>
                      <a:fillRect/>
                    </a:stretch>
                  </pic:blipFill>
                  <pic:spPr>
                    <a:xfrm>
                      <a:off x="0" y="0"/>
                      <a:ext cx="6120130" cy="201930"/>
                    </a:xfrm>
                    <a:prstGeom prst="rect">
                      <a:avLst/>
                    </a:prstGeom>
                  </pic:spPr>
                </pic:pic>
              </a:graphicData>
            </a:graphic>
          </wp:inline>
        </w:drawing>
      </w:r>
    </w:p>
    <w:p w14:paraId="6B7CDA16" w14:textId="77777777" w:rsidR="00EE5A9A" w:rsidRPr="00EE5A9A" w:rsidRDefault="00EE5A9A" w:rsidP="00EE5A9A">
      <w:pPr>
        <w:pStyle w:val="prastasiniatinklio"/>
        <w:jc w:val="both"/>
        <w:rPr>
          <w:color w:val="000000"/>
        </w:rPr>
      </w:pPr>
      <w:r w:rsidRPr="00EE5A9A">
        <w:rPr>
          <w:color w:val="000000"/>
        </w:rPr>
        <w:t>Klausimas:</w:t>
      </w:r>
    </w:p>
    <w:p w14:paraId="2FC77C19" w14:textId="77777777" w:rsidR="00EE5A9A" w:rsidRPr="00EE5A9A" w:rsidRDefault="00EE5A9A" w:rsidP="00EE5A9A">
      <w:pPr>
        <w:pStyle w:val="prastasiniatinklio"/>
        <w:jc w:val="both"/>
        <w:rPr>
          <w:color w:val="000000"/>
        </w:rPr>
      </w:pPr>
      <w:r w:rsidRPr="00EE5A9A">
        <w:rPr>
          <w:color w:val="000000"/>
        </w:rPr>
        <w:t>Ar Perkančioji organizacija papildomai prašo, kad Tiekėjas pateiktų garantinių įsipareigojimų užtikrinimą, nepriklausomai, kad tokio reikalavimo nėra Statybos įstatyme? Jei taip,</w:t>
      </w:r>
    </w:p>
    <w:p w14:paraId="12F09989" w14:textId="77777777" w:rsidR="00EE5A9A" w:rsidRPr="00EE5A9A" w:rsidRDefault="00EE5A9A" w:rsidP="00EE5A9A">
      <w:pPr>
        <w:pStyle w:val="prastasiniatinklio"/>
        <w:jc w:val="both"/>
        <w:rPr>
          <w:color w:val="000000"/>
        </w:rPr>
      </w:pPr>
      <w:r w:rsidRPr="00EE5A9A">
        <w:rPr>
          <w:color w:val="000000"/>
        </w:rPr>
        <w:t>Ar Perkančioji organizacija įsivertino savo reikalavimus racionalumo principo atžvilgiu, nes papildomi reikalavimai turi savo kainą?</w:t>
      </w:r>
    </w:p>
    <w:p w14:paraId="333ED711" w14:textId="77777777" w:rsidR="00EE5A9A" w:rsidRPr="00EE5A9A" w:rsidRDefault="00EE5A9A" w:rsidP="00EE5A9A">
      <w:pPr>
        <w:pStyle w:val="prastasiniatinklio"/>
        <w:jc w:val="both"/>
        <w:rPr>
          <w:color w:val="0070C0"/>
        </w:rPr>
      </w:pPr>
      <w:r w:rsidRPr="00EE5A9A">
        <w:rPr>
          <w:color w:val="0070C0"/>
        </w:rPr>
        <w:t>Perkančioji organizacija, nustatydama reikalavimą pateikti garantinio įvykdymo draudimą, siekia užtikrinti tinkamą sutarties vykdymą ir apsaugoti savo interesus garantiniu laikotarpiu.</w:t>
      </w:r>
    </w:p>
    <w:p w14:paraId="0CCD66CB" w14:textId="77777777" w:rsidR="00EE5A9A" w:rsidRPr="00EE5A9A" w:rsidRDefault="00EE5A9A" w:rsidP="00EE5A9A">
      <w:pPr>
        <w:pStyle w:val="prastasiniatinklio"/>
        <w:jc w:val="both"/>
        <w:rPr>
          <w:color w:val="0070C0"/>
        </w:rPr>
      </w:pPr>
      <w:r w:rsidRPr="00EE5A9A">
        <w:rPr>
          <w:color w:val="0070C0"/>
        </w:rPr>
        <w:t>Nors Statybos įstatymas tiesiogiai nereikalauja garantinio draudimo paprastojo remonto darbams, perkančioji organizacija, atsižvelgdama į numatomo objekto remonto apimtis, darbų pobūdį ir skaičiuojamąją kainą, laiko šį reikalavimą proporcinga ir pagrįsta priemone, padedančia apsidrausti nuo galimų rizikų, susijusių su netinkamu ar nekokybišku darbų atlikimu bei objekto defektais garantiniu laikotarpiu.</w:t>
      </w:r>
    </w:p>
    <w:p w14:paraId="3EED3564" w14:textId="77777777" w:rsidR="00EE5A9A" w:rsidRPr="00EE5A9A" w:rsidRDefault="00EE5A9A" w:rsidP="00EE5A9A">
      <w:pPr>
        <w:pStyle w:val="prastasiniatinklio"/>
        <w:jc w:val="both"/>
        <w:rPr>
          <w:color w:val="0070C0"/>
        </w:rPr>
      </w:pPr>
      <w:r w:rsidRPr="00EE5A9A">
        <w:rPr>
          <w:color w:val="0070C0"/>
        </w:rPr>
        <w:t>Todėl garantinio draudimo reikalavimas nelaikytinas pertekliniu – jis yra racionalus būdas užtikrinti, kad rangovas prisiims atsakomybę už atliktų darbų kokybę ir objekto tinkamą funkcionavimą po remonto.</w:t>
      </w:r>
    </w:p>
    <w:p w14:paraId="2D260749" w14:textId="108DA927" w:rsidR="00EE5A9A" w:rsidRPr="00EE5A9A" w:rsidRDefault="00EE5A9A" w:rsidP="00EE5A9A">
      <w:pPr>
        <w:pStyle w:val="prastasiniatinklio"/>
        <w:jc w:val="both"/>
        <w:rPr>
          <w:color w:val="000000"/>
        </w:rPr>
      </w:pPr>
      <w:r w:rsidRPr="00EE5A9A">
        <w:rPr>
          <w:color w:val="000000"/>
        </w:rPr>
        <w:t>8</w:t>
      </w:r>
      <w:r w:rsidRPr="00EE5A9A">
        <w:rPr>
          <w:color w:val="000000"/>
        </w:rPr>
        <w:t>. Sutartyje nurodyta, kad:</w:t>
      </w:r>
    </w:p>
    <w:p w14:paraId="1142E72D" w14:textId="6E5D2D1D" w:rsidR="00EE5A9A" w:rsidRPr="00EE5A9A" w:rsidRDefault="00EE5A9A" w:rsidP="00EE5A9A">
      <w:pPr>
        <w:pStyle w:val="prastasiniatinklio"/>
        <w:jc w:val="both"/>
        <w:rPr>
          <w:color w:val="000000"/>
        </w:rPr>
      </w:pPr>
      <w:r w:rsidRPr="00EE5A9A">
        <w:rPr>
          <w:noProof/>
        </w:rPr>
        <w:drawing>
          <wp:inline distT="0" distB="0" distL="0" distR="0" wp14:anchorId="0798B5F0" wp14:editId="081BE1F2">
            <wp:extent cx="6120130" cy="875665"/>
            <wp:effectExtent l="0" t="0" r="0" b="635"/>
            <wp:docPr id="19314391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39123" name=""/>
                    <pic:cNvPicPr/>
                  </pic:nvPicPr>
                  <pic:blipFill>
                    <a:blip r:embed="rId7"/>
                    <a:stretch>
                      <a:fillRect/>
                    </a:stretch>
                  </pic:blipFill>
                  <pic:spPr>
                    <a:xfrm>
                      <a:off x="0" y="0"/>
                      <a:ext cx="6120130" cy="875665"/>
                    </a:xfrm>
                    <a:prstGeom prst="rect">
                      <a:avLst/>
                    </a:prstGeom>
                  </pic:spPr>
                </pic:pic>
              </a:graphicData>
            </a:graphic>
          </wp:inline>
        </w:drawing>
      </w:r>
    </w:p>
    <w:p w14:paraId="26F239B6" w14:textId="77777777" w:rsidR="00EE5A9A" w:rsidRPr="00EE5A9A" w:rsidRDefault="00EE5A9A" w:rsidP="00EE5A9A">
      <w:pPr>
        <w:pStyle w:val="prastasiniatinklio"/>
        <w:jc w:val="both"/>
        <w:rPr>
          <w:color w:val="000000"/>
        </w:rPr>
      </w:pPr>
      <w:r w:rsidRPr="00EE5A9A">
        <w:rPr>
          <w:color w:val="000000"/>
        </w:rPr>
        <w:t>O tuo tarpu Statybos įstatyme nurodyta, kad (SĮ 42 str. 11 p.) Projektuojant, statant, rekonstruojant ir kapitališkai remontuojant nesudėtinguosius statinius, atliekant nesudėtingojo statinio projekto (dalies) ekspertizę, taip pat atliekant visų statinių paprastąjį remontą, išskyrus atvejus, kai paprastojo remonto darbais statiniai atnaujinami (modernizuojami), draustis privalomuoju statybos darbų ir civilinės atsakomybės draudimu nebūtina.</w:t>
      </w:r>
    </w:p>
    <w:p w14:paraId="359CCBD1" w14:textId="77777777" w:rsidR="00EE5A9A" w:rsidRPr="00EE5A9A" w:rsidRDefault="00EE5A9A" w:rsidP="00EE5A9A">
      <w:pPr>
        <w:pStyle w:val="prastasiniatinklio"/>
        <w:jc w:val="both"/>
        <w:rPr>
          <w:color w:val="000000"/>
        </w:rPr>
      </w:pPr>
      <w:r w:rsidRPr="00EE5A9A">
        <w:rPr>
          <w:color w:val="000000"/>
        </w:rPr>
        <w:t>Klausimas:</w:t>
      </w:r>
    </w:p>
    <w:p w14:paraId="5B43DC74" w14:textId="77777777" w:rsidR="00EE5A9A" w:rsidRPr="00EE5A9A" w:rsidRDefault="00EE5A9A" w:rsidP="00EE5A9A">
      <w:pPr>
        <w:pStyle w:val="prastasiniatinklio"/>
        <w:jc w:val="both"/>
        <w:rPr>
          <w:color w:val="000000"/>
        </w:rPr>
      </w:pPr>
      <w:r w:rsidRPr="00EE5A9A">
        <w:rPr>
          <w:color w:val="000000"/>
        </w:rPr>
        <w:t>Ar Perkančioji organizacija papildomai prašo, kad Tiekėjas apsidraustų privalomuoju statybos darbų ir civilinės atsakomybės draudimu, nepriklausomai, kad tokio reikalavimo nėra Statybos įstatyme? Jei taip,</w:t>
      </w:r>
    </w:p>
    <w:p w14:paraId="556D2B93" w14:textId="77777777" w:rsidR="00EE5A9A" w:rsidRPr="00EE5A9A" w:rsidRDefault="00EE5A9A" w:rsidP="00EE5A9A">
      <w:pPr>
        <w:pStyle w:val="prastasiniatinklio"/>
        <w:jc w:val="both"/>
        <w:rPr>
          <w:color w:val="000000"/>
        </w:rPr>
      </w:pPr>
      <w:r w:rsidRPr="00EE5A9A">
        <w:rPr>
          <w:color w:val="000000"/>
        </w:rPr>
        <w:lastRenderedPageBreak/>
        <w:t>Ar Perkančioji organizacija įsivertino savo reikalavimus racionalumo principo atžvilgiu, nes papildomi reikalavimai turi savo kainą?</w:t>
      </w:r>
    </w:p>
    <w:p w14:paraId="582D93A6" w14:textId="77777777" w:rsidR="00EE5A9A" w:rsidRPr="00EE5A9A" w:rsidRDefault="00EE5A9A" w:rsidP="00EE5A9A">
      <w:pPr>
        <w:pStyle w:val="prastasiniatinklio"/>
        <w:jc w:val="both"/>
        <w:rPr>
          <w:color w:val="0070C0"/>
        </w:rPr>
      </w:pPr>
      <w:r w:rsidRPr="00EE5A9A">
        <w:rPr>
          <w:color w:val="0070C0"/>
        </w:rPr>
        <w:t>Perkančioji organizacija, nustatydama reikalavimą tiekėjui turėti statybos darbų ir civilinės atsakomybės draudimą, siekia užtikrinti, kad sutarties vykdymo metu būtų padengtos galimos rizikos, susijusios su žala tretiesiems asmenims, turtui ar aplinkai. Nors Statybos įstatyme toks draudimas nėra numatytas kaip privalomas paprastojo remonto darbams, perkančioji organizacija turi teisę nustatyti papildomus reikalavimus, jeigu jie yra susiję su objektyvia pirkimo rizika ir yra proporcingi.</w:t>
      </w:r>
    </w:p>
    <w:p w14:paraId="67861AB3" w14:textId="77777777" w:rsidR="00EE5A9A" w:rsidRPr="00EE5A9A" w:rsidRDefault="00EE5A9A" w:rsidP="00EE5A9A">
      <w:pPr>
        <w:pStyle w:val="prastasiniatinklio"/>
        <w:jc w:val="both"/>
        <w:rPr>
          <w:color w:val="0070C0"/>
        </w:rPr>
      </w:pPr>
      <w:r w:rsidRPr="00EE5A9A">
        <w:rPr>
          <w:color w:val="0070C0"/>
        </w:rPr>
        <w:t>Reikalavimo nustatymo pagrindas – užtikrinti, kad galimi nuostoliai, atsirandantys dėl netikėtų įvykių vykdant darbus (pvz., žala infrastruktūrai, tretiesiems asmenims, eismo dalyviams), būtų padengti draudimo priemonėmis, o ne viešosiomis lėšomis ar bylinėjantis su rangovu.</w:t>
      </w:r>
    </w:p>
    <w:p w14:paraId="1EBB253D" w14:textId="77777777" w:rsidR="00EE5A9A" w:rsidRPr="00EE5A9A" w:rsidRDefault="00EE5A9A" w:rsidP="00EE5A9A">
      <w:pPr>
        <w:pStyle w:val="prastasiniatinklio"/>
        <w:jc w:val="both"/>
        <w:rPr>
          <w:color w:val="0070C0"/>
        </w:rPr>
      </w:pPr>
      <w:r w:rsidRPr="00EE5A9A">
        <w:rPr>
          <w:color w:val="0070C0"/>
        </w:rPr>
        <w:t>Perkančioji organizacija yra įsivertinusi racionalumo principą – draudimo reikalavimas nėra perteklinis, atsižvelgiant į darbų pobūdį, jų vykdymo vietą ir su tuo susijusias rizikas. Toks draudimas laikytinas įprasta rizikų valdymo priemone, kuri padeda apsaugoti tiek perkančiosios organizacijos, tiek visuomenės interesus.</w:t>
      </w:r>
    </w:p>
    <w:p w14:paraId="7511177E" w14:textId="77777777" w:rsidR="00EE5A9A" w:rsidRPr="00EE5A9A" w:rsidRDefault="00EE5A9A" w:rsidP="00EE5A9A">
      <w:pPr>
        <w:pStyle w:val="prastasiniatinklio"/>
        <w:jc w:val="both"/>
        <w:rPr>
          <w:color w:val="0070C0"/>
        </w:rPr>
      </w:pPr>
    </w:p>
    <w:p w14:paraId="1ACFB0AE" w14:textId="77777777" w:rsidR="00D06688" w:rsidRPr="00EE5A9A" w:rsidRDefault="00D06688" w:rsidP="00EE5A9A">
      <w:pPr>
        <w:jc w:val="both"/>
        <w:rPr>
          <w:rFonts w:ascii="Times New Roman" w:hAnsi="Times New Roman" w:cs="Times New Roman"/>
          <w:color w:val="4472C4" w:themeColor="accent1"/>
        </w:rPr>
      </w:pPr>
      <w:bookmarkStart w:id="0" w:name="_GoBack"/>
      <w:bookmarkEnd w:id="0"/>
    </w:p>
    <w:sectPr w:rsidR="00D06688" w:rsidRPr="00EE5A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741E4"/>
    <w:multiLevelType w:val="hybridMultilevel"/>
    <w:tmpl w:val="3B580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7253C5"/>
    <w:multiLevelType w:val="hybridMultilevel"/>
    <w:tmpl w:val="B5AE79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66F"/>
    <w:rsid w:val="000D092D"/>
    <w:rsid w:val="0014348B"/>
    <w:rsid w:val="001E6618"/>
    <w:rsid w:val="005A5ED8"/>
    <w:rsid w:val="006A18AE"/>
    <w:rsid w:val="0077166F"/>
    <w:rsid w:val="00801C5E"/>
    <w:rsid w:val="00926143"/>
    <w:rsid w:val="00D06688"/>
    <w:rsid w:val="00EE5A9A"/>
    <w:rsid w:val="00F649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D507"/>
  <w15:chartTrackingRefBased/>
  <w15:docId w15:val="{63DB9553-E9DD-4BB1-92B1-2538C714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71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1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16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16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16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16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16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16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16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6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16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16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16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16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16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16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16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16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1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16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16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16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16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166F"/>
    <w:rPr>
      <w:i/>
      <w:iCs/>
      <w:color w:val="404040" w:themeColor="text1" w:themeTint="BF"/>
    </w:rPr>
  </w:style>
  <w:style w:type="paragraph" w:styleId="Sraopastraipa">
    <w:name w:val="List Paragraph"/>
    <w:basedOn w:val="prastasis"/>
    <w:uiPriority w:val="34"/>
    <w:qFormat/>
    <w:rsid w:val="0077166F"/>
    <w:pPr>
      <w:ind w:left="720"/>
      <w:contextualSpacing/>
    </w:pPr>
  </w:style>
  <w:style w:type="character" w:styleId="Rykuspabraukimas">
    <w:name w:val="Intense Emphasis"/>
    <w:basedOn w:val="Numatytasispastraiposriftas"/>
    <w:uiPriority w:val="21"/>
    <w:qFormat/>
    <w:rsid w:val="0077166F"/>
    <w:rPr>
      <w:i/>
      <w:iCs/>
      <w:color w:val="2F5496" w:themeColor="accent1" w:themeShade="BF"/>
    </w:rPr>
  </w:style>
  <w:style w:type="paragraph" w:styleId="Iskirtacitata">
    <w:name w:val="Intense Quote"/>
    <w:basedOn w:val="prastasis"/>
    <w:next w:val="prastasis"/>
    <w:link w:val="IskirtacitataDiagrama"/>
    <w:uiPriority w:val="30"/>
    <w:qFormat/>
    <w:rsid w:val="00771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166F"/>
    <w:rPr>
      <w:i/>
      <w:iCs/>
      <w:color w:val="2F5496" w:themeColor="accent1" w:themeShade="BF"/>
    </w:rPr>
  </w:style>
  <w:style w:type="character" w:styleId="Rykinuoroda">
    <w:name w:val="Intense Reference"/>
    <w:basedOn w:val="Numatytasispastraiposriftas"/>
    <w:uiPriority w:val="32"/>
    <w:qFormat/>
    <w:rsid w:val="0077166F"/>
    <w:rPr>
      <w:b/>
      <w:bCs/>
      <w:smallCaps/>
      <w:color w:val="2F5496" w:themeColor="accent1" w:themeShade="BF"/>
      <w:spacing w:val="5"/>
    </w:rPr>
  </w:style>
  <w:style w:type="paragraph" w:styleId="prastasiniatinklio">
    <w:name w:val="Normal (Web)"/>
    <w:basedOn w:val="prastasis"/>
    <w:uiPriority w:val="99"/>
    <w:semiHidden/>
    <w:unhideWhenUsed/>
    <w:rsid w:val="00D06688"/>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296700">
      <w:bodyDiv w:val="1"/>
      <w:marLeft w:val="0"/>
      <w:marRight w:val="0"/>
      <w:marTop w:val="0"/>
      <w:marBottom w:val="0"/>
      <w:divBdr>
        <w:top w:val="none" w:sz="0" w:space="0" w:color="auto"/>
        <w:left w:val="none" w:sz="0" w:space="0" w:color="auto"/>
        <w:bottom w:val="none" w:sz="0" w:space="0" w:color="auto"/>
        <w:right w:val="none" w:sz="0" w:space="0" w:color="auto"/>
      </w:divBdr>
    </w:div>
    <w:div w:id="20866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7095</Words>
  <Characters>4045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Kasparavičienė</dc:creator>
  <cp:keywords/>
  <dc:description/>
  <cp:lastModifiedBy>V.Valentinavičienė</cp:lastModifiedBy>
  <cp:revision>3</cp:revision>
  <dcterms:created xsi:type="dcterms:W3CDTF">2025-11-18T13:07:00Z</dcterms:created>
  <dcterms:modified xsi:type="dcterms:W3CDTF">2025-11-18T13:12:00Z</dcterms:modified>
</cp:coreProperties>
</file>