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8897" w14:textId="53D0F7AE" w:rsidR="004D7CB0" w:rsidRDefault="00A5674E" w:rsidP="00A5674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PERDANGOS STIPRINIMO KAPITALIONIO REMONTO</w:t>
      </w:r>
    </w:p>
    <w:p w14:paraId="1EC50146" w14:textId="379627F6" w:rsidR="00A5674E" w:rsidRDefault="00A5674E" w:rsidP="00A5674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AKADEMIJOS G. 2 VILNIUS</w:t>
      </w:r>
    </w:p>
    <w:p w14:paraId="72FB7F95" w14:textId="15CD9B7F" w:rsidR="00A5674E" w:rsidRDefault="00A5674E" w:rsidP="00A567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TECHNIN</w:t>
      </w:r>
      <w:r>
        <w:rPr>
          <w:rFonts w:ascii="Times New Roman" w:hAnsi="Times New Roman" w:cs="Times New Roman"/>
        </w:rPr>
        <w:t>Ė SPECIFIKACIJA</w:t>
      </w:r>
    </w:p>
    <w:p w14:paraId="3CCE5A42" w14:textId="77777777" w:rsidR="00A5674E" w:rsidRDefault="00A5674E" w:rsidP="00A567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D940BF" w14:textId="77777777" w:rsidR="00A5674E" w:rsidRDefault="00A5674E" w:rsidP="00A567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3BA4F2" w14:textId="4CE64BD2" w:rsidR="00A5674E" w:rsidRDefault="00A5674E" w:rsidP="00A5674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Užduotis tiekėjui:</w:t>
      </w:r>
    </w:p>
    <w:p w14:paraId="68FD76DE" w14:textId="11C432DD" w:rsidR="00A5674E" w:rsidRDefault="00A5674E" w:rsidP="001E11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Gamtos tyrimų centras perka perdangos stiprinimo kapitalinio remonto darbus (toliau – darbai), Akademijos g. 2 Vilniuje, institute, unikalus Nr. 4400-2971-0278:3578, Akademijos g. 2, Vilnius.</w:t>
      </w:r>
    </w:p>
    <w:p w14:paraId="6D4D045F" w14:textId="7F6A734F" w:rsidR="005C268C" w:rsidRDefault="00CF1C50" w:rsidP="001E11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Rangovas d</w:t>
      </w:r>
      <w:r w:rsidR="005C268C">
        <w:rPr>
          <w:rFonts w:ascii="Times New Roman" w:hAnsi="Times New Roman" w:cs="Times New Roman"/>
        </w:rPr>
        <w:t>arbus</w:t>
      </w:r>
      <w:r>
        <w:rPr>
          <w:rFonts w:ascii="Times New Roman" w:hAnsi="Times New Roman" w:cs="Times New Roman"/>
        </w:rPr>
        <w:t xml:space="preserve"> privalo</w:t>
      </w:r>
      <w:r w:rsidR="005C268C">
        <w:rPr>
          <w:rFonts w:ascii="Times New Roman" w:hAnsi="Times New Roman" w:cs="Times New Roman"/>
        </w:rPr>
        <w:t xml:space="preserve"> atlikti vadovaujantis ,,Mokslo paskirties pastato, Akademijos g. 2 Vilniuje, kapitalinio remonto projektu Nr. 202407, statinio konstrukcijų dalies ekspertizės aktu Nr. SKE-240515/MR_DD/SK1“</w:t>
      </w:r>
    </w:p>
    <w:p w14:paraId="620976AA" w14:textId="00B17F1A" w:rsidR="00A5674E" w:rsidRDefault="00EE0058" w:rsidP="001E11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Gamtos tyrimų centre mokslo paskirties pastate, pagal techninį darbo projektą (</w:t>
      </w:r>
      <w:r w:rsidR="001F5888">
        <w:rPr>
          <w:rFonts w:ascii="Times New Roman" w:hAnsi="Times New Roman" w:cs="Times New Roman"/>
        </w:rPr>
        <w:t xml:space="preserve">pridedamas, </w:t>
      </w:r>
      <w:r>
        <w:rPr>
          <w:rFonts w:ascii="Times New Roman" w:hAnsi="Times New Roman" w:cs="Times New Roman"/>
        </w:rPr>
        <w:t>statinio projekto numeris 202407) reikalinga atlikti 5 aukšto viršutinės perdangos stiprinimo darbus, kad perdanga atlaikytų papildomą 500 kg/m</w:t>
      </w:r>
      <w:r w:rsidRPr="00EE005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krūvį dėl planuojamos įrengti ekspozicijos.</w:t>
      </w:r>
      <w:r w:rsidR="001F5888">
        <w:rPr>
          <w:rFonts w:ascii="Times New Roman" w:hAnsi="Times New Roman" w:cs="Times New Roman"/>
        </w:rPr>
        <w:t xml:space="preserve"> Sustiprinti esamus perdangos plokštes laikančius </w:t>
      </w:r>
      <w:proofErr w:type="spellStart"/>
      <w:r w:rsidR="001F5888">
        <w:rPr>
          <w:rFonts w:ascii="Times New Roman" w:hAnsi="Times New Roman" w:cs="Times New Roman"/>
        </w:rPr>
        <w:t>rygelius</w:t>
      </w:r>
      <w:proofErr w:type="spellEnd"/>
      <w:r w:rsidR="001F5888">
        <w:rPr>
          <w:rFonts w:ascii="Times New Roman" w:hAnsi="Times New Roman" w:cs="Times New Roman"/>
        </w:rPr>
        <w:t xml:space="preserve"> ir esamas surenkamas gelžbetonio perdangos plokštes. Esamus </w:t>
      </w:r>
      <w:proofErr w:type="spellStart"/>
      <w:r w:rsidR="001F5888">
        <w:rPr>
          <w:rFonts w:ascii="Times New Roman" w:hAnsi="Times New Roman" w:cs="Times New Roman"/>
        </w:rPr>
        <w:t>rygelius</w:t>
      </w:r>
      <w:proofErr w:type="spellEnd"/>
      <w:r w:rsidR="001F5888">
        <w:rPr>
          <w:rFonts w:ascii="Times New Roman" w:hAnsi="Times New Roman" w:cs="Times New Roman"/>
        </w:rPr>
        <w:t xml:space="preserve"> stiprinant šonuose tvirtinant UPN 350 sijas. Perdangos plokštes stiprinant paremiant per plokščių ilgį UPN 240 sijomis, išdėstytomis kas 0,6 m. Sijos negali būti ties perdangos plokščių tuštumomis.</w:t>
      </w:r>
      <w:r>
        <w:rPr>
          <w:rFonts w:ascii="Times New Roman" w:hAnsi="Times New Roman" w:cs="Times New Roman"/>
        </w:rPr>
        <w:t xml:space="preserve"> 6 aukšte jau įrengti grindų išlyginamieji sluoksniai, todėl stiprinimas galimas tik iš perdangos apačios. </w:t>
      </w:r>
    </w:p>
    <w:p w14:paraId="0A76C348" w14:textId="31D68E64" w:rsidR="005C268C" w:rsidRDefault="001E11D7" w:rsidP="001F588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Prieš pradedant vykdyti darbus reikalinga atlikti (ypatingojo statinio kapitalinio remonto statybos rūšiai) perengto projekto (Nr. 202407) ekspertizę ir gaisrinės saugos sprendinių analizę su reikalavimų nustatymu konstrukcijų ugnies atsparumui. </w:t>
      </w:r>
      <w:r w:rsidR="005C268C">
        <w:rPr>
          <w:rFonts w:ascii="Times New Roman" w:hAnsi="Times New Roman" w:cs="Times New Roman"/>
        </w:rPr>
        <w:t xml:space="preserve">Esant poreikiui rangovas privalo išimti ir suderinti visus reikiamus leidimus su kontroliuojančiomis institucijomis prieš pradedant statybos darbus. Leidimų išėmimas ir derinimas turi būti atliekamas laikantis galiojančių teisės aktų, o </w:t>
      </w:r>
      <w:r w:rsidR="00CF1C50">
        <w:rPr>
          <w:rFonts w:ascii="Times New Roman" w:hAnsi="Times New Roman" w:cs="Times New Roman"/>
        </w:rPr>
        <w:t xml:space="preserve">visi susiję dokumentai turi būti pateikti užsakovui patikrinimui. Visi darbai be reikiamų leidimų yra draudžiami, o už jų gavimą atsako rangovas. </w:t>
      </w:r>
    </w:p>
    <w:p w14:paraId="331F152A" w14:textId="2BD0D39B" w:rsidR="008353A1" w:rsidRDefault="008353A1" w:rsidP="001F588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Vykdant statybos darbus ir radus neatitikimų su Techniniu darbo projektu Nr. 202407, būtina informuoti projektuotojus ir tikslinti sprendinius. </w:t>
      </w:r>
    </w:p>
    <w:p w14:paraId="022D7020" w14:textId="41D21207" w:rsidR="00F13474" w:rsidRDefault="00F13474" w:rsidP="001F588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Vadovaujantis 2011 m. birželio 28 d. įsakymu Nr. D1-508 ,,dėl aplinkos apsaugos kriterijų taikymo, vykdant žaliuosius pirkimus, tvarkos aprašu“ atliekamiems statybos darbams taikomi aplinkos apsaugos vadybos sistemos reikalavimai, pateikiant nepriklausomos įstaigos išduotą </w:t>
      </w:r>
      <w:proofErr w:type="spellStart"/>
      <w:r>
        <w:rPr>
          <w:rFonts w:ascii="Times New Roman" w:hAnsi="Times New Roman" w:cs="Times New Roman"/>
        </w:rPr>
        <w:t>sertifikątą</w:t>
      </w:r>
      <w:proofErr w:type="spellEnd"/>
      <w:r>
        <w:rPr>
          <w:rFonts w:ascii="Times New Roman" w:hAnsi="Times New Roman" w:cs="Times New Roman"/>
        </w:rPr>
        <w:t xml:space="preserve"> (LST EN ISO 14001)</w:t>
      </w:r>
      <w:r w:rsidR="00565301">
        <w:rPr>
          <w:rFonts w:ascii="Times New Roman" w:hAnsi="Times New Roman" w:cs="Times New Roman"/>
        </w:rPr>
        <w:t>.</w:t>
      </w:r>
    </w:p>
    <w:p w14:paraId="30194D36" w14:textId="5C48CFAE" w:rsidR="00565301" w:rsidRDefault="00565301" w:rsidP="001F588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Pridedama:</w:t>
      </w:r>
    </w:p>
    <w:p w14:paraId="695B01FE" w14:textId="1AA20D51" w:rsidR="00565301" w:rsidRDefault="00565301" w:rsidP="001F5888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Mokslo paskirties pastato, Akademijos g. 2 Vilniuje, kapitalinio remonto projektas Nr. 202407.</w:t>
      </w:r>
    </w:p>
    <w:p w14:paraId="21C3B797" w14:textId="77777777" w:rsidR="00565301" w:rsidRDefault="00565301" w:rsidP="001F5888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14:paraId="79B5FC4E" w14:textId="77777777" w:rsidR="001F5888" w:rsidRPr="00565301" w:rsidRDefault="001F5888" w:rsidP="001F5888">
      <w:pPr>
        <w:ind w:firstLine="567"/>
        <w:jc w:val="both"/>
        <w:rPr>
          <w:rFonts w:ascii="Times New Roman" w:hAnsi="Times New Roman" w:cs="Times New Roman"/>
          <w:lang w:val="en-US"/>
        </w:rPr>
      </w:pPr>
    </w:p>
    <w:sectPr w:rsidR="001F5888" w:rsidRPr="005653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B0"/>
    <w:rsid w:val="001E11D7"/>
    <w:rsid w:val="001F5888"/>
    <w:rsid w:val="002B3351"/>
    <w:rsid w:val="004D7CB0"/>
    <w:rsid w:val="00565301"/>
    <w:rsid w:val="005C268C"/>
    <w:rsid w:val="008353A1"/>
    <w:rsid w:val="00A5674E"/>
    <w:rsid w:val="00CF1C50"/>
    <w:rsid w:val="00EE0058"/>
    <w:rsid w:val="00F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7E06"/>
  <w15:chartTrackingRefBased/>
  <w15:docId w15:val="{61832428-AE58-4387-A9C2-4D13967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7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7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7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7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7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7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7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7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7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7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7C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7C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7C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7C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7C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7C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7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7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7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7C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7C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7C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7C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7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Račkauskas</dc:creator>
  <cp:keywords/>
  <dc:description/>
  <cp:lastModifiedBy>Vytautas Račkauskas</cp:lastModifiedBy>
  <cp:revision>1</cp:revision>
  <cp:lastPrinted>2024-12-12T12:18:00Z</cp:lastPrinted>
  <dcterms:created xsi:type="dcterms:W3CDTF">2024-12-12T08:50:00Z</dcterms:created>
  <dcterms:modified xsi:type="dcterms:W3CDTF">2024-12-12T12:18:00Z</dcterms:modified>
</cp:coreProperties>
</file>