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9CB7" w14:textId="77777777" w:rsidR="0090590C" w:rsidRPr="0090590C" w:rsidRDefault="0090590C" w:rsidP="007D7FD6">
      <w:pPr>
        <w:spacing w:after="0" w:line="240" w:lineRule="auto"/>
        <w:ind w:left="6480" w:firstLine="1458"/>
        <w:rPr>
          <w:rFonts w:ascii="Times New Roman" w:eastAsia="Calibri" w:hAnsi="Times New Roman" w:cs="Times New Roman"/>
          <w:bCs/>
          <w:sz w:val="24"/>
          <w:szCs w:val="24"/>
        </w:rPr>
      </w:pPr>
      <w:r w:rsidRPr="0090590C">
        <w:rPr>
          <w:rFonts w:ascii="Times New Roman" w:eastAsia="Calibri" w:hAnsi="Times New Roman" w:cs="Times New Roman"/>
          <w:bCs/>
          <w:sz w:val="24"/>
          <w:szCs w:val="24"/>
        </w:rPr>
        <w:t>Pirkimo sąlygų</w:t>
      </w:r>
    </w:p>
    <w:p w14:paraId="1A88C0F2" w14:textId="7FE0935B" w:rsidR="0090590C" w:rsidRPr="0090590C" w:rsidRDefault="0090590C" w:rsidP="007D7FD6">
      <w:pPr>
        <w:spacing w:after="0" w:line="240" w:lineRule="auto"/>
        <w:ind w:left="5184" w:firstLine="275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90590C">
        <w:rPr>
          <w:rFonts w:ascii="Times New Roman" w:eastAsia="Calibri" w:hAnsi="Times New Roman" w:cs="Times New Roman"/>
          <w:bCs/>
          <w:sz w:val="24"/>
          <w:szCs w:val="24"/>
        </w:rPr>
        <w:t xml:space="preserve"> priedas</w:t>
      </w:r>
    </w:p>
    <w:p w14:paraId="0F493EF3" w14:textId="77777777" w:rsidR="0090590C" w:rsidRDefault="0090590C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1CDE85D" w14:textId="0E452FD9" w:rsidR="00DC72F8" w:rsidRPr="004C1C8D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4C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PASIŪLYM</w:t>
      </w:r>
      <w:r w:rsidR="00EF5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Pr="004C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VERTINIMO KRITERIJAI</w:t>
      </w:r>
    </w:p>
    <w:p w14:paraId="223DCD03" w14:textId="37EEAD34" w:rsidR="00025DE1" w:rsidRPr="004C1C8D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AE7D9B1" w14:textId="5C8DB2ED" w:rsidR="00FA0B53" w:rsidRPr="004C1C8D" w:rsidRDefault="00025DE1" w:rsidP="0076288A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-142" w:firstLine="709"/>
      </w:pPr>
      <w:r w:rsidRPr="004C1C8D">
        <w:t xml:space="preserve">Ekonomiškai naudingiausias pasiūlymas išrenkamas pagal kainos ir kokybės </w:t>
      </w:r>
      <w:r w:rsidR="004C1C8D" w:rsidRPr="004C1C8D">
        <w:t xml:space="preserve">(pasirinktos kokybės vertinimo charakteristikos įvertinamos kiekybiškai) </w:t>
      </w:r>
      <w:r w:rsidRPr="004C1C8D">
        <w:t>santyk</w:t>
      </w:r>
      <w:r w:rsidR="00983600" w:rsidRPr="004C1C8D">
        <w:t>į.</w:t>
      </w:r>
      <w:r w:rsidR="00FA0B53">
        <w:t xml:space="preserve"> Laim</w:t>
      </w:r>
      <w:r w:rsidR="00F31B73">
        <w:t>ė</w:t>
      </w:r>
      <w:r w:rsidR="00FA0B53">
        <w:t>jusiu bus pripa</w:t>
      </w:r>
      <w:r w:rsidR="00DA3D4B">
        <w:t>žį</w:t>
      </w:r>
      <w:r w:rsidR="00FA0B53">
        <w:t>stamas tas pasi</w:t>
      </w:r>
      <w:r w:rsidR="00DA3D4B">
        <w:t>ū</w:t>
      </w:r>
      <w:r w:rsidR="00FA0B53">
        <w:t>lymas, kuris gaus daugiausia ekonominio naudingumo bal</w:t>
      </w:r>
      <w:r w:rsidR="00DA3D4B">
        <w:t>ų</w:t>
      </w:r>
      <w:r w:rsidR="00790BBE">
        <w:t xml:space="preserve"> (S reikšmė bus didžiausia)</w:t>
      </w:r>
      <w:r w:rsidR="00FA0B53">
        <w:t>.</w:t>
      </w:r>
    </w:p>
    <w:p w14:paraId="5A7777CF" w14:textId="00DE3D55" w:rsidR="00025DE1" w:rsidRPr="004C1C8D" w:rsidRDefault="00025DE1" w:rsidP="0076288A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-142" w:firstLine="709"/>
      </w:pPr>
      <w:r w:rsidRPr="004C1C8D">
        <w:t>Ekonomiškai naudingiausias pasiūlymas bus išrenkamas pagal šiuos kokybinius vertinimo kriterijus:</w:t>
      </w:r>
    </w:p>
    <w:p w14:paraId="29D07BB7" w14:textId="0DD23E24" w:rsidR="00B94861" w:rsidRPr="00B94861" w:rsidRDefault="002428D8" w:rsidP="002428D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lentelė „Vertinimo kriterijai“</w:t>
      </w:r>
    </w:p>
    <w:tbl>
      <w:tblPr>
        <w:tblW w:w="5086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"/>
        <w:gridCol w:w="5927"/>
        <w:gridCol w:w="1418"/>
        <w:gridCol w:w="2410"/>
      </w:tblGrid>
      <w:tr w:rsidR="00F86D2A" w:rsidRPr="004C1C8D" w14:paraId="78BC65A6" w14:textId="77777777" w:rsidTr="0096537C">
        <w:trPr>
          <w:cantSplit/>
          <w:tblHeader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EF2D" w14:textId="77777777" w:rsidR="00F86D2A" w:rsidRPr="00B94861" w:rsidRDefault="00F86D2A" w:rsidP="00965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82EC14" w14:textId="3C27BCC6" w:rsidR="00F86D2A" w:rsidRPr="004C1C8D" w:rsidRDefault="00F86D2A" w:rsidP="00CC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Galima parametro reikšmė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8C939" w14:textId="77777777" w:rsidR="00F86D2A" w:rsidRPr="00B94861" w:rsidRDefault="00F86D2A" w:rsidP="00B94861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4950DA" w:rsidRPr="004C1C8D" w14:paraId="0A8DEEC7" w14:textId="77777777" w:rsidTr="0096537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45A1" w14:textId="144F33E5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106C530" w14:textId="77777777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PIRMAS KRITERIJUS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Pas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iūlymo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kaina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8DF66A" w14:textId="1EBF03F0" w:rsidR="004950DA" w:rsidRPr="004C1C8D" w:rsidRDefault="004950DA" w:rsidP="00B9486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C276" w14:textId="7F9585B4" w:rsidR="004950DA" w:rsidRPr="00B94861" w:rsidRDefault="004950DA" w:rsidP="00B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X=</w:t>
            </w:r>
            <w:r w:rsid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0DA" w:rsidRPr="004C1C8D" w14:paraId="799A1AB8" w14:textId="77777777" w:rsidTr="0096537C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42E3" w14:textId="6DB47046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2D7D53" w14:textId="5E3FBC26" w:rsidR="004950DA" w:rsidRPr="00B94861" w:rsidRDefault="004950DA" w:rsidP="00B71DC6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B9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ANTRAS KRITERIJUS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Siūlomų specialistų patirtis (T)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(maksimali kriterijaus reikšmė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58250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– </w:t>
            </w:r>
            <w:r w:rsidR="0018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balų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90E56B" w14:textId="58AF250E" w:rsidR="004950DA" w:rsidRPr="004C1C8D" w:rsidRDefault="004950DA" w:rsidP="00B94861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0387" w14:textId="24795320" w:rsidR="004950DA" w:rsidRPr="00B94861" w:rsidRDefault="004950DA" w:rsidP="00B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Y=</w:t>
            </w:r>
            <w:r w:rsid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0D4B" w:rsidRPr="004C1C8D" w14:paraId="1CD0EFB4" w14:textId="77777777" w:rsidTr="0096537C"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6B76" w14:textId="4F1D28C0" w:rsidR="00EA0D4B" w:rsidRPr="00B94861" w:rsidRDefault="004950DA" w:rsidP="00B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464A" w14:textId="3BEC9F21" w:rsidR="00EA0D4B" w:rsidRPr="00B94861" w:rsidRDefault="00AB35FA" w:rsidP="00EA0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Pirmas</w:t>
            </w:r>
            <w:r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A0D4B"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parametras 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473E1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6473E1" w:rsidRPr="004C1C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–</w:t>
            </w:r>
            <w:bookmarkStart w:id="0" w:name="_Hlk59442970"/>
            <w:r w:rsidR="00EC0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EC0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A0D4B" w:rsidRPr="00C954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rogramuotojo</w:t>
            </w:r>
            <w:r w:rsidR="00EA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0D4B" w:rsidRPr="00927D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patirtis vykdant panašaus pobūdžio sutartis.</w:t>
            </w:r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5104" w14:textId="638DC1B7" w:rsidR="00EA0D4B" w:rsidRPr="004C1C8D" w:rsidRDefault="00EA0D4B" w:rsidP="00EA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2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4616"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balų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1FC0" w14:textId="77777777" w:rsidR="00EA0D4B" w:rsidRPr="00182C96" w:rsidRDefault="00EA0D4B" w:rsidP="00EA0D4B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0D4B" w:rsidRPr="004C1C8D" w14:paraId="48AE5B6D" w14:textId="77777777" w:rsidTr="0096537C"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95E6" w14:textId="00FDCCF7" w:rsidR="00EA0D4B" w:rsidRPr="00B94861" w:rsidRDefault="004950DA" w:rsidP="00B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534D" w14:textId="03E92BFF" w:rsidR="00EA0D4B" w:rsidRPr="00B94861" w:rsidRDefault="00AB35FA" w:rsidP="00EA0D4B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Antras</w:t>
            </w:r>
            <w:r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EA0D4B" w:rsidRPr="00B948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parametras 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473E1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</w:t>
            </w:r>
            <w:r w:rsidR="006473E1" w:rsidRPr="0018360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  <w:r w:rsidR="00EA0D4B" w:rsidRPr="00B948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– </w:t>
            </w:r>
            <w:r w:rsidR="00B950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Testuotojo</w:t>
            </w:r>
            <w:r w:rsidR="00EA0D4B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0D4B" w:rsidRPr="000E3D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patirtis vykdant panašaus pobūdžio sutartis.</w:t>
            </w:r>
            <w:r w:rsidR="00EA0D4B" w:rsidRPr="000E3D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5E4E" w14:textId="4640D76F" w:rsidR="00EA0D4B" w:rsidRPr="004C1C8D" w:rsidRDefault="00EA0D4B" w:rsidP="00EA0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352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B4616"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4438">
              <w:rPr>
                <w:rFonts w:ascii="Times New Roman" w:eastAsia="Times New Roman" w:hAnsi="Times New Roman" w:cs="Times New Roman"/>
                <w:sz w:val="24"/>
                <w:szCs w:val="24"/>
              </w:rPr>
              <w:t>balų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468E" w14:textId="77777777" w:rsidR="00EA0D4B" w:rsidRPr="00182C96" w:rsidRDefault="00EA0D4B" w:rsidP="00EA0D4B">
            <w:pPr>
              <w:spacing w:after="0" w:line="240" w:lineRule="auto"/>
              <w:ind w:firstLine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E981E" w14:textId="77777777" w:rsidR="00B94861" w:rsidRPr="00182C96" w:rsidRDefault="00B94861" w:rsidP="00B948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AF9FF5" w14:textId="67DBEA9F" w:rsidR="00B94861" w:rsidRPr="00B94861" w:rsidRDefault="00B94861" w:rsidP="00CC4E37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94861">
        <w:rPr>
          <w:rFonts w:ascii="Times New Roman" w:eastAsia="Times New Roman" w:hAnsi="Times New Roman" w:cs="Times New Roman"/>
          <w:sz w:val="24"/>
          <w:szCs w:val="24"/>
          <w:lang w:eastAsia="x-none"/>
        </w:rPr>
        <w:t>2 lentelė „Kriterijų ir parametrų aprašymai“</w:t>
      </w:r>
    </w:p>
    <w:tbl>
      <w:tblPr>
        <w:tblW w:w="5086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0672BE" w:rsidRPr="004C1C8D" w14:paraId="46DB9969" w14:textId="77777777" w:rsidTr="19CEB8C0">
        <w:trPr>
          <w:trHeight w:val="268"/>
          <w:tblHeader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3FFD" w14:textId="77777777" w:rsidR="00B94861" w:rsidRPr="00B94861" w:rsidRDefault="00B94861" w:rsidP="00B9486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Aprašymas ir vertinimas</w:t>
            </w:r>
          </w:p>
        </w:tc>
      </w:tr>
      <w:tr w:rsidR="000672BE" w:rsidRPr="004C1C8D" w14:paraId="2DF02E22" w14:textId="77777777" w:rsidTr="19CEB8C0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F25F" w14:textId="2E1C990F" w:rsidR="00B94861" w:rsidRPr="00B94861" w:rsidRDefault="0000609B" w:rsidP="00B9486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ANTRAS</w:t>
            </w:r>
            <w:r w:rsidR="00B94861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KRITERIJUS – </w:t>
            </w:r>
            <w:bookmarkStart w:id="1" w:name="_Hlk214047175"/>
            <w:r w:rsidR="00B94861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Siūlomų specialistų patirtis </w:t>
            </w:r>
            <w:bookmarkStart w:id="2" w:name="_Hlk30506959"/>
            <w:bookmarkEnd w:id="1"/>
            <w:r w:rsidR="00B94861" w:rsidRPr="00B94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(T)</w:t>
            </w:r>
            <w:bookmarkEnd w:id="2"/>
          </w:p>
        </w:tc>
      </w:tr>
      <w:tr w:rsidR="000672BE" w:rsidRPr="004C1C8D" w14:paraId="4C1DB5C8" w14:textId="77777777" w:rsidTr="19CEB8C0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9F7F" w14:textId="651CB91F" w:rsidR="00B94861" w:rsidRPr="00E84D92" w:rsidRDefault="00094900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30507389"/>
            <w:r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Tiekėjas </w:t>
            </w:r>
            <w:r w:rsidR="00012A4F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kartu su pasiūlymu </w:t>
            </w:r>
            <w:r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turi </w:t>
            </w:r>
            <w:r w:rsidR="00061330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94861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ateik</w:t>
            </w:r>
            <w:r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B94861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užpildyt</w:t>
            </w:r>
            <w:r w:rsidR="004D1B0F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ą</w:t>
            </w:r>
            <w:r w:rsidR="00B94861" w:rsidRPr="00E84D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1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321DD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irkimo sąlygų 9 priedą „</w:t>
            </w:r>
            <w:r w:rsidR="00B321DD" w:rsidRPr="00E84D9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Specialistų sąrašas ir kokybinių vertinimo kriterijų atitikties pažyma</w:t>
            </w:r>
            <w:r w:rsidR="004D1B0F" w:rsidRPr="00E84D92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  <w:p w14:paraId="4EC1C079" w14:textId="2B338201" w:rsidR="00B94861" w:rsidRPr="00B94861" w:rsidRDefault="00B94861" w:rsidP="00B950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Vertinama tiekėjo sutarčiai paskirtų specialistų patirtis įgyvendinant panašaus pobūdžio sutartis </w:t>
            </w:r>
            <w:r w:rsidR="0095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(projektus)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(skaičiuojant sutartimis</w:t>
            </w:r>
            <w:r w:rsidR="00955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(projektais)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bookmarkStart w:id="4" w:name="_Hlk30506773"/>
            <w:bookmarkEnd w:id="3"/>
            <w:r w:rsidRPr="00F8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Panašaus pobūdžio sutartimis </w:t>
            </w:r>
            <w:r w:rsidR="00FE52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(projektais) </w:t>
            </w:r>
            <w:r w:rsidRPr="00F86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laikoma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5009" w:rsidRP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sistemų kūrimo ir (ar) informacinių sistemų priežiūros ir (ar) palaikymo paslaugų</w:t>
            </w:r>
            <w:r w:rsidR="00BD3618" w:rsidRPr="004C1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sutart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End w:id="4"/>
          </w:p>
          <w:p w14:paraId="7A01CD2D" w14:textId="45275B10" w:rsidR="00B94861" w:rsidRPr="007B4616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Vertinamos </w:t>
            </w: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tik tos sutartys</w:t>
            </w:r>
            <w:r w:rsidR="00FE52F2"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(projektai)</w:t>
            </w: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, kuriose specialistas atliko reikalaujamas funkcijas.</w:t>
            </w:r>
          </w:p>
          <w:p w14:paraId="7A853F90" w14:textId="720F1F1D" w:rsidR="0025446D" w:rsidRPr="00182C96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616">
              <w:rPr>
                <w:rFonts w:ascii="Times New Roman" w:eastAsia="Times New Roman" w:hAnsi="Times New Roman" w:cs="Times New Roman"/>
                <w:sz w:val="24"/>
                <w:szCs w:val="24"/>
              </w:rPr>
              <w:t>Patirtimi šio kriterijaus apimtyje laikomas darbas konkrečioje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, kai specialistas buvo priskirtas dirbti konkrečioje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 Jei specialistas nebuvo priskirtas dirbti konkrečioje sutartyje</w:t>
            </w:r>
            <w:r w:rsidR="00FE5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(projekte)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tokiu atveju specialisto patirtis nėra 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skaičiuojama. Tuo pačiu laikotarpiu einamos pareigos skirtingose sutartyse</w:t>
            </w:r>
            <w:r w:rsidR="00FE52F2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(projektuose)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(„persidengiančios datos“) yra skaičiuojamos.</w:t>
            </w:r>
          </w:p>
          <w:p w14:paraId="71DA92D4" w14:textId="32BA237A" w:rsidR="00B94861" w:rsidRPr="00B94861" w:rsidRDefault="00B94861" w:rsidP="00B9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 sutartis </w:t>
            </w:r>
            <w:r w:rsidR="00F86D2A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buvo pradėta vykdyti anksčiau kaip prieš </w:t>
            </w:r>
            <w:r w:rsidR="00B95009"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2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metus (iki pasiūlymų pateikimo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dienos) ir baigta įgyvendinti </w:t>
            </w:r>
            <w:r w:rsid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r w:rsidR="00856D0D" w:rsidRP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>anksčiau kaip prieš 3 metus</w:t>
            </w:r>
            <w:r w:rsid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>, skaičiuojant</w:t>
            </w:r>
            <w:r w:rsidR="00856D0D" w:rsidRPr="00856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pasiūlymų pateikimo dienos, tokia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skaičiuojama. Jei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buvo pradėta ir baigta įgyvendinti anksčiau kaip prieš </w:t>
            </w:r>
            <w:r w:rsidR="00B950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metus (iki pasiūlymų pateikimo dienos), tokia sutartis 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(projektas) 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nebus skaičiuojama. Skaičiuojamos tik baigtos įgyvendinti sutartys</w:t>
            </w:r>
            <w:r w:rsidR="00F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(projektai)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D2C008" w14:textId="77777777" w:rsidR="00B94861" w:rsidRDefault="00B94861" w:rsidP="000672B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Vertinami </w:t>
            </w:r>
            <w:r w:rsidRPr="000613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specialistai turi būti tie patys</w:t>
            </w:r>
            <w:r w:rsidRPr="00B94861">
              <w:rPr>
                <w:rFonts w:ascii="Times New Roman" w:eastAsia="Times New Roman" w:hAnsi="Times New Roman" w:cs="Times New Roman"/>
                <w:sz w:val="24"/>
                <w:szCs w:val="24"/>
              </w:rPr>
              <w:t>, kurie nurodomi grindžiant tiekėjo atitiktį minimaliems tiekėjų kvalifikacijos reikalavimams.</w:t>
            </w:r>
          </w:p>
          <w:p w14:paraId="693FB55E" w14:textId="7936CA81" w:rsidR="00CE203F" w:rsidRPr="00B94861" w:rsidRDefault="00CE203F" w:rsidP="000672BE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Vertinamos tik papildomai įvykdytos sutartys (projektai), kuriomis tiekėjas nesiremia grįsdamas atitikimą minimaliems tiekėjų kvalifikacijos reikalavimams</w:t>
            </w:r>
            <w:r w:rsidR="009A0E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46AEF" w:rsidRPr="00B94861" w14:paraId="56880FBE" w14:textId="77777777" w:rsidTr="19CEB8C0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475C" w14:textId="656772C5" w:rsidR="00846AEF" w:rsidRPr="003C6FE8" w:rsidRDefault="004950DA" w:rsidP="00846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Pirmas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parametras (P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)</w:t>
            </w:r>
            <w:r w:rsidR="00846AEF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–</w:t>
            </w:r>
            <w:r w:rsidR="001C295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P</w:t>
            </w:r>
            <w:r w:rsidR="00846AE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rogramuotojo</w:t>
            </w:r>
            <w:r w:rsidR="00846AEF" w:rsidRPr="003C6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6AEF" w:rsidRPr="00A662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patirtis vykdant panašaus pobūdžio sutartis</w:t>
            </w:r>
            <w:r w:rsidR="00846AEF" w:rsidRPr="003C6F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1EB39C0E" w14:textId="22FC0847" w:rsidR="001629CB" w:rsidRDefault="00846AEF" w:rsidP="00846AEF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Vertinama programuotojo papildoma / didesnė patirtis, nei deklaruojant atitiktį minimaliems kvalifikacijos reikalavimams, nurodytiems </w:t>
            </w:r>
            <w:r w:rsidRPr="000613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„Tiekėjo kvalifikacijos reikalavimai“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A2E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0B1F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B1F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</w:t>
            </w:r>
            <w:r w:rsidR="00DA0A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papunk</w:t>
            </w:r>
            <w:r w:rsidR="00AD00E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tyje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„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 paskutinius 3</w:t>
            </w:r>
            <w:r w:rsid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metus iki pasiūlymo pateikimo termino pabaigos patirtį programavimo bent 1 (viename) projekte ar 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sutartyje, kurio vykdymo metu buvo suteiktos informacinių sistemų kūrimo ir (ar) informacinių sistemų priežiūros ir (ar) palaikymo paslaugos ir kur buvo </w:t>
            </w:r>
            <w:r w:rsidR="009573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naudota 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PHP programavimo kalba kartu su </w:t>
            </w:r>
            <w:proofErr w:type="spellStart"/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Laravel</w:t>
            </w:r>
            <w:proofErr w:type="spellEnd"/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programiniais komponentais ir MySQL </w:t>
            </w:r>
            <w:r w:rsidR="005A2EB7" w:rsidRPr="005A2EB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arba lygiavertė 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duomenų bazių valdymo sistema</w:t>
            </w:r>
            <w:r w:rsid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“.</w:t>
            </w:r>
          </w:p>
          <w:p w14:paraId="4EFA4573" w14:textId="7A7C6987" w:rsidR="001629CB" w:rsidRPr="001629CB" w:rsidRDefault="001629CB" w:rsidP="001629CB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Už kiekvien</w:t>
            </w:r>
            <w:r w:rsidR="00D56DB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1629C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papildom</w:t>
            </w:r>
            <w:r w:rsidR="007A45F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ą 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sutart</w:t>
            </w:r>
            <w:r w:rsid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į)</w:t>
            </w:r>
            <w:r w:rsidR="007E6256" w:rsidRPr="007E625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kurio vykdymo metu buvo </w:t>
            </w:r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suteiktos informacinių sistemų kūrimo ir (ar) informacinių sistemų priežiūros ir (ar) palaikymo paslaugos ir kur buvo naudota PHP programavimo kalba kartu su </w:t>
            </w:r>
            <w:proofErr w:type="spellStart"/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Laravel</w:t>
            </w:r>
            <w:proofErr w:type="spellEnd"/>
            <w:r w:rsidR="00D55C2B" w:rsidRP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programiniais komponentais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ir MySQL </w:t>
            </w:r>
            <w:r w:rsidR="000C420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arba lygiavertė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duomenų bazių valdymo sistema, 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po 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us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Maksimalus balų skaičius –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Už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daugiau papildomų </w:t>
            </w:r>
            <w:r w:rsidR="00647980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projektų (sutarčių) 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maksimali balų suma </w:t>
            </w:r>
            <w:r w:rsidR="00D55C2B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DC91D9D" w14:textId="22DB4D8E" w:rsidR="00846AEF" w:rsidRPr="003C6FE8" w:rsidRDefault="009E1800" w:rsidP="19CEB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26763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rogramuotojas</w:t>
            </w:r>
            <w:r w:rsidR="001629CB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, kuriam skiriami balai už patirtį, turi būti tas pats specialistas, kuriam taikomi kvalifikaciniai reikalavimai</w:t>
            </w:r>
            <w:r w:rsidR="005A2EB7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333FC9" w14:textId="3E4FB04B" w:rsidR="00846AEF" w:rsidRPr="003C6FE8" w:rsidRDefault="70349479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19CEB8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Kartu su pasiūlymu pateikiami dokumentai / informacija:</w:t>
            </w:r>
          </w:p>
          <w:p w14:paraId="10F68CCE" w14:textId="76BFDFC2" w:rsidR="00846AEF" w:rsidRPr="00243E7C" w:rsidRDefault="70349479" w:rsidP="002D508F">
            <w:pPr>
              <w:tabs>
                <w:tab w:val="left" w:pos="324"/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Pasiūlymo forma (</w:t>
            </w:r>
            <w:r w:rsidR="001D2D25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 sąlygų </w:t>
            </w:r>
            <w:r w:rsidR="00C41102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priedas);</w:t>
            </w:r>
          </w:p>
          <w:p w14:paraId="745AB2BE" w14:textId="3D661096" w:rsidR="00846AEF" w:rsidRPr="003C6FE8" w:rsidRDefault="70349479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Specialistų sąrašas ir kokybinių vertinimo kriterijų atitikties pažyma (</w:t>
            </w:r>
            <w:r w:rsidR="001D2D25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 sąlygų </w:t>
            </w:r>
            <w:r w:rsidR="00A5376A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priedas).</w:t>
            </w:r>
          </w:p>
        </w:tc>
      </w:tr>
      <w:tr w:rsidR="00B94861" w:rsidRPr="00B94861" w14:paraId="76176739" w14:textId="77777777" w:rsidTr="19CEB8C0">
        <w:trPr>
          <w:trHeight w:val="169"/>
        </w:trPr>
        <w:tc>
          <w:tcPr>
            <w:tcW w:w="10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6B338" w14:textId="1173A527" w:rsidR="00B94861" w:rsidRPr="003C6FE8" w:rsidRDefault="004950DA" w:rsidP="00BB2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lastRenderedPageBreak/>
              <w:t>Antras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</w:t>
            </w:r>
            <w:r w:rsidR="00B94861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parametras (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P</w:t>
            </w:r>
            <w:r w:rsidR="007B4616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bscript"/>
                <w:lang w:eastAsia="ar-SA"/>
              </w:rPr>
              <w:t>2</w:t>
            </w:r>
            <w:r w:rsidR="00B94861" w:rsidRPr="003C6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)</w:t>
            </w:r>
            <w:r w:rsidR="00B94861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– </w:t>
            </w:r>
            <w:r w:rsidR="00D55C2B" w:rsidRPr="00A662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Testuotojo</w:t>
            </w:r>
            <w:r w:rsidR="004A60BE" w:rsidRPr="00A662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B94861" w:rsidRPr="00A6621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patirtis vykdant panašaus pobūdžio sutartis</w:t>
            </w:r>
            <w:r w:rsidR="00B94861" w:rsidRPr="003C6F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5DB667A7" w14:textId="6442C92C" w:rsidR="00B94861" w:rsidRPr="003C6FE8" w:rsidRDefault="00B94861" w:rsidP="00B94861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Vertinama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testuotojo</w:t>
            </w:r>
            <w:r w:rsidR="00291930" w:rsidRPr="002919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E52F2" w:rsidRPr="003C6F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papildoma / didesnė</w:t>
            </w:r>
            <w:r w:rsidR="00FE52F2" w:rsidRPr="003C6F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patirtis</w:t>
            </w:r>
            <w:r w:rsidR="00FE52F2"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E52F2" w:rsidRPr="003C6FE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nei deklaruojant atitiktį minimaliems kvalifikacijos reikalavimams, nurodytiems </w:t>
            </w:r>
            <w:r w:rsidR="0073713B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</w:t>
            </w:r>
            <w:r w:rsidR="00A40A2E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Tiekėj</w:t>
            </w:r>
            <w:r w:rsidR="00A40A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</w:t>
            </w:r>
            <w:r w:rsidR="00A40A2E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3713B" w:rsidRP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kvalifikacijos reikalavimai“</w:t>
            </w:r>
            <w:r w:rsid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C42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.3</w:t>
            </w:r>
            <w:r w:rsidR="0073713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c)</w:t>
            </w:r>
            <w:r w:rsidR="00A40A2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„</w:t>
            </w:r>
            <w:r w:rsidR="00504A32" w:rsidRPr="00504A3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 paskutinius 3 metus iki pasiūlymo pateikimo termino pabaigos patirtį informacinės sistemos testavimo ar testavimo scenarijų parengimo bent 1 (viename) projekte ar sutartyje, kurio vykdymo metu buvo suteiktos informacinių sistemų kūrimo ir (ar) informacinių sistemų priežiūros ir (ar) palaikymo paslaugos</w:t>
            </w:r>
            <w:r w:rsidR="00D55C2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“</w:t>
            </w:r>
            <w:r w:rsidR="009573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D1E4D72" w14:textId="53A59302" w:rsidR="005F2FCD" w:rsidRPr="005F2FCD" w:rsidRDefault="005F2FCD" w:rsidP="005F2FCD">
            <w:pPr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Už kiekvien</w:t>
            </w:r>
            <w:r w:rsid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papildom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10C92" w:rsidRP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 (sutartį),</w:t>
            </w:r>
            <w:r w:rsidR="003F77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kurio </w:t>
            </w:r>
            <w:r w:rsidR="004950DA" w:rsidRPr="004950D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metu buvo suteiktos informacinių sistemų kūrimo ir (ar) informacinių sistemų priežiūros ir (ar) palaikymo paslaugos</w:t>
            </w:r>
            <w:r w:rsidR="0068303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atliekant </w:t>
            </w:r>
            <w:r w:rsidR="006C2E01" w:rsidRP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informacinės sistemos testavim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</w:t>
            </w:r>
            <w:r w:rsidR="006C2E01" w:rsidRP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ar testavimo scenarijų parengim</w:t>
            </w:r>
            <w:r w:rsidR="006C2E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ą,</w:t>
            </w:r>
            <w:r w:rsidR="00210C9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skiriama po 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us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Maksimalus balų skaičius –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Už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daugiau papildomų </w:t>
            </w:r>
            <w:r w:rsidR="003F77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projektų (sutarčių)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skiriama maksimali balų suma </w:t>
            </w:r>
            <w:r w:rsidR="004950DA"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82C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bal</w:t>
            </w:r>
            <w:r w:rsidR="007B461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ų</w:t>
            </w:r>
            <w:r w:rsidRPr="005F2F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2AC1C4B" w14:textId="276D02A6" w:rsidR="00B94861" w:rsidRPr="00C41102" w:rsidRDefault="004950DA" w:rsidP="19CEB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Testuotojas</w:t>
            </w:r>
            <w:r w:rsidR="005F2FCD" w:rsidRPr="19CEB8C0">
              <w:rPr>
                <w:rFonts w:ascii="Times New Roman" w:eastAsia="Times New Roman" w:hAnsi="Times New Roman" w:cs="Times New Roman"/>
                <w:sz w:val="24"/>
                <w:szCs w:val="24"/>
              </w:rPr>
              <w:t>, kuriam skiriami balai už patirtį, turi būti tas pats specialistas, kuriam taikomi kvalifikaciniai reikalavimai</w:t>
            </w:r>
            <w:r w:rsidR="00334031" w:rsidRPr="00C411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AFD91" w14:textId="27740374" w:rsidR="00B94861" w:rsidRPr="00C41102" w:rsidRDefault="08019C22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Kartu su pasiūlymu pateikiami dokumentai / informacija:</w:t>
            </w:r>
          </w:p>
          <w:p w14:paraId="466C40E7" w14:textId="7E0C0338" w:rsidR="00B94861" w:rsidRPr="00C41102" w:rsidRDefault="08019C22" w:rsidP="002D508F">
            <w:pPr>
              <w:tabs>
                <w:tab w:val="left" w:pos="324"/>
                <w:tab w:val="left" w:pos="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1) Pasiūlymo forma (</w:t>
            </w:r>
            <w:r w:rsidR="00C41102"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</w:t>
            </w:r>
            <w:r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 sąlygų </w:t>
            </w:r>
            <w:r w:rsidR="00C41102"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C411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priedas);</w:t>
            </w:r>
          </w:p>
          <w:p w14:paraId="2E0E4FC8" w14:textId="34DDDC9A" w:rsidR="00B94861" w:rsidRPr="003C6FE8" w:rsidRDefault="08019C22" w:rsidP="002D50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9CEB8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2) Specialistų sąrašas ir kokybinių vertinimo kriterijų atitikties pažyma (</w:t>
            </w:r>
            <w:r w:rsidR="00A537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</w:t>
            </w:r>
            <w:r w:rsidRPr="19CEB8C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 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sąlygų </w:t>
            </w:r>
            <w:r w:rsidR="00A5376A"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  <w:r w:rsidRPr="00243E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priedas).</w:t>
            </w:r>
          </w:p>
        </w:tc>
      </w:tr>
    </w:tbl>
    <w:p w14:paraId="0D477E9D" w14:textId="77777777" w:rsidR="004C1C8D" w:rsidRDefault="004C1C8D">
      <w:pPr>
        <w:rPr>
          <w:rFonts w:ascii="Times New Roman" w:hAnsi="Times New Roman" w:cs="Times New Roman"/>
          <w:sz w:val="24"/>
          <w:szCs w:val="24"/>
        </w:rPr>
      </w:pPr>
    </w:p>
    <w:p w14:paraId="5D5A3300" w14:textId="6461E9E1" w:rsidR="004C1C8D" w:rsidRDefault="004C1C8D" w:rsidP="004C1C8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Ekonominis naudingumas (S) apskaičiuojamas, sudedant tiekėjo pasiūlymo kainos </w:t>
      </w:r>
      <w:r w:rsidR="002555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="002555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63862">
        <w:rPr>
          <w:rFonts w:ascii="Times New Roman" w:hAnsi="Times New Roman" w:cs="Times New Roman"/>
          <w:sz w:val="24"/>
          <w:szCs w:val="24"/>
        </w:rPr>
        <w:t>s</w:t>
      </w:r>
      <w:r w:rsidR="00C63862" w:rsidRPr="00C63862">
        <w:rPr>
          <w:rFonts w:ascii="Times New Roman" w:hAnsi="Times New Roman" w:cs="Times New Roman"/>
          <w:sz w:val="24"/>
          <w:szCs w:val="24"/>
        </w:rPr>
        <w:t>iūlomų specialistų patirti</w:t>
      </w:r>
      <w:r w:rsidR="00C63862">
        <w:rPr>
          <w:rFonts w:ascii="Times New Roman" w:hAnsi="Times New Roman" w:cs="Times New Roman"/>
          <w:sz w:val="24"/>
          <w:szCs w:val="24"/>
        </w:rPr>
        <w:t>e</w:t>
      </w:r>
      <w:r w:rsidR="00C63862" w:rsidRPr="00C638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kriterij</w:t>
      </w:r>
      <w:r w:rsidR="00C63862">
        <w:rPr>
          <w:rFonts w:ascii="Times New Roman" w:hAnsi="Times New Roman" w:cs="Times New Roman"/>
          <w:sz w:val="24"/>
          <w:szCs w:val="24"/>
        </w:rPr>
        <w:t>aus</w:t>
      </w:r>
      <w:r>
        <w:rPr>
          <w:rFonts w:ascii="Times New Roman" w:hAnsi="Times New Roman" w:cs="Times New Roman"/>
          <w:sz w:val="24"/>
          <w:szCs w:val="24"/>
        </w:rPr>
        <w:t xml:space="preserve"> (T) balus:</w:t>
      </w:r>
    </w:p>
    <w:p w14:paraId="39B5FCB5" w14:textId="624213FC" w:rsidR="00B95009" w:rsidRPr="00B95009" w:rsidRDefault="004C1C8D" w:rsidP="00B95009">
      <w:pPr>
        <w:pStyle w:val="Sraopastraipa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1C8D">
        <w:rPr>
          <w:rFonts w:ascii="Times New Roman" w:hAnsi="Times New Roman" w:cs="Times New Roman"/>
          <w:i/>
          <w:iCs/>
          <w:sz w:val="24"/>
          <w:szCs w:val="24"/>
        </w:rPr>
        <w:t>(1 formulė)</w:t>
      </w:r>
    </w:p>
    <w:p w14:paraId="2EF89ED0" w14:textId="575F3BF8" w:rsidR="004C1C8D" w:rsidRDefault="004C1C8D" w:rsidP="004C1C8D">
      <w:pPr>
        <w:pStyle w:val="Sraopastraipa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en-US"/>
        </w:rPr>
        <w:t>= C + T</w:t>
      </w:r>
    </w:p>
    <w:p w14:paraId="1EB9AD57" w14:textId="77777777" w:rsidR="00B95009" w:rsidRPr="00B95009" w:rsidRDefault="00B95009" w:rsidP="004C1C8D">
      <w:pPr>
        <w:pStyle w:val="Sraopastraipa"/>
        <w:ind w:left="36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14:paraId="578889C4" w14:textId="68EDF10D" w:rsidR="004C1C8D" w:rsidRDefault="004C1C8D" w:rsidP="004C1C8D">
      <w:pPr>
        <w:pStyle w:val="Sraopastraipa"/>
        <w:numPr>
          <w:ilvl w:val="0"/>
          <w:numId w:val="2"/>
        </w:numPr>
        <w:tabs>
          <w:tab w:val="left" w:pos="127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Pas</w:t>
      </w: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iūlymo </w:t>
      </w:r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kainos (C) balai apskaičiuojami mažiausios pasiūlytos kainos (</w:t>
      </w:r>
      <w:proofErr w:type="spellStart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C</w:t>
      </w:r>
      <w:r w:rsidRPr="004C1C8D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min</w:t>
      </w:r>
      <w:proofErr w:type="spellEnd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) ir vertinamo pasiūlymo kainos (</w:t>
      </w:r>
      <w:proofErr w:type="spellStart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Cp</w:t>
      </w:r>
      <w:proofErr w:type="spellEnd"/>
      <w:r w:rsidRPr="004C1C8D">
        <w:rPr>
          <w:rFonts w:ascii="Times New Roman" w:eastAsia="Times New Roman" w:hAnsi="Times New Roman" w:cs="Times New Roman"/>
          <w:sz w:val="24"/>
          <w:szCs w:val="20"/>
          <w:lang w:eastAsia="x-none"/>
        </w:rPr>
        <w:t>) santykį padauginant iš kainos lyginamojo svorio (X):</w:t>
      </w:r>
    </w:p>
    <w:p w14:paraId="0B457F54" w14:textId="5797ADAE" w:rsidR="004C1C8D" w:rsidRPr="004C1C8D" w:rsidRDefault="004C1C8D" w:rsidP="00B95009">
      <w:pPr>
        <w:pStyle w:val="Sraopastraipa"/>
        <w:tabs>
          <w:tab w:val="left" w:pos="127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</w:pPr>
      <w:r w:rsidRPr="004C1C8D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>(2 formulė)</w:t>
      </w:r>
    </w:p>
    <w:p w14:paraId="2C1A1A37" w14:textId="77777777" w:rsidR="004C1C8D" w:rsidRPr="004C1C8D" w:rsidRDefault="004C1C8D" w:rsidP="00B95009">
      <w:pPr>
        <w:tabs>
          <w:tab w:val="left" w:pos="1276"/>
        </w:tabs>
        <w:spacing w:after="0" w:line="360" w:lineRule="auto"/>
        <w:ind w:right="57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1C8D">
        <w:rPr>
          <w:rFonts w:ascii="Times New Roman" w:eastAsia="Times New Roman" w:hAnsi="Times New Roman" w:cs="Times New Roman"/>
          <w:position w:val="-32"/>
          <w:sz w:val="24"/>
          <w:szCs w:val="24"/>
        </w:rPr>
        <w:object w:dxaOrig="1300" w:dyaOrig="720" w14:anchorId="77AD8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5pt;height:36pt" o:ole="" fillcolor="window">
            <v:imagedata r:id="rId6" o:title=""/>
          </v:shape>
          <o:OLEObject Type="Embed" ProgID="Equation.3" ShapeID="_x0000_i1025" DrawAspect="Content" ObjectID="_1825055926" r:id="rId7"/>
        </w:object>
      </w:r>
    </w:p>
    <w:p w14:paraId="0C7B74EF" w14:textId="77777777" w:rsidR="00156F52" w:rsidRPr="00156F52" w:rsidRDefault="00156F52" w:rsidP="00156F52">
      <w:pPr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156F52">
        <w:rPr>
          <w:rFonts w:ascii="Times New Roman" w:hAnsi="Times New Roman" w:cs="Times New Roman"/>
          <w:sz w:val="24"/>
          <w:szCs w:val="24"/>
          <w:lang w:eastAsia="lt-LT"/>
        </w:rPr>
        <w:t>C</w:t>
      </w:r>
      <w:r w:rsidRPr="00156F52">
        <w:rPr>
          <w:rFonts w:ascii="Times New Roman" w:hAnsi="Times New Roman" w:cs="Times New Roman"/>
          <w:sz w:val="24"/>
          <w:szCs w:val="24"/>
          <w:vertAlign w:val="subscript"/>
          <w:lang w:eastAsia="lt-LT"/>
        </w:rPr>
        <w:t>min</w:t>
      </w:r>
      <w:proofErr w:type="spellEnd"/>
      <w:r w:rsidRPr="00156F52">
        <w:rPr>
          <w:rFonts w:ascii="Times New Roman" w:hAnsi="Times New Roman" w:cs="Times New Roman"/>
          <w:sz w:val="24"/>
          <w:szCs w:val="24"/>
          <w:lang w:eastAsia="lt-LT"/>
        </w:rPr>
        <w:t xml:space="preserve"> - mažiausia komisijos neatmesto tiekėjo pasiūlymo kaina eurais;</w:t>
      </w:r>
    </w:p>
    <w:p w14:paraId="77419A83" w14:textId="77777777" w:rsidR="00156F52" w:rsidRPr="00156F52" w:rsidRDefault="00156F52" w:rsidP="00156F52">
      <w:pPr>
        <w:ind w:left="567"/>
        <w:rPr>
          <w:rFonts w:ascii="Times New Roman" w:hAnsi="Times New Roman" w:cs="Times New Roman"/>
          <w:sz w:val="24"/>
          <w:szCs w:val="24"/>
          <w:lang w:eastAsia="lt-LT"/>
        </w:rPr>
      </w:pPr>
      <w:proofErr w:type="spellStart"/>
      <w:r w:rsidRPr="00156F52">
        <w:rPr>
          <w:rFonts w:ascii="Times New Roman" w:hAnsi="Times New Roman" w:cs="Times New Roman"/>
          <w:sz w:val="24"/>
          <w:szCs w:val="24"/>
          <w:lang w:eastAsia="lt-LT"/>
        </w:rPr>
        <w:t>C</w:t>
      </w:r>
      <w:r w:rsidRPr="00156F52">
        <w:rPr>
          <w:rFonts w:ascii="Times New Roman" w:hAnsi="Times New Roman" w:cs="Times New Roman"/>
          <w:sz w:val="24"/>
          <w:szCs w:val="24"/>
          <w:vertAlign w:val="subscript"/>
          <w:lang w:eastAsia="lt-LT"/>
        </w:rPr>
        <w:t>p</w:t>
      </w:r>
      <w:proofErr w:type="spellEnd"/>
      <w:r w:rsidRPr="00156F52">
        <w:rPr>
          <w:rFonts w:ascii="Times New Roman" w:hAnsi="Times New Roman" w:cs="Times New Roman"/>
          <w:sz w:val="24"/>
          <w:szCs w:val="24"/>
          <w:lang w:eastAsia="lt-LT"/>
        </w:rPr>
        <w:t xml:space="preserve"> - vertinamo tiekėjo pasiūlymo kaina eurais.</w:t>
      </w:r>
    </w:p>
    <w:p w14:paraId="736ACADE" w14:textId="77777777" w:rsidR="00156F52" w:rsidRPr="00156F52" w:rsidRDefault="00156F52" w:rsidP="00061330">
      <w:pPr>
        <w:pStyle w:val="Sraopastraipa"/>
        <w:tabs>
          <w:tab w:val="left" w:pos="1134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0820799" w14:textId="342E84CE" w:rsidR="00F86C6A" w:rsidRDefault="00F86C6A" w:rsidP="00F86C6A">
      <w:pPr>
        <w:pStyle w:val="Sraopastraipa"/>
        <w:numPr>
          <w:ilvl w:val="0"/>
          <w:numId w:val="2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86C6A">
        <w:rPr>
          <w:rFonts w:ascii="Times New Roman" w:hAnsi="Times New Roman" w:cs="Times New Roman"/>
          <w:sz w:val="24"/>
          <w:szCs w:val="24"/>
        </w:rPr>
        <w:t>Antrojo (T) kriterij</w:t>
      </w:r>
      <w:r w:rsidR="00156F52">
        <w:rPr>
          <w:rFonts w:ascii="Times New Roman" w:hAnsi="Times New Roman" w:cs="Times New Roman"/>
          <w:sz w:val="24"/>
          <w:szCs w:val="24"/>
        </w:rPr>
        <w:t>a</w:t>
      </w:r>
      <w:r w:rsidRPr="00F86C6A">
        <w:rPr>
          <w:rFonts w:ascii="Times New Roman" w:hAnsi="Times New Roman" w:cs="Times New Roman"/>
          <w:sz w:val="24"/>
          <w:szCs w:val="24"/>
        </w:rPr>
        <w:t xml:space="preserve">us įvertinimas apskaičiuojamas vertinamo pasiūlymo šio kriterijaus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parametrų įvertinimų (</w:t>
      </w:r>
      <w:proofErr w:type="spellStart"/>
      <w:r w:rsidRPr="00F86C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F86C6A">
        <w:rPr>
          <w:rFonts w:ascii="Times New Roman" w:eastAsia="Times New Roman" w:hAnsi="Times New Roman" w:cs="Times New Roman"/>
          <w:sz w:val="24"/>
          <w:szCs w:val="24"/>
        </w:rPr>
        <w:t>) sumą (</w:t>
      </w:r>
      <w:bookmarkStart w:id="5" w:name="_Hlk59444441"/>
      <w:r w:rsidRPr="00F86C6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6" w:name="_Hlk125120198"/>
      <w:r w:rsidRPr="00F86C6A">
        <w:rPr>
          <w:rFonts w:ascii="Times New Roman" w:eastAsia="Times New Roman" w:hAnsi="Times New Roman" w:cs="Times New Roman"/>
          <w:sz w:val="24"/>
          <w:szCs w:val="24"/>
        </w:rPr>
        <w:t>+ P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bookmarkEnd w:id="5"/>
      <w:bookmarkEnd w:id="6"/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) padalinant iš 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>maksimal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>ios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 galimo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kriterijaus  (</w:t>
      </w:r>
      <w:proofErr w:type="spellStart"/>
      <w:r w:rsidR="00BA4DF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86C6A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F86C6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82500">
        <w:rPr>
          <w:rFonts w:ascii="Times New Roman" w:eastAsia="Times New Roman" w:hAnsi="Times New Roman" w:cs="Times New Roman"/>
          <w:sz w:val="24"/>
          <w:szCs w:val="24"/>
        </w:rPr>
        <w:t xml:space="preserve">reikšmės 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(t. y. </w:t>
      </w:r>
      <w:r w:rsidR="00182C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4DF6">
        <w:rPr>
          <w:rFonts w:ascii="Times New Roman" w:eastAsia="Times New Roman" w:hAnsi="Times New Roman" w:cs="Times New Roman"/>
          <w:sz w:val="24"/>
          <w:szCs w:val="24"/>
        </w:rPr>
        <w:t xml:space="preserve">0 balų) </w:t>
      </w:r>
      <w:r w:rsidRPr="00F86C6A">
        <w:rPr>
          <w:rFonts w:ascii="Times New Roman" w:eastAsia="Times New Roman" w:hAnsi="Times New Roman" w:cs="Times New Roman"/>
          <w:sz w:val="24"/>
          <w:szCs w:val="24"/>
        </w:rPr>
        <w:t>bei padauginant iš vertinamo kriterijaus lyginamojo svorio ekonominio naudingumo įvertinime (Y)</w:t>
      </w:r>
      <w:r w:rsidRPr="00F86C6A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6C022547" w14:textId="2718D1A2" w:rsidR="00F86C6A" w:rsidRDefault="00F86C6A" w:rsidP="00F86C6A">
      <w:pPr>
        <w:pStyle w:val="Sraopastraipa"/>
        <w:tabs>
          <w:tab w:val="left" w:pos="1134"/>
        </w:tabs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6C6A">
        <w:rPr>
          <w:rFonts w:ascii="Times New Roman" w:hAnsi="Times New Roman" w:cs="Times New Roman"/>
          <w:i/>
          <w:iCs/>
          <w:sz w:val="24"/>
          <w:szCs w:val="24"/>
        </w:rPr>
        <w:lastRenderedPageBreak/>
        <w:t>(3 formulė)</w:t>
      </w:r>
    </w:p>
    <w:p w14:paraId="3E84EF9B" w14:textId="69FAEE3F" w:rsidR="00F86C6A" w:rsidRPr="00F86C6A" w:rsidRDefault="00000000" w:rsidP="00F86C6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x-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T</m:t>
              </m:r>
            </m:e>
            <m:sub/>
          </m:sSub>
          <m:r>
            <w:rPr>
              <w:rFonts w:ascii="Cambria Math" w:hAnsi="Cambria Math"/>
              <w:lang w:eastAsia="x-none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eastAsia="x-none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11</m:t>
                  </m:r>
                </m:sub>
              </m:sSub>
              <m:r>
                <w:rPr>
                  <w:rFonts w:ascii="Cambria Math" w:hAnsi="Cambria Math"/>
                  <w:lang w:eastAsia="x-none"/>
                </w:rPr>
                <m:t>+</m:t>
              </m:r>
              <w:bookmarkStart w:id="7" w:name="_Hlk125120159"/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12</m:t>
                  </m:r>
                </m:sub>
              </m:sSub>
              <w:bookmarkEnd w:id="7"/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x-none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x-none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  <w:lang w:eastAsia="x-none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lang w:eastAsia="x-none"/>
                </w:rPr>
              </m:ctrlPr>
            </m:sSubPr>
            <m:e>
              <m:r>
                <w:rPr>
                  <w:rFonts w:ascii="Cambria Math" w:hAnsi="Cambria Math"/>
                  <w:lang w:eastAsia="x-none"/>
                </w:rPr>
                <m:t>Y</m:t>
              </m:r>
            </m:e>
            <m:sub/>
          </m:sSub>
        </m:oMath>
      </m:oMathPara>
    </w:p>
    <w:p w14:paraId="29F09D38" w14:textId="77777777" w:rsidR="002428D8" w:rsidRPr="002428D8" w:rsidRDefault="002428D8" w:rsidP="002428D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</w:p>
    <w:p w14:paraId="0ECC2E29" w14:textId="3985C2BB" w:rsidR="002428D8" w:rsidRPr="0061558C" w:rsidRDefault="00BA4DF6" w:rsidP="00E920B7">
      <w:pPr>
        <w:pStyle w:val="Sraopastraipa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P</w:t>
      </w:r>
      <w:r w:rsidR="00271C1C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arametrams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P</w:t>
      </w:r>
      <w:r w:rsidRPr="0061558C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11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, P</w:t>
      </w:r>
      <w:r w:rsidRPr="0061558C">
        <w:rPr>
          <w:rFonts w:ascii="Times New Roman" w:eastAsia="Times New Roman" w:hAnsi="Times New Roman" w:cs="Times New Roman"/>
          <w:sz w:val="24"/>
          <w:szCs w:val="20"/>
          <w:vertAlign w:val="subscript"/>
          <w:lang w:eastAsia="x-none"/>
        </w:rPr>
        <w:t>12</w:t>
      </w:r>
      <w:r w:rsidR="00464465" w:rsidRPr="00615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vertinimo balai </w:t>
      </w:r>
      <w:r w:rsidR="001C7225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suteikiami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vadovaujantis </w:t>
      </w:r>
      <w:r w:rsidR="001C7225"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2 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>lentelėje „</w:t>
      </w:r>
      <w:r w:rsidR="001C7225" w:rsidRPr="0061558C">
        <w:rPr>
          <w:rFonts w:ascii="Times New Roman" w:eastAsia="Times New Roman" w:hAnsi="Times New Roman" w:cs="Times New Roman"/>
          <w:sz w:val="24"/>
          <w:szCs w:val="24"/>
          <w:lang w:eastAsia="x-none"/>
        </w:rPr>
        <w:t>Kriterijų ir parametrų aprašymai</w:t>
      </w:r>
      <w:r w:rsidRPr="0061558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“ pateikta metodika. </w:t>
      </w:r>
    </w:p>
    <w:p w14:paraId="5B4F9069" w14:textId="04E96D18" w:rsidR="002428D8" w:rsidRPr="002428D8" w:rsidRDefault="00B10CCB" w:rsidP="00B95009">
      <w:pPr>
        <w:tabs>
          <w:tab w:val="left" w:pos="1134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___________</w:t>
      </w:r>
    </w:p>
    <w:sectPr w:rsidR="002428D8" w:rsidRPr="002428D8" w:rsidSect="00FC32FD"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D59B7"/>
    <w:multiLevelType w:val="multilevel"/>
    <w:tmpl w:val="250EF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1" w15:restartNumberingAfterBreak="0">
    <w:nsid w:val="3FBD051F"/>
    <w:multiLevelType w:val="hybridMultilevel"/>
    <w:tmpl w:val="694E7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56BA0"/>
    <w:multiLevelType w:val="multilevel"/>
    <w:tmpl w:val="46F0C0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AE6C21"/>
    <w:multiLevelType w:val="hybridMultilevel"/>
    <w:tmpl w:val="B4162348"/>
    <w:lvl w:ilvl="0" w:tplc="E25C7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77995">
    <w:abstractNumId w:val="3"/>
  </w:num>
  <w:num w:numId="2" w16cid:durableId="855078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03667">
    <w:abstractNumId w:val="0"/>
  </w:num>
  <w:num w:numId="4" w16cid:durableId="54371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1"/>
    <w:rsid w:val="0000609B"/>
    <w:rsid w:val="00012A4F"/>
    <w:rsid w:val="000222A9"/>
    <w:rsid w:val="00025DE1"/>
    <w:rsid w:val="00027228"/>
    <w:rsid w:val="0003623A"/>
    <w:rsid w:val="00045145"/>
    <w:rsid w:val="00050259"/>
    <w:rsid w:val="00051FDA"/>
    <w:rsid w:val="0006027E"/>
    <w:rsid w:val="00060645"/>
    <w:rsid w:val="00061330"/>
    <w:rsid w:val="000672BE"/>
    <w:rsid w:val="000701B5"/>
    <w:rsid w:val="00074D4B"/>
    <w:rsid w:val="00094900"/>
    <w:rsid w:val="000A32AB"/>
    <w:rsid w:val="000B1F62"/>
    <w:rsid w:val="000B28E5"/>
    <w:rsid w:val="000C420B"/>
    <w:rsid w:val="000D4BDF"/>
    <w:rsid w:val="000E3D38"/>
    <w:rsid w:val="000F48FD"/>
    <w:rsid w:val="00105F99"/>
    <w:rsid w:val="00125D97"/>
    <w:rsid w:val="001266E0"/>
    <w:rsid w:val="00156F52"/>
    <w:rsid w:val="001577C9"/>
    <w:rsid w:val="001629CB"/>
    <w:rsid w:val="00164E79"/>
    <w:rsid w:val="00182C96"/>
    <w:rsid w:val="0018360D"/>
    <w:rsid w:val="001866E7"/>
    <w:rsid w:val="001A3F2A"/>
    <w:rsid w:val="001C2954"/>
    <w:rsid w:val="001C513E"/>
    <w:rsid w:val="001C7225"/>
    <w:rsid w:val="001D2D25"/>
    <w:rsid w:val="001F5CE0"/>
    <w:rsid w:val="00210BDD"/>
    <w:rsid w:val="00210C92"/>
    <w:rsid w:val="0022295B"/>
    <w:rsid w:val="0022393D"/>
    <w:rsid w:val="00234ED9"/>
    <w:rsid w:val="00242074"/>
    <w:rsid w:val="002428D8"/>
    <w:rsid w:val="00243E7C"/>
    <w:rsid w:val="002516AE"/>
    <w:rsid w:val="0025446D"/>
    <w:rsid w:val="00254C30"/>
    <w:rsid w:val="00255515"/>
    <w:rsid w:val="00271C1C"/>
    <w:rsid w:val="00276CD2"/>
    <w:rsid w:val="00280D73"/>
    <w:rsid w:val="00284DF4"/>
    <w:rsid w:val="00290DB4"/>
    <w:rsid w:val="00291930"/>
    <w:rsid w:val="002D508F"/>
    <w:rsid w:val="002E7F70"/>
    <w:rsid w:val="002F2A57"/>
    <w:rsid w:val="00313DFD"/>
    <w:rsid w:val="00314F48"/>
    <w:rsid w:val="00334031"/>
    <w:rsid w:val="00336FF6"/>
    <w:rsid w:val="0034400A"/>
    <w:rsid w:val="00344DD3"/>
    <w:rsid w:val="0035197C"/>
    <w:rsid w:val="00351A8D"/>
    <w:rsid w:val="003819BF"/>
    <w:rsid w:val="00382CEB"/>
    <w:rsid w:val="00391AEB"/>
    <w:rsid w:val="00396361"/>
    <w:rsid w:val="003978B4"/>
    <w:rsid w:val="003B370B"/>
    <w:rsid w:val="003C2444"/>
    <w:rsid w:val="003C2B0A"/>
    <w:rsid w:val="003C35F6"/>
    <w:rsid w:val="003C6FE8"/>
    <w:rsid w:val="003D6486"/>
    <w:rsid w:val="003D6A4C"/>
    <w:rsid w:val="003F40F2"/>
    <w:rsid w:val="003F7726"/>
    <w:rsid w:val="00400ADE"/>
    <w:rsid w:val="00412E26"/>
    <w:rsid w:val="0042303E"/>
    <w:rsid w:val="0042539C"/>
    <w:rsid w:val="00464465"/>
    <w:rsid w:val="00466210"/>
    <w:rsid w:val="00495082"/>
    <w:rsid w:val="004950DA"/>
    <w:rsid w:val="004A60BE"/>
    <w:rsid w:val="004B0342"/>
    <w:rsid w:val="004B12B1"/>
    <w:rsid w:val="004B1E71"/>
    <w:rsid w:val="004C1893"/>
    <w:rsid w:val="004C1C8D"/>
    <w:rsid w:val="004C4EA9"/>
    <w:rsid w:val="004C67CB"/>
    <w:rsid w:val="004D1B0F"/>
    <w:rsid w:val="004F6AC1"/>
    <w:rsid w:val="00500C0E"/>
    <w:rsid w:val="005016A0"/>
    <w:rsid w:val="00504A32"/>
    <w:rsid w:val="0053024A"/>
    <w:rsid w:val="00530C30"/>
    <w:rsid w:val="0054421A"/>
    <w:rsid w:val="00557D1A"/>
    <w:rsid w:val="00561BEA"/>
    <w:rsid w:val="005635E2"/>
    <w:rsid w:val="00566D3C"/>
    <w:rsid w:val="00577931"/>
    <w:rsid w:val="00582500"/>
    <w:rsid w:val="00586D69"/>
    <w:rsid w:val="00594612"/>
    <w:rsid w:val="0059728C"/>
    <w:rsid w:val="005A2EB7"/>
    <w:rsid w:val="005A6B2A"/>
    <w:rsid w:val="005B770D"/>
    <w:rsid w:val="005E26EE"/>
    <w:rsid w:val="005E32BF"/>
    <w:rsid w:val="005F003C"/>
    <w:rsid w:val="005F2FCD"/>
    <w:rsid w:val="00615106"/>
    <w:rsid w:val="0061558C"/>
    <w:rsid w:val="006166C7"/>
    <w:rsid w:val="00626763"/>
    <w:rsid w:val="0063524B"/>
    <w:rsid w:val="006473E1"/>
    <w:rsid w:val="00647980"/>
    <w:rsid w:val="006560E9"/>
    <w:rsid w:val="006622A4"/>
    <w:rsid w:val="00664D7C"/>
    <w:rsid w:val="0066519B"/>
    <w:rsid w:val="00673979"/>
    <w:rsid w:val="0068303C"/>
    <w:rsid w:val="00687A77"/>
    <w:rsid w:val="00692587"/>
    <w:rsid w:val="00694E77"/>
    <w:rsid w:val="006A732A"/>
    <w:rsid w:val="006C1448"/>
    <w:rsid w:val="006C2E01"/>
    <w:rsid w:val="006C3C43"/>
    <w:rsid w:val="006C5ED6"/>
    <w:rsid w:val="006E7880"/>
    <w:rsid w:val="006F142D"/>
    <w:rsid w:val="006F55C1"/>
    <w:rsid w:val="00726675"/>
    <w:rsid w:val="00731B5D"/>
    <w:rsid w:val="0073713B"/>
    <w:rsid w:val="00737B39"/>
    <w:rsid w:val="00743473"/>
    <w:rsid w:val="007451F2"/>
    <w:rsid w:val="0074527A"/>
    <w:rsid w:val="007509B8"/>
    <w:rsid w:val="00753AF6"/>
    <w:rsid w:val="0076288A"/>
    <w:rsid w:val="007655B6"/>
    <w:rsid w:val="007802B8"/>
    <w:rsid w:val="00790BBE"/>
    <w:rsid w:val="007A034D"/>
    <w:rsid w:val="007A45F1"/>
    <w:rsid w:val="007A679A"/>
    <w:rsid w:val="007B28D2"/>
    <w:rsid w:val="007B4616"/>
    <w:rsid w:val="007D4EFE"/>
    <w:rsid w:val="007D7FB7"/>
    <w:rsid w:val="007D7FD6"/>
    <w:rsid w:val="007E6256"/>
    <w:rsid w:val="00815A92"/>
    <w:rsid w:val="00817F3A"/>
    <w:rsid w:val="00824DFD"/>
    <w:rsid w:val="00842BE9"/>
    <w:rsid w:val="00846AEF"/>
    <w:rsid w:val="00856D0D"/>
    <w:rsid w:val="00884688"/>
    <w:rsid w:val="00895EB7"/>
    <w:rsid w:val="008969E5"/>
    <w:rsid w:val="00896E02"/>
    <w:rsid w:val="008A031F"/>
    <w:rsid w:val="008A0A66"/>
    <w:rsid w:val="008B7D8F"/>
    <w:rsid w:val="008C5BDD"/>
    <w:rsid w:val="008D4402"/>
    <w:rsid w:val="008D4F58"/>
    <w:rsid w:val="008E7DB4"/>
    <w:rsid w:val="008E7DE6"/>
    <w:rsid w:val="0090590C"/>
    <w:rsid w:val="00911D6F"/>
    <w:rsid w:val="009126A8"/>
    <w:rsid w:val="0091513D"/>
    <w:rsid w:val="00927D6A"/>
    <w:rsid w:val="009328FC"/>
    <w:rsid w:val="00933EFF"/>
    <w:rsid w:val="00937D8A"/>
    <w:rsid w:val="00941BB4"/>
    <w:rsid w:val="00941EC6"/>
    <w:rsid w:val="009462D7"/>
    <w:rsid w:val="009538B1"/>
    <w:rsid w:val="00955907"/>
    <w:rsid w:val="00957360"/>
    <w:rsid w:val="0096537C"/>
    <w:rsid w:val="00970645"/>
    <w:rsid w:val="00970985"/>
    <w:rsid w:val="00976FA9"/>
    <w:rsid w:val="00983600"/>
    <w:rsid w:val="00991FB5"/>
    <w:rsid w:val="00995966"/>
    <w:rsid w:val="009A0E7A"/>
    <w:rsid w:val="009B782E"/>
    <w:rsid w:val="009C22AF"/>
    <w:rsid w:val="009D38C6"/>
    <w:rsid w:val="009E1800"/>
    <w:rsid w:val="00A060DD"/>
    <w:rsid w:val="00A12DCD"/>
    <w:rsid w:val="00A23514"/>
    <w:rsid w:val="00A40A2E"/>
    <w:rsid w:val="00A474C3"/>
    <w:rsid w:val="00A5376A"/>
    <w:rsid w:val="00A66217"/>
    <w:rsid w:val="00A8323D"/>
    <w:rsid w:val="00A900FE"/>
    <w:rsid w:val="00AA1A8A"/>
    <w:rsid w:val="00AA20BB"/>
    <w:rsid w:val="00AB00A0"/>
    <w:rsid w:val="00AB35FA"/>
    <w:rsid w:val="00AD00E5"/>
    <w:rsid w:val="00AD7474"/>
    <w:rsid w:val="00B04B6C"/>
    <w:rsid w:val="00B10CCB"/>
    <w:rsid w:val="00B20D49"/>
    <w:rsid w:val="00B24F0C"/>
    <w:rsid w:val="00B321DD"/>
    <w:rsid w:val="00B71DC6"/>
    <w:rsid w:val="00B80C64"/>
    <w:rsid w:val="00B94861"/>
    <w:rsid w:val="00B95009"/>
    <w:rsid w:val="00BA4DF6"/>
    <w:rsid w:val="00BB2409"/>
    <w:rsid w:val="00BB7132"/>
    <w:rsid w:val="00BB7F8E"/>
    <w:rsid w:val="00BC78B9"/>
    <w:rsid w:val="00BD32EA"/>
    <w:rsid w:val="00BD3618"/>
    <w:rsid w:val="00BD7027"/>
    <w:rsid w:val="00BE3122"/>
    <w:rsid w:val="00BF3650"/>
    <w:rsid w:val="00C11799"/>
    <w:rsid w:val="00C2541B"/>
    <w:rsid w:val="00C25E58"/>
    <w:rsid w:val="00C41102"/>
    <w:rsid w:val="00C41BFF"/>
    <w:rsid w:val="00C63862"/>
    <w:rsid w:val="00C806E8"/>
    <w:rsid w:val="00C83870"/>
    <w:rsid w:val="00C93840"/>
    <w:rsid w:val="00C9547C"/>
    <w:rsid w:val="00CA18A7"/>
    <w:rsid w:val="00CB4B64"/>
    <w:rsid w:val="00CB777E"/>
    <w:rsid w:val="00CC1A27"/>
    <w:rsid w:val="00CC39BA"/>
    <w:rsid w:val="00CC4E37"/>
    <w:rsid w:val="00CC56D9"/>
    <w:rsid w:val="00CE203F"/>
    <w:rsid w:val="00CE2E30"/>
    <w:rsid w:val="00CE5799"/>
    <w:rsid w:val="00CF387E"/>
    <w:rsid w:val="00CF77D9"/>
    <w:rsid w:val="00D1174A"/>
    <w:rsid w:val="00D20ECE"/>
    <w:rsid w:val="00D2284E"/>
    <w:rsid w:val="00D3722C"/>
    <w:rsid w:val="00D404C4"/>
    <w:rsid w:val="00D4144F"/>
    <w:rsid w:val="00D55C2B"/>
    <w:rsid w:val="00D56DBA"/>
    <w:rsid w:val="00D8619A"/>
    <w:rsid w:val="00D94560"/>
    <w:rsid w:val="00DA0A75"/>
    <w:rsid w:val="00DA3D4B"/>
    <w:rsid w:val="00DB46B7"/>
    <w:rsid w:val="00DC5F9E"/>
    <w:rsid w:val="00DC72F8"/>
    <w:rsid w:val="00DD4A26"/>
    <w:rsid w:val="00DD5BE2"/>
    <w:rsid w:val="00E13791"/>
    <w:rsid w:val="00E14ADF"/>
    <w:rsid w:val="00E1797B"/>
    <w:rsid w:val="00E20C4F"/>
    <w:rsid w:val="00E26716"/>
    <w:rsid w:val="00E41E0B"/>
    <w:rsid w:val="00E7356B"/>
    <w:rsid w:val="00E80AA3"/>
    <w:rsid w:val="00E80B90"/>
    <w:rsid w:val="00E84D92"/>
    <w:rsid w:val="00E920B7"/>
    <w:rsid w:val="00E93F89"/>
    <w:rsid w:val="00EA0D4B"/>
    <w:rsid w:val="00EA31F7"/>
    <w:rsid w:val="00EA711E"/>
    <w:rsid w:val="00EC0B6A"/>
    <w:rsid w:val="00EC5D2A"/>
    <w:rsid w:val="00EF5CFD"/>
    <w:rsid w:val="00F02077"/>
    <w:rsid w:val="00F022FA"/>
    <w:rsid w:val="00F05DD1"/>
    <w:rsid w:val="00F13EFF"/>
    <w:rsid w:val="00F14F9E"/>
    <w:rsid w:val="00F159F1"/>
    <w:rsid w:val="00F31B73"/>
    <w:rsid w:val="00F36544"/>
    <w:rsid w:val="00F515AF"/>
    <w:rsid w:val="00F51B2D"/>
    <w:rsid w:val="00F51E8F"/>
    <w:rsid w:val="00F77D97"/>
    <w:rsid w:val="00F86C6A"/>
    <w:rsid w:val="00F86D2A"/>
    <w:rsid w:val="00F87A91"/>
    <w:rsid w:val="00F93362"/>
    <w:rsid w:val="00FA0B53"/>
    <w:rsid w:val="00FB0F50"/>
    <w:rsid w:val="00FB110F"/>
    <w:rsid w:val="00FC32FD"/>
    <w:rsid w:val="00FD01AE"/>
    <w:rsid w:val="00FD778E"/>
    <w:rsid w:val="00FE52F2"/>
    <w:rsid w:val="08019C22"/>
    <w:rsid w:val="19CEB8C0"/>
    <w:rsid w:val="2306C8CD"/>
    <w:rsid w:val="7034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A96"/>
  <w15:chartTrackingRefBased/>
  <w15:docId w15:val="{AE06DB65-6F06-4EA3-BA81-E716440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6A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9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72F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25DE1"/>
    <w:pPr>
      <w:ind w:left="720"/>
      <w:contextualSpacing/>
    </w:pPr>
  </w:style>
  <w:style w:type="character" w:customStyle="1" w:styleId="3lygDiagrama">
    <w:name w:val="3 lyg Diagrama"/>
    <w:link w:val="3lyg"/>
    <w:locked/>
    <w:rsid w:val="00025DE1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prastasis"/>
    <w:link w:val="3lygDiagrama"/>
    <w:qFormat/>
    <w:rsid w:val="00025DE1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33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336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33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33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3362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51E8F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0B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D3D79-28CE-401E-BA35-D5B886D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4163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SPPD</dc:creator>
  <cp:lastModifiedBy>Indrė Krinickienė</cp:lastModifiedBy>
  <cp:revision>13</cp:revision>
  <dcterms:created xsi:type="dcterms:W3CDTF">2025-11-10T11:29:00Z</dcterms:created>
  <dcterms:modified xsi:type="dcterms:W3CDTF">2025-11-19T09:12:00Z</dcterms:modified>
</cp:coreProperties>
</file>