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44A1BBE0" w:rsidR="00035574"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SUTARTIS</w:t>
      </w:r>
      <w:r w:rsidR="00116812" w:rsidRPr="000D525C">
        <w:rPr>
          <w:rFonts w:eastAsia="Times New Roman" w:hAnsi="Times New Roman" w:cs="Times New Roman"/>
          <w:b/>
          <w:color w:val="auto"/>
          <w:bdr w:val="none" w:sz="0" w:space="0" w:color="auto"/>
          <w:lang w:val="lt-LT"/>
        </w:rPr>
        <w:t xml:space="preserve"> </w:t>
      </w:r>
    </w:p>
    <w:p w14:paraId="10F22A51" w14:textId="77777777" w:rsidR="005E6202" w:rsidRDefault="005E620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p>
    <w:p w14:paraId="3272E935" w14:textId="332AEDD1" w:rsidR="005E6202" w:rsidRPr="000D525C" w:rsidRDefault="005E620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Pr>
          <w:rFonts w:eastAsia="Times New Roman" w:hAnsi="Times New Roman" w:cs="Times New Roman"/>
          <w:b/>
          <w:color w:val="auto"/>
          <w:bdr w:val="none" w:sz="0" w:space="0" w:color="auto"/>
          <w:lang w:val="lt-LT"/>
        </w:rPr>
        <w:t>202_-___-___ Nr. _______________</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1849C74D"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/VVSB/</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4AA58564">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77777777" w:rsidR="00A46BA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6647F">
              <w:rPr>
                <w:rFonts w:eastAsia="Times New Roman" w:hAnsi="Times New Roman" w:cs="Times New Roman"/>
                <w:i/>
                <w:color w:val="auto"/>
                <w:bdr w:val="none" w:sz="0" w:space="0" w:color="auto"/>
                <w:lang w:val="lt-LT"/>
              </w:rPr>
              <w:t>Tėvų (globėjų, rūpintojų), ugdymo įstaigų darbuotojų ir moksleivių</w:t>
            </w:r>
            <w:r>
              <w:rPr>
                <w:rFonts w:eastAsia="Times New Roman" w:hAnsi="Times New Roman" w:cs="Times New Roman"/>
                <w:i/>
                <w:color w:val="auto"/>
                <w:bdr w:val="none" w:sz="0" w:space="0" w:color="auto"/>
                <w:lang w:val="lt-LT"/>
              </w:rPr>
              <w:t xml:space="preserve"> r</w:t>
            </w:r>
            <w:r w:rsidRPr="00B6647F">
              <w:rPr>
                <w:rFonts w:eastAsia="Times New Roman" w:hAnsi="Times New Roman" w:cs="Times New Roman"/>
                <w:i/>
                <w:color w:val="auto"/>
                <w:bdr w:val="none" w:sz="0" w:space="0" w:color="auto"/>
                <w:lang w:val="lt-LT"/>
              </w:rPr>
              <w:t xml:space="preserve">yšio stiprinimo bei emocinės gerovės didinimo paslaugų </w:t>
            </w:r>
            <w:r>
              <w:rPr>
                <w:rFonts w:eastAsia="Times New Roman" w:hAnsi="Times New Roman" w:cs="Times New Roman"/>
                <w:i/>
                <w:color w:val="auto"/>
                <w:bdr w:val="none" w:sz="0" w:space="0" w:color="auto"/>
                <w:lang w:val="lt-LT"/>
              </w:rPr>
              <w:t>teikimo sutarties Nr. ______</w:t>
            </w:r>
            <w:r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728E0F67" w14:textId="77777777" w:rsidTr="4AA58564">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2CD5A250" w14:textId="77777777" w:rsidTr="4AA58564">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Tvarkytojas gauna registruotų į užsiėmimus asmenų duomenis (vardas pavardė, </w:t>
            </w:r>
            <w:proofErr w:type="spellStart"/>
            <w:r>
              <w:rPr>
                <w:rFonts w:eastAsia="Times New Roman" w:hAnsi="Times New Roman" w:cs="Times New Roman"/>
                <w:i/>
                <w:color w:val="auto"/>
                <w:bdr w:val="none" w:sz="0" w:space="0" w:color="auto"/>
                <w:lang w:val="lt-LT"/>
              </w:rPr>
              <w:t>el.p</w:t>
            </w:r>
            <w:proofErr w:type="spellEnd"/>
            <w:r>
              <w:rPr>
                <w:rFonts w:eastAsia="Times New Roman" w:hAnsi="Times New Roman" w:cs="Times New Roman"/>
                <w:i/>
                <w:color w:val="auto"/>
                <w:bdr w:val="none" w:sz="0" w:space="0" w:color="auto"/>
                <w:lang w:val="lt-LT"/>
              </w:rPr>
              <w:t>. adresas, ________________________)</w:t>
            </w:r>
          </w:p>
          <w:p w14:paraId="292AE686" w14:textId="21B223BF" w:rsidR="00B6647F" w:rsidRDefault="00B6647F" w:rsidP="4AA5856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iCs/>
                <w:color w:val="auto"/>
                <w:bdr w:val="none" w:sz="0" w:space="0" w:color="auto"/>
                <w:lang w:val="lt-LT"/>
              </w:rPr>
            </w:pPr>
            <w:r w:rsidRPr="4AA58564">
              <w:rPr>
                <w:rFonts w:eastAsia="Times New Roman" w:hAnsi="Times New Roman" w:cs="Times New Roman"/>
                <w:i/>
                <w:iCs/>
                <w:color w:val="auto"/>
                <w:bdr w:val="none" w:sz="0" w:space="0" w:color="auto"/>
                <w:lang w:val="lt-LT"/>
              </w:rPr>
              <w:t>Tvarkytojas, vykdydamas Paslaugų teikimo sutart</w:t>
            </w:r>
            <w:r w:rsidR="00D15FE2">
              <w:rPr>
                <w:rFonts w:eastAsia="Times New Roman" w:hAnsi="Times New Roman" w:cs="Times New Roman"/>
                <w:i/>
                <w:iCs/>
                <w:color w:val="auto"/>
                <w:bdr w:val="none" w:sz="0" w:space="0" w:color="auto"/>
                <w:lang w:val="lt-LT"/>
              </w:rPr>
              <w:t>į</w:t>
            </w:r>
            <w:r w:rsidRPr="4AA58564">
              <w:rPr>
                <w:rFonts w:eastAsia="Times New Roman" w:hAnsi="Times New Roman" w:cs="Times New Roman"/>
                <w:i/>
                <w:iCs/>
                <w:color w:val="auto"/>
                <w:bdr w:val="none" w:sz="0" w:space="0" w:color="auto"/>
                <w:lang w:val="lt-LT"/>
              </w:rPr>
              <w:t xml:space="preserve">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615A83" w14:paraId="22AD4AEB" w14:textId="77777777" w:rsidTr="4AA58564">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lastRenderedPageBreak/>
              <w:t xml:space="preserve">Informacija apie priklausymą </w:t>
            </w:r>
            <w:r w:rsidRPr="00B6647F">
              <w:rPr>
                <w:rFonts w:eastAsia="Times New Roman" w:hAnsi="Times New Roman" w:cs="Times New Roman"/>
                <w:i/>
                <w:color w:val="auto"/>
                <w:bdr w:val="none" w:sz="0" w:space="0" w:color="auto"/>
                <w:lang w:val="lt-LT"/>
              </w:rPr>
              <w:t>socialinėms, kultūrinėms, tautinėms ir religinėms 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615A83" w14:paraId="38C62168" w14:textId="77777777" w:rsidTr="4AA58564">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615A8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615A8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B8E3" w14:textId="77777777" w:rsidR="000D4DFF" w:rsidRDefault="000D4DFF">
      <w:r>
        <w:separator/>
      </w:r>
    </w:p>
  </w:endnote>
  <w:endnote w:type="continuationSeparator" w:id="0">
    <w:p w14:paraId="0ACB10E6" w14:textId="77777777" w:rsidR="000D4DFF" w:rsidRDefault="000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BD93" w14:textId="77777777" w:rsidR="000D4DFF" w:rsidRDefault="000D4DFF">
      <w:r>
        <w:separator/>
      </w:r>
    </w:p>
  </w:footnote>
  <w:footnote w:type="continuationSeparator" w:id="0">
    <w:p w14:paraId="0B3EA829" w14:textId="77777777" w:rsidR="000D4DFF" w:rsidRDefault="000D4DFF">
      <w:r>
        <w:continuationSeparator/>
      </w:r>
    </w:p>
  </w:footnote>
  <w:footnote w:type="continuationNotice" w:id="1">
    <w:p w14:paraId="2D37576C" w14:textId="77777777" w:rsidR="000D4DFF" w:rsidRDefault="000D4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4DFF"/>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A0BC2"/>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E6202"/>
    <w:rsid w:val="005F295D"/>
    <w:rsid w:val="005F5157"/>
    <w:rsid w:val="005F76CB"/>
    <w:rsid w:val="0060380A"/>
    <w:rsid w:val="006120AB"/>
    <w:rsid w:val="00614720"/>
    <w:rsid w:val="00615449"/>
    <w:rsid w:val="00615A83"/>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09C6"/>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AE"/>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6EA2"/>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15DDB"/>
    <w:rsid w:val="00D15DE2"/>
    <w:rsid w:val="00D15F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 w:val="4AA58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6202"/>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C695-5CAB-45D5-B739-0EB825B7A0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0B2295-19A9-404C-8C83-B1706EAF0E62}">
  <ds:schemaRefs>
    <ds:schemaRef ds:uri="http://schemas.microsoft.com/sharepoint/v3/contenttype/forms"/>
  </ds:schemaRefs>
</ds:datastoreItem>
</file>

<file path=customXml/itemProps3.xml><?xml version="1.0" encoding="utf-8"?>
<ds:datastoreItem xmlns:ds="http://schemas.openxmlformats.org/officeDocument/2006/customXml" ds:itemID="{A55A9795-4FD8-48F3-9658-D54FC332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8427</Words>
  <Characters>4804</Characters>
  <Application>Microsoft Office Word</Application>
  <DocSecurity>4</DocSecurity>
  <Lines>40</Lines>
  <Paragraphs>26</Paragraphs>
  <ScaleCrop>false</ScaleCrop>
  <Company>AB bankas FINASTA</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Janina Škoda</cp:lastModifiedBy>
  <cp:revision>2</cp:revision>
  <cp:lastPrinted>2018-03-13T09:46:00Z</cp:lastPrinted>
  <dcterms:created xsi:type="dcterms:W3CDTF">2025-11-20T12:56:00Z</dcterms:created>
  <dcterms:modified xsi:type="dcterms:W3CDTF">2025-11-20T12:56:00Z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0x0101006DF789B1DC3B7746A389DE888DA2CC3E</vt:lpwstr>
  </property>
</Properties>
</file>