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BC8CA" w14:textId="3F0AFE91" w:rsidR="00ED3449" w:rsidRDefault="00F8252E" w:rsidP="00F8252E">
      <w:pPr>
        <w:spacing w:after="0"/>
        <w:jc w:val="right"/>
        <w:rPr>
          <w:b/>
          <w:szCs w:val="24"/>
        </w:rPr>
      </w:pPr>
      <w:r>
        <w:rPr>
          <w:b/>
          <w:szCs w:val="24"/>
        </w:rPr>
        <w:t>1 priedas</w:t>
      </w:r>
    </w:p>
    <w:p w14:paraId="015BC248" w14:textId="77777777" w:rsidR="00ED3449" w:rsidRDefault="00ED3449" w:rsidP="00100995">
      <w:pPr>
        <w:spacing w:after="0"/>
        <w:jc w:val="center"/>
        <w:rPr>
          <w:b/>
          <w:szCs w:val="24"/>
        </w:rPr>
      </w:pPr>
    </w:p>
    <w:p w14:paraId="2F28FFCD" w14:textId="606B497E" w:rsidR="00245FA9" w:rsidRPr="00A247C6" w:rsidRDefault="00245FA9" w:rsidP="00100995">
      <w:pPr>
        <w:spacing w:after="0"/>
        <w:jc w:val="center"/>
        <w:rPr>
          <w:b/>
          <w:szCs w:val="24"/>
        </w:rPr>
      </w:pPr>
      <w:r w:rsidRPr="00A247C6">
        <w:rPr>
          <w:b/>
          <w:szCs w:val="24"/>
        </w:rPr>
        <w:t>TINKLO KOMUTATORIŲ TECHNINĖ SPECIFIKACIJA</w:t>
      </w:r>
    </w:p>
    <w:p w14:paraId="397EC472" w14:textId="77777777" w:rsidR="00D52902" w:rsidRPr="00A247C6" w:rsidRDefault="00D52902" w:rsidP="00D52902">
      <w:pPr>
        <w:spacing w:after="0"/>
        <w:rPr>
          <w:b/>
          <w:szCs w:val="24"/>
        </w:rPr>
      </w:pPr>
    </w:p>
    <w:p w14:paraId="7B1043E5" w14:textId="062F21B7" w:rsidR="003E5FEB" w:rsidRPr="00A247C6" w:rsidRDefault="00245FA9" w:rsidP="00100995">
      <w:pPr>
        <w:spacing w:after="0"/>
        <w:jc w:val="both"/>
        <w:rPr>
          <w:szCs w:val="24"/>
        </w:rPr>
      </w:pPr>
      <w:r w:rsidRPr="00A247C6">
        <w:rPr>
          <w:szCs w:val="24"/>
        </w:rPr>
        <w:t xml:space="preserve">Viešųjų pirkimų tarnyba (toliau – Tarnyba) numato įsigyti </w:t>
      </w:r>
      <w:r w:rsidR="00573DE0" w:rsidRPr="00A247C6">
        <w:rPr>
          <w:szCs w:val="24"/>
        </w:rPr>
        <w:t>3</w:t>
      </w:r>
      <w:r w:rsidRPr="00A247C6">
        <w:rPr>
          <w:szCs w:val="24"/>
        </w:rPr>
        <w:t xml:space="preserve"> (</w:t>
      </w:r>
      <w:r w:rsidR="00573DE0" w:rsidRPr="00A247C6">
        <w:rPr>
          <w:szCs w:val="24"/>
        </w:rPr>
        <w:t>tris</w:t>
      </w:r>
      <w:r w:rsidRPr="00A247C6">
        <w:rPr>
          <w:szCs w:val="24"/>
        </w:rPr>
        <w:t>) tinklo komutatorius, kurie turi atitikti žemiau nurodytas sąlygas</w:t>
      </w:r>
      <w:r w:rsidR="00F436AD" w:rsidRPr="00A247C6">
        <w:rPr>
          <w:szCs w:val="24"/>
        </w:rPr>
        <w:t>.</w:t>
      </w:r>
    </w:p>
    <w:p w14:paraId="3ABE8639" w14:textId="77777777" w:rsidR="00245FA9" w:rsidRPr="00A247C6" w:rsidRDefault="00245FA9" w:rsidP="00100995">
      <w:pPr>
        <w:spacing w:after="0"/>
        <w:jc w:val="both"/>
        <w:rPr>
          <w:b/>
          <w:bCs/>
        </w:rPr>
      </w:pPr>
    </w:p>
    <w:tbl>
      <w:tblPr>
        <w:tblW w:w="516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4395"/>
        <w:gridCol w:w="3402"/>
      </w:tblGrid>
      <w:tr w:rsidR="00E924E7" w:rsidRPr="007E6E13" w14:paraId="4F5D3566" w14:textId="536FE957" w:rsidTr="007E6E13">
        <w:trPr>
          <w:trHeight w:val="57"/>
        </w:trPr>
        <w:tc>
          <w:tcPr>
            <w:tcW w:w="709" w:type="dxa"/>
            <w:tcBorders>
              <w:top w:val="single" w:sz="4" w:space="0" w:color="auto"/>
              <w:left w:val="single" w:sz="4" w:space="0" w:color="auto"/>
              <w:bottom w:val="single" w:sz="4" w:space="0" w:color="auto"/>
              <w:right w:val="single" w:sz="4" w:space="0" w:color="auto"/>
            </w:tcBorders>
            <w:noWrap/>
          </w:tcPr>
          <w:p w14:paraId="3A099BCE" w14:textId="77777777" w:rsidR="00E924E7" w:rsidRPr="007E6E13" w:rsidRDefault="00E924E7" w:rsidP="00100995">
            <w:pPr>
              <w:tabs>
                <w:tab w:val="left" w:pos="228"/>
              </w:tabs>
              <w:suppressAutoHyphens/>
              <w:spacing w:after="0"/>
              <w:rPr>
                <w:b/>
                <w:sz w:val="22"/>
                <w:lang w:eastAsia="ar-SA"/>
              </w:rPr>
            </w:pPr>
            <w:r w:rsidRPr="007E6E13">
              <w:rPr>
                <w:b/>
                <w:sz w:val="22"/>
                <w:lang w:eastAsia="ar-SA"/>
              </w:rPr>
              <w:t>Eil. Nr.</w:t>
            </w:r>
          </w:p>
        </w:tc>
        <w:tc>
          <w:tcPr>
            <w:tcW w:w="1701" w:type="dxa"/>
            <w:tcBorders>
              <w:top w:val="single" w:sz="4" w:space="0" w:color="auto"/>
              <w:left w:val="single" w:sz="4" w:space="0" w:color="auto"/>
              <w:bottom w:val="single" w:sz="4" w:space="0" w:color="auto"/>
              <w:right w:val="single" w:sz="4" w:space="0" w:color="auto"/>
            </w:tcBorders>
          </w:tcPr>
          <w:p w14:paraId="1DAB122B" w14:textId="77777777" w:rsidR="00E924E7" w:rsidRPr="007E6E13" w:rsidRDefault="00E924E7" w:rsidP="00100995">
            <w:pPr>
              <w:suppressAutoHyphens/>
              <w:spacing w:after="0"/>
              <w:rPr>
                <w:b/>
                <w:sz w:val="22"/>
                <w:lang w:eastAsia="lt-LT"/>
              </w:rPr>
            </w:pPr>
            <w:r w:rsidRPr="007E6E13">
              <w:rPr>
                <w:b/>
                <w:sz w:val="22"/>
                <w:lang w:eastAsia="lt-LT"/>
              </w:rPr>
              <w:t>Parametras</w:t>
            </w:r>
          </w:p>
        </w:tc>
        <w:tc>
          <w:tcPr>
            <w:tcW w:w="4395" w:type="dxa"/>
            <w:tcBorders>
              <w:top w:val="single" w:sz="4" w:space="0" w:color="auto"/>
              <w:left w:val="single" w:sz="4" w:space="0" w:color="auto"/>
              <w:bottom w:val="single" w:sz="4" w:space="0" w:color="auto"/>
              <w:right w:val="single" w:sz="4" w:space="0" w:color="auto"/>
            </w:tcBorders>
          </w:tcPr>
          <w:p w14:paraId="46E4B76A" w14:textId="77777777" w:rsidR="00E924E7" w:rsidRPr="007E6E13" w:rsidRDefault="00E924E7" w:rsidP="00100995">
            <w:pPr>
              <w:tabs>
                <w:tab w:val="left" w:pos="390"/>
                <w:tab w:val="left" w:pos="1035"/>
                <w:tab w:val="left" w:pos="1500"/>
              </w:tabs>
              <w:spacing w:after="0"/>
              <w:rPr>
                <w:b/>
                <w:sz w:val="22"/>
                <w:lang w:eastAsia="lt-LT"/>
              </w:rPr>
            </w:pPr>
            <w:r w:rsidRPr="007E6E13">
              <w:rPr>
                <w:b/>
                <w:sz w:val="22"/>
                <w:lang w:eastAsia="lt-LT"/>
              </w:rPr>
              <w:t>Reikalaujami parametrai</w:t>
            </w:r>
          </w:p>
        </w:tc>
        <w:tc>
          <w:tcPr>
            <w:tcW w:w="3402" w:type="dxa"/>
          </w:tcPr>
          <w:p w14:paraId="4FBC471A" w14:textId="77777777" w:rsidR="00C81FAA" w:rsidRPr="007E6E13" w:rsidRDefault="005F39AA" w:rsidP="00CD3CC3">
            <w:pPr>
              <w:tabs>
                <w:tab w:val="left" w:pos="390"/>
                <w:tab w:val="left" w:pos="1035"/>
                <w:tab w:val="left" w:pos="1500"/>
                <w:tab w:val="left" w:pos="1876"/>
              </w:tabs>
              <w:spacing w:after="0"/>
              <w:rPr>
                <w:b/>
                <w:sz w:val="22"/>
              </w:rPr>
            </w:pPr>
            <w:r w:rsidRPr="007E6E13">
              <w:rPr>
                <w:b/>
                <w:sz w:val="22"/>
              </w:rPr>
              <w:t>Siūlom</w:t>
            </w:r>
            <w:r w:rsidR="00C81FAA" w:rsidRPr="007E6E13">
              <w:rPr>
                <w:b/>
                <w:sz w:val="22"/>
              </w:rPr>
              <w:t xml:space="preserve">i parametrai </w:t>
            </w:r>
          </w:p>
          <w:p w14:paraId="07578E71" w14:textId="49940CCF" w:rsidR="00E924E7" w:rsidRPr="007E6E13" w:rsidRDefault="00C81FAA" w:rsidP="00CD3CC3">
            <w:pPr>
              <w:tabs>
                <w:tab w:val="left" w:pos="390"/>
                <w:tab w:val="left" w:pos="1035"/>
                <w:tab w:val="left" w:pos="1500"/>
                <w:tab w:val="left" w:pos="1876"/>
              </w:tabs>
              <w:spacing w:after="0"/>
              <w:rPr>
                <w:bCs/>
                <w:i/>
                <w:iCs/>
                <w:sz w:val="22"/>
                <w:lang w:eastAsia="lt-LT"/>
              </w:rPr>
            </w:pPr>
            <w:r w:rsidRPr="007E6E13">
              <w:rPr>
                <w:bCs/>
                <w:i/>
                <w:iCs/>
                <w:sz w:val="22"/>
              </w:rPr>
              <w:t>(pildo tiekėjas)</w:t>
            </w:r>
          </w:p>
        </w:tc>
      </w:tr>
      <w:tr w:rsidR="00FF1A25" w:rsidRPr="007E6E13" w14:paraId="6A13077F" w14:textId="77777777" w:rsidTr="00452CE1">
        <w:trPr>
          <w:trHeight w:val="57"/>
        </w:trPr>
        <w:tc>
          <w:tcPr>
            <w:tcW w:w="6805" w:type="dxa"/>
            <w:gridSpan w:val="3"/>
            <w:tcBorders>
              <w:top w:val="single" w:sz="4" w:space="0" w:color="auto"/>
              <w:left w:val="single" w:sz="4" w:space="0" w:color="auto"/>
              <w:bottom w:val="single" w:sz="4" w:space="0" w:color="auto"/>
              <w:right w:val="single" w:sz="4" w:space="0" w:color="auto"/>
            </w:tcBorders>
            <w:noWrap/>
          </w:tcPr>
          <w:p w14:paraId="45D442EC" w14:textId="2CCE8525" w:rsidR="00FF1A25" w:rsidRPr="00FF1A25" w:rsidRDefault="00FF1A25" w:rsidP="00100995">
            <w:pPr>
              <w:tabs>
                <w:tab w:val="left" w:pos="390"/>
                <w:tab w:val="left" w:pos="1035"/>
                <w:tab w:val="left" w:pos="1500"/>
              </w:tabs>
              <w:spacing w:after="0"/>
              <w:rPr>
                <w:sz w:val="22"/>
                <w:lang w:eastAsia="lt-LT"/>
              </w:rPr>
            </w:pPr>
            <w:r w:rsidRPr="00FF1A25">
              <w:rPr>
                <w:szCs w:val="24"/>
              </w:rPr>
              <w:t>Siūlomos prekės pavadinimas, gamintojas, modelis</w:t>
            </w:r>
          </w:p>
        </w:tc>
        <w:tc>
          <w:tcPr>
            <w:tcW w:w="3402" w:type="dxa"/>
          </w:tcPr>
          <w:p w14:paraId="7B1830BF" w14:textId="77777777" w:rsidR="00FF1A25" w:rsidRPr="007E6E13" w:rsidRDefault="00FF1A25" w:rsidP="00CD3CC3">
            <w:pPr>
              <w:tabs>
                <w:tab w:val="left" w:pos="390"/>
                <w:tab w:val="left" w:pos="1035"/>
                <w:tab w:val="left" w:pos="1500"/>
                <w:tab w:val="left" w:pos="1876"/>
              </w:tabs>
              <w:spacing w:after="0"/>
              <w:rPr>
                <w:b/>
                <w:sz w:val="22"/>
              </w:rPr>
            </w:pPr>
          </w:p>
        </w:tc>
      </w:tr>
      <w:tr w:rsidR="00E924E7" w:rsidRPr="007E6E13" w14:paraId="00D795EA" w14:textId="334B060D" w:rsidTr="007E6E13">
        <w:trPr>
          <w:trHeight w:val="57"/>
        </w:trPr>
        <w:tc>
          <w:tcPr>
            <w:tcW w:w="709" w:type="dxa"/>
            <w:tcBorders>
              <w:top w:val="single" w:sz="4" w:space="0" w:color="auto"/>
              <w:left w:val="single" w:sz="4" w:space="0" w:color="auto"/>
              <w:bottom w:val="single" w:sz="4" w:space="0" w:color="auto"/>
              <w:right w:val="single" w:sz="4" w:space="0" w:color="auto"/>
            </w:tcBorders>
            <w:noWrap/>
            <w:tcMar>
              <w:left w:w="28" w:type="dxa"/>
              <w:right w:w="57" w:type="dxa"/>
            </w:tcMar>
          </w:tcPr>
          <w:p w14:paraId="2868C2D5" w14:textId="77777777" w:rsidR="00E924E7" w:rsidRPr="007E6E13" w:rsidRDefault="00E924E7" w:rsidP="00100995">
            <w:pPr>
              <w:pStyle w:val="Sraopastraipa"/>
              <w:numPr>
                <w:ilvl w:val="0"/>
                <w:numId w:val="5"/>
              </w:numPr>
              <w:tabs>
                <w:tab w:val="left" w:pos="228"/>
              </w:tabs>
              <w:suppressAutoHyphens/>
              <w:spacing w:after="0" w:line="240" w:lineRule="auto"/>
              <w:rPr>
                <w:lang w:val="lt-LT" w:eastAsia="ar-SA"/>
              </w:rPr>
            </w:pPr>
          </w:p>
        </w:tc>
        <w:tc>
          <w:tcPr>
            <w:tcW w:w="1701" w:type="dxa"/>
            <w:tcBorders>
              <w:top w:val="single" w:sz="4" w:space="0" w:color="auto"/>
              <w:left w:val="single" w:sz="4" w:space="0" w:color="auto"/>
              <w:bottom w:val="single" w:sz="4" w:space="0" w:color="auto"/>
              <w:right w:val="single" w:sz="4" w:space="0" w:color="auto"/>
            </w:tcBorders>
          </w:tcPr>
          <w:p w14:paraId="56073BEC" w14:textId="77777777" w:rsidR="00E924E7" w:rsidRPr="007E6E13" w:rsidRDefault="00E924E7" w:rsidP="00100995">
            <w:pPr>
              <w:suppressAutoHyphens/>
              <w:spacing w:after="0"/>
              <w:rPr>
                <w:sz w:val="22"/>
                <w:lang w:eastAsia="ar-SA"/>
              </w:rPr>
            </w:pPr>
            <w:r w:rsidRPr="007E6E13">
              <w:rPr>
                <w:sz w:val="22"/>
                <w:lang w:eastAsia="ar-SA"/>
              </w:rPr>
              <w:t>Įrenginio dydis ir prievadai</w:t>
            </w:r>
          </w:p>
        </w:tc>
        <w:tc>
          <w:tcPr>
            <w:tcW w:w="4395" w:type="dxa"/>
            <w:tcBorders>
              <w:top w:val="single" w:sz="4" w:space="0" w:color="auto"/>
              <w:left w:val="single" w:sz="4" w:space="0" w:color="auto"/>
              <w:bottom w:val="single" w:sz="4" w:space="0" w:color="auto"/>
              <w:right w:val="single" w:sz="4" w:space="0" w:color="auto"/>
            </w:tcBorders>
          </w:tcPr>
          <w:p w14:paraId="6E929EB4" w14:textId="6800DC40" w:rsidR="00E924E7" w:rsidRPr="007E6E13" w:rsidRDefault="00E924E7" w:rsidP="00100995">
            <w:pPr>
              <w:tabs>
                <w:tab w:val="left" w:pos="390"/>
                <w:tab w:val="left" w:pos="1035"/>
                <w:tab w:val="left" w:pos="1500"/>
              </w:tabs>
              <w:suppressAutoHyphens/>
              <w:spacing w:after="0"/>
              <w:rPr>
                <w:sz w:val="22"/>
                <w:lang w:eastAsia="ar-SA"/>
              </w:rPr>
            </w:pPr>
            <w:r w:rsidRPr="007E6E13">
              <w:rPr>
                <w:sz w:val="22"/>
                <w:lang w:eastAsia="lt-LT"/>
              </w:rPr>
              <w:t>Montuojamas į 19" komutacinę spintą.</w:t>
            </w:r>
          </w:p>
          <w:p w14:paraId="09DF54A8" w14:textId="77777777" w:rsidR="00E924E7" w:rsidRPr="007E6E13" w:rsidRDefault="00E924E7" w:rsidP="00100995">
            <w:pPr>
              <w:tabs>
                <w:tab w:val="left" w:pos="390"/>
                <w:tab w:val="left" w:pos="1035"/>
                <w:tab w:val="left" w:pos="1500"/>
              </w:tabs>
              <w:spacing w:after="0"/>
              <w:rPr>
                <w:sz w:val="22"/>
                <w:lang w:eastAsia="lt-LT"/>
              </w:rPr>
            </w:pPr>
            <w:r w:rsidRPr="007E6E13">
              <w:rPr>
                <w:sz w:val="22"/>
                <w:lang w:eastAsia="lt-LT"/>
              </w:rPr>
              <w:t>Ne didesnis kaip 1U aukštis.</w:t>
            </w:r>
          </w:p>
          <w:p w14:paraId="14AFFA91" w14:textId="14C83B34" w:rsidR="00E924E7" w:rsidRPr="007E6E13" w:rsidRDefault="00E924E7" w:rsidP="00100995">
            <w:pPr>
              <w:tabs>
                <w:tab w:val="left" w:pos="390"/>
                <w:tab w:val="left" w:pos="1035"/>
                <w:tab w:val="left" w:pos="1500"/>
              </w:tabs>
              <w:spacing w:after="0"/>
              <w:rPr>
                <w:sz w:val="22"/>
                <w:lang w:eastAsia="lt-LT"/>
              </w:rPr>
            </w:pPr>
            <w:r w:rsidRPr="007E6E13">
              <w:rPr>
                <w:sz w:val="22"/>
                <w:lang w:eastAsia="lt-LT"/>
              </w:rPr>
              <w:t>Elektros maitinimas 220V AC.</w:t>
            </w:r>
          </w:p>
          <w:p w14:paraId="57BF6ED9" w14:textId="77777777" w:rsidR="00E924E7" w:rsidRPr="007E6E13" w:rsidRDefault="00E924E7" w:rsidP="00100995">
            <w:pPr>
              <w:spacing w:after="0"/>
              <w:rPr>
                <w:sz w:val="22"/>
                <w:lang w:eastAsia="lt-LT"/>
              </w:rPr>
            </w:pPr>
            <w:r w:rsidRPr="007E6E13">
              <w:rPr>
                <w:sz w:val="22"/>
                <w:lang w:eastAsia="lt-LT"/>
              </w:rPr>
              <w:t>Ne mažiau kaip 48 100/1000 Base-T prievadai,</w:t>
            </w:r>
          </w:p>
          <w:p w14:paraId="660C4F0D" w14:textId="77777777" w:rsidR="00E924E7" w:rsidRPr="007E6E13" w:rsidRDefault="00E924E7" w:rsidP="00100995">
            <w:pPr>
              <w:tabs>
                <w:tab w:val="left" w:pos="390"/>
                <w:tab w:val="left" w:pos="1035"/>
                <w:tab w:val="left" w:pos="1500"/>
              </w:tabs>
              <w:spacing w:after="0"/>
              <w:rPr>
                <w:sz w:val="22"/>
                <w:lang w:eastAsia="ar-SA"/>
              </w:rPr>
            </w:pPr>
            <w:r w:rsidRPr="007E6E13">
              <w:rPr>
                <w:sz w:val="22"/>
                <w:lang w:eastAsia="lt-LT"/>
              </w:rPr>
              <w:t xml:space="preserve">ne mažiau </w:t>
            </w:r>
            <w:r w:rsidRPr="007E6E13">
              <w:rPr>
                <w:sz w:val="22"/>
                <w:lang w:eastAsia="ar-SA"/>
              </w:rPr>
              <w:t>kaip 4x1Gbps SFP.</w:t>
            </w:r>
          </w:p>
          <w:p w14:paraId="014185DC" w14:textId="77777777" w:rsidR="00E924E7" w:rsidRPr="007E6E13" w:rsidRDefault="00E924E7" w:rsidP="00100995">
            <w:pPr>
              <w:tabs>
                <w:tab w:val="left" w:pos="390"/>
                <w:tab w:val="left" w:pos="1035"/>
                <w:tab w:val="left" w:pos="1500"/>
              </w:tabs>
              <w:spacing w:after="0"/>
              <w:rPr>
                <w:sz w:val="22"/>
                <w:lang w:eastAsia="ar-SA"/>
              </w:rPr>
            </w:pPr>
            <w:r w:rsidRPr="007E6E13">
              <w:rPr>
                <w:sz w:val="22"/>
                <w:lang w:eastAsia="ar-SA"/>
              </w:rPr>
              <w:t>Turi būti USB prievadai:</w:t>
            </w:r>
          </w:p>
          <w:p w14:paraId="49B8FE1F" w14:textId="77777777" w:rsidR="00E924E7" w:rsidRPr="007E6E13" w:rsidRDefault="00E924E7" w:rsidP="00DC78C6">
            <w:pPr>
              <w:pStyle w:val="Sraopastraipa"/>
              <w:numPr>
                <w:ilvl w:val="0"/>
                <w:numId w:val="6"/>
              </w:numPr>
              <w:tabs>
                <w:tab w:val="left" w:pos="390"/>
                <w:tab w:val="left" w:pos="1035"/>
                <w:tab w:val="left" w:pos="1500"/>
              </w:tabs>
              <w:spacing w:after="0"/>
              <w:rPr>
                <w:rFonts w:ascii="Times New Roman" w:hAnsi="Times New Roman"/>
                <w:lang w:val="lt-LT" w:eastAsia="ar-SA"/>
              </w:rPr>
            </w:pPr>
            <w:r w:rsidRPr="007E6E13">
              <w:rPr>
                <w:rFonts w:ascii="Times New Roman" w:hAnsi="Times New Roman"/>
                <w:lang w:val="lt-LT" w:eastAsia="ar-SA"/>
              </w:rPr>
              <w:t>išorinės talpyklos prijungimui (</w:t>
            </w:r>
            <w:r w:rsidRPr="007E6E13">
              <w:rPr>
                <w:rFonts w:ascii="Times New Roman" w:hAnsi="Times New Roman"/>
                <w:i/>
                <w:iCs/>
                <w:lang w:val="lt-LT" w:eastAsia="ar-SA"/>
              </w:rPr>
              <w:t>Type-A</w:t>
            </w:r>
            <w:r w:rsidRPr="007E6E13">
              <w:rPr>
                <w:rFonts w:ascii="Times New Roman" w:hAnsi="Times New Roman"/>
                <w:lang w:val="lt-LT" w:eastAsia="ar-SA"/>
              </w:rPr>
              <w:t>);</w:t>
            </w:r>
          </w:p>
          <w:p w14:paraId="58F9C3C1" w14:textId="3EB7F217" w:rsidR="00E924E7" w:rsidRPr="007E6E13" w:rsidRDefault="00E924E7" w:rsidP="00100995">
            <w:pPr>
              <w:tabs>
                <w:tab w:val="left" w:pos="390"/>
                <w:tab w:val="left" w:pos="1035"/>
                <w:tab w:val="left" w:pos="1500"/>
              </w:tabs>
              <w:suppressAutoHyphens/>
              <w:spacing w:after="0"/>
              <w:rPr>
                <w:sz w:val="22"/>
                <w:lang w:eastAsia="lt-LT"/>
              </w:rPr>
            </w:pPr>
            <w:r w:rsidRPr="007E6E13">
              <w:rPr>
                <w:sz w:val="22"/>
                <w:lang w:eastAsia="lt-LT"/>
              </w:rPr>
              <w:t>Ne mažiau kaip 512MB DRAM (</w:t>
            </w:r>
            <w:proofErr w:type="spellStart"/>
            <w:r w:rsidRPr="007E6E13">
              <w:rPr>
                <w:i/>
                <w:iCs/>
                <w:sz w:val="22"/>
                <w:lang w:eastAsia="lt-LT"/>
              </w:rPr>
              <w:t>Dynamic</w:t>
            </w:r>
            <w:proofErr w:type="spellEnd"/>
            <w:r w:rsidRPr="007E6E13">
              <w:rPr>
                <w:i/>
                <w:iCs/>
                <w:sz w:val="22"/>
                <w:lang w:eastAsia="lt-LT"/>
              </w:rPr>
              <w:t xml:space="preserve"> </w:t>
            </w:r>
            <w:proofErr w:type="spellStart"/>
            <w:r w:rsidRPr="007E6E13">
              <w:rPr>
                <w:i/>
                <w:iCs/>
                <w:sz w:val="22"/>
                <w:lang w:eastAsia="lt-LT"/>
              </w:rPr>
              <w:t>random-access</w:t>
            </w:r>
            <w:proofErr w:type="spellEnd"/>
            <w:r w:rsidRPr="007E6E13">
              <w:rPr>
                <w:i/>
                <w:iCs/>
                <w:sz w:val="22"/>
                <w:lang w:eastAsia="lt-LT"/>
              </w:rPr>
              <w:t xml:space="preserve"> </w:t>
            </w:r>
            <w:proofErr w:type="spellStart"/>
            <w:r w:rsidRPr="007E6E13">
              <w:rPr>
                <w:i/>
                <w:iCs/>
                <w:sz w:val="22"/>
                <w:lang w:eastAsia="lt-LT"/>
              </w:rPr>
              <w:t>memory</w:t>
            </w:r>
            <w:proofErr w:type="spellEnd"/>
            <w:r w:rsidRPr="007E6E13">
              <w:rPr>
                <w:sz w:val="22"/>
                <w:lang w:eastAsia="lt-LT"/>
              </w:rPr>
              <w:t>).</w:t>
            </w:r>
          </w:p>
        </w:tc>
        <w:tc>
          <w:tcPr>
            <w:tcW w:w="3402" w:type="dxa"/>
          </w:tcPr>
          <w:p w14:paraId="6033DF49" w14:textId="77777777" w:rsidR="00E924E7" w:rsidRPr="007E6E13" w:rsidRDefault="00E924E7" w:rsidP="00CD3CC3">
            <w:pPr>
              <w:tabs>
                <w:tab w:val="left" w:pos="390"/>
                <w:tab w:val="left" w:pos="1035"/>
                <w:tab w:val="left" w:pos="1500"/>
                <w:tab w:val="left" w:pos="1876"/>
              </w:tabs>
              <w:suppressAutoHyphens/>
              <w:spacing w:after="0"/>
              <w:rPr>
                <w:sz w:val="22"/>
                <w:lang w:eastAsia="lt-LT"/>
              </w:rPr>
            </w:pPr>
          </w:p>
        </w:tc>
      </w:tr>
      <w:tr w:rsidR="00E924E7" w:rsidRPr="007E6E13" w14:paraId="1BAA556E" w14:textId="671F969B" w:rsidTr="007E6E13">
        <w:trPr>
          <w:trHeight w:val="57"/>
        </w:trPr>
        <w:tc>
          <w:tcPr>
            <w:tcW w:w="709" w:type="dxa"/>
            <w:tcBorders>
              <w:top w:val="single" w:sz="4" w:space="0" w:color="auto"/>
              <w:left w:val="single" w:sz="4" w:space="0" w:color="auto"/>
              <w:bottom w:val="single" w:sz="4" w:space="0" w:color="auto"/>
              <w:right w:val="single" w:sz="4" w:space="0" w:color="auto"/>
            </w:tcBorders>
            <w:noWrap/>
            <w:tcMar>
              <w:left w:w="28" w:type="dxa"/>
              <w:right w:w="57" w:type="dxa"/>
            </w:tcMar>
          </w:tcPr>
          <w:p w14:paraId="699EDA78" w14:textId="77777777" w:rsidR="00E924E7" w:rsidRPr="007E6E13" w:rsidRDefault="00E924E7" w:rsidP="00100995">
            <w:pPr>
              <w:pStyle w:val="Sraopastraipa"/>
              <w:numPr>
                <w:ilvl w:val="0"/>
                <w:numId w:val="5"/>
              </w:numPr>
              <w:tabs>
                <w:tab w:val="left" w:pos="228"/>
              </w:tabs>
              <w:suppressAutoHyphens/>
              <w:spacing w:after="0" w:line="240" w:lineRule="auto"/>
              <w:rPr>
                <w:lang w:val="lt-LT" w:eastAsia="ar-SA"/>
              </w:rPr>
            </w:pPr>
          </w:p>
        </w:tc>
        <w:tc>
          <w:tcPr>
            <w:tcW w:w="1701" w:type="dxa"/>
            <w:tcBorders>
              <w:top w:val="single" w:sz="4" w:space="0" w:color="auto"/>
              <w:left w:val="single" w:sz="4" w:space="0" w:color="auto"/>
              <w:bottom w:val="single" w:sz="4" w:space="0" w:color="auto"/>
              <w:right w:val="single" w:sz="4" w:space="0" w:color="auto"/>
            </w:tcBorders>
            <w:hideMark/>
          </w:tcPr>
          <w:p w14:paraId="0E300ABC" w14:textId="77777777" w:rsidR="00E924E7" w:rsidRPr="007E6E13" w:rsidRDefault="00E924E7" w:rsidP="00100995">
            <w:pPr>
              <w:suppressAutoHyphens/>
              <w:spacing w:after="0"/>
              <w:rPr>
                <w:b/>
                <w:sz w:val="22"/>
                <w:lang w:eastAsia="lt-LT"/>
              </w:rPr>
            </w:pPr>
            <w:r w:rsidRPr="007E6E13">
              <w:rPr>
                <w:sz w:val="22"/>
                <w:lang w:eastAsia="ar-SA"/>
              </w:rPr>
              <w:t>Licencijos</w:t>
            </w:r>
          </w:p>
        </w:tc>
        <w:tc>
          <w:tcPr>
            <w:tcW w:w="4395" w:type="dxa"/>
            <w:tcBorders>
              <w:top w:val="single" w:sz="4" w:space="0" w:color="auto"/>
              <w:left w:val="single" w:sz="4" w:space="0" w:color="auto"/>
              <w:bottom w:val="single" w:sz="4" w:space="0" w:color="auto"/>
              <w:right w:val="single" w:sz="4" w:space="0" w:color="auto"/>
            </w:tcBorders>
            <w:hideMark/>
          </w:tcPr>
          <w:p w14:paraId="641884C5" w14:textId="77777777" w:rsidR="00E924E7" w:rsidRPr="007E6E13" w:rsidRDefault="00E924E7" w:rsidP="00100995">
            <w:pPr>
              <w:tabs>
                <w:tab w:val="left" w:pos="390"/>
                <w:tab w:val="left" w:pos="1035"/>
                <w:tab w:val="left" w:pos="1500"/>
              </w:tabs>
              <w:suppressAutoHyphens/>
              <w:spacing w:after="0"/>
              <w:rPr>
                <w:b/>
                <w:sz w:val="22"/>
                <w:lang w:eastAsia="lt-LT"/>
              </w:rPr>
            </w:pPr>
            <w:r w:rsidRPr="007E6E13">
              <w:rPr>
                <w:sz w:val="22"/>
                <w:lang w:eastAsia="ar-SA"/>
              </w:rPr>
              <w:t>Į įrenginio kainą taip pat turi būti įtrauktos visos licencijos, reikalingos nurodytoms funkcijoms palaikyti (jei nenurodyta kitaip).</w:t>
            </w:r>
          </w:p>
        </w:tc>
        <w:tc>
          <w:tcPr>
            <w:tcW w:w="3402" w:type="dxa"/>
          </w:tcPr>
          <w:p w14:paraId="41E193F2" w14:textId="77777777" w:rsidR="00E924E7" w:rsidRPr="007E6E13" w:rsidRDefault="00E924E7" w:rsidP="00CD3CC3">
            <w:pPr>
              <w:tabs>
                <w:tab w:val="left" w:pos="390"/>
                <w:tab w:val="left" w:pos="1035"/>
                <w:tab w:val="left" w:pos="1500"/>
                <w:tab w:val="left" w:pos="1876"/>
              </w:tabs>
              <w:suppressAutoHyphens/>
              <w:spacing w:after="0"/>
              <w:rPr>
                <w:sz w:val="22"/>
                <w:lang w:eastAsia="ar-SA"/>
              </w:rPr>
            </w:pPr>
          </w:p>
        </w:tc>
      </w:tr>
      <w:tr w:rsidR="00E924E7" w:rsidRPr="007E6E13" w14:paraId="4AC49AC2" w14:textId="663C4B35" w:rsidTr="007E6E13">
        <w:trPr>
          <w:trHeight w:val="57"/>
        </w:trPr>
        <w:tc>
          <w:tcPr>
            <w:tcW w:w="709" w:type="dxa"/>
            <w:tcBorders>
              <w:top w:val="single" w:sz="4" w:space="0" w:color="auto"/>
              <w:left w:val="single" w:sz="4" w:space="0" w:color="auto"/>
              <w:bottom w:val="single" w:sz="4" w:space="0" w:color="auto"/>
              <w:right w:val="single" w:sz="4" w:space="0" w:color="auto"/>
            </w:tcBorders>
            <w:noWrap/>
            <w:tcMar>
              <w:left w:w="28" w:type="dxa"/>
              <w:right w:w="57" w:type="dxa"/>
            </w:tcMar>
          </w:tcPr>
          <w:p w14:paraId="709C2AF5" w14:textId="77777777" w:rsidR="00E924E7" w:rsidRPr="007E6E13" w:rsidRDefault="00E924E7" w:rsidP="00100995">
            <w:pPr>
              <w:pStyle w:val="Sraopastraipa"/>
              <w:numPr>
                <w:ilvl w:val="0"/>
                <w:numId w:val="5"/>
              </w:numPr>
              <w:tabs>
                <w:tab w:val="left" w:pos="228"/>
              </w:tabs>
              <w:suppressAutoHyphens/>
              <w:spacing w:after="0" w:line="240" w:lineRule="auto"/>
              <w:rPr>
                <w:lang w:val="lt-LT" w:eastAsia="lt-LT"/>
              </w:rPr>
            </w:pPr>
          </w:p>
        </w:tc>
        <w:tc>
          <w:tcPr>
            <w:tcW w:w="1701" w:type="dxa"/>
            <w:tcBorders>
              <w:top w:val="single" w:sz="4" w:space="0" w:color="auto"/>
              <w:left w:val="single" w:sz="4" w:space="0" w:color="auto"/>
              <w:bottom w:val="single" w:sz="4" w:space="0" w:color="auto"/>
              <w:right w:val="single" w:sz="4" w:space="0" w:color="auto"/>
            </w:tcBorders>
          </w:tcPr>
          <w:p w14:paraId="3228FC94" w14:textId="77777777" w:rsidR="00E924E7" w:rsidRPr="007E6E13" w:rsidRDefault="00E924E7" w:rsidP="00100995">
            <w:pPr>
              <w:suppressAutoHyphens/>
              <w:spacing w:after="0"/>
              <w:rPr>
                <w:sz w:val="22"/>
                <w:lang w:eastAsia="ar-SA"/>
              </w:rPr>
            </w:pPr>
            <w:r w:rsidRPr="007E6E13">
              <w:rPr>
                <w:sz w:val="22"/>
                <w:lang w:eastAsia="ar-SA"/>
              </w:rPr>
              <w:t>Komutatoriaus našumas</w:t>
            </w:r>
          </w:p>
        </w:tc>
        <w:tc>
          <w:tcPr>
            <w:tcW w:w="4395" w:type="dxa"/>
            <w:tcBorders>
              <w:top w:val="single" w:sz="4" w:space="0" w:color="auto"/>
              <w:left w:val="single" w:sz="4" w:space="0" w:color="auto"/>
              <w:bottom w:val="single" w:sz="4" w:space="0" w:color="auto"/>
              <w:right w:val="single" w:sz="4" w:space="0" w:color="auto"/>
            </w:tcBorders>
          </w:tcPr>
          <w:p w14:paraId="696E921B" w14:textId="77777777" w:rsidR="00E924E7" w:rsidRPr="007E6E13" w:rsidRDefault="00E924E7" w:rsidP="00100995">
            <w:pPr>
              <w:tabs>
                <w:tab w:val="left" w:pos="390"/>
                <w:tab w:val="left" w:pos="1035"/>
                <w:tab w:val="left" w:pos="1500"/>
              </w:tabs>
              <w:suppressAutoHyphens/>
              <w:spacing w:after="0"/>
              <w:rPr>
                <w:sz w:val="22"/>
                <w:lang w:eastAsia="ar-SA"/>
              </w:rPr>
            </w:pPr>
            <w:r w:rsidRPr="007E6E13">
              <w:rPr>
                <w:sz w:val="22"/>
                <w:lang w:eastAsia="ar-SA"/>
              </w:rPr>
              <w:t xml:space="preserve">Komutatoriaus pralaidumas ne mažiau nei 102Gbps, našumas ne mažesnis nei 75Mpps. </w:t>
            </w:r>
          </w:p>
          <w:p w14:paraId="51E7F591" w14:textId="77777777" w:rsidR="00E924E7" w:rsidRPr="007E6E13" w:rsidRDefault="00E924E7" w:rsidP="00100995">
            <w:pPr>
              <w:tabs>
                <w:tab w:val="left" w:pos="390"/>
                <w:tab w:val="left" w:pos="1035"/>
                <w:tab w:val="left" w:pos="1500"/>
              </w:tabs>
              <w:suppressAutoHyphens/>
              <w:spacing w:after="0"/>
              <w:rPr>
                <w:sz w:val="22"/>
                <w:lang w:eastAsia="ar-SA"/>
              </w:rPr>
            </w:pPr>
            <w:r w:rsidRPr="007E6E13">
              <w:rPr>
                <w:sz w:val="22"/>
                <w:lang w:eastAsia="ar-SA"/>
              </w:rPr>
              <w:t>MAC adresų skaičius ne mažiau 16000.</w:t>
            </w:r>
          </w:p>
        </w:tc>
        <w:tc>
          <w:tcPr>
            <w:tcW w:w="3402" w:type="dxa"/>
          </w:tcPr>
          <w:p w14:paraId="321E1A94" w14:textId="77777777" w:rsidR="00E924E7" w:rsidRPr="007E6E13" w:rsidRDefault="00E924E7" w:rsidP="00CD3CC3">
            <w:pPr>
              <w:tabs>
                <w:tab w:val="left" w:pos="390"/>
                <w:tab w:val="left" w:pos="1035"/>
                <w:tab w:val="left" w:pos="1500"/>
                <w:tab w:val="left" w:pos="1876"/>
              </w:tabs>
              <w:suppressAutoHyphens/>
              <w:spacing w:after="0"/>
              <w:rPr>
                <w:sz w:val="22"/>
                <w:lang w:eastAsia="ar-SA"/>
              </w:rPr>
            </w:pPr>
          </w:p>
        </w:tc>
      </w:tr>
      <w:tr w:rsidR="00E924E7" w:rsidRPr="007E6E13" w14:paraId="41BFAD7C" w14:textId="10031AAE" w:rsidTr="007E6E13">
        <w:trPr>
          <w:trHeight w:val="57"/>
        </w:trPr>
        <w:tc>
          <w:tcPr>
            <w:tcW w:w="709" w:type="dxa"/>
            <w:tcBorders>
              <w:top w:val="single" w:sz="4" w:space="0" w:color="auto"/>
              <w:left w:val="single" w:sz="4" w:space="0" w:color="auto"/>
              <w:bottom w:val="single" w:sz="4" w:space="0" w:color="auto"/>
              <w:right w:val="single" w:sz="4" w:space="0" w:color="auto"/>
            </w:tcBorders>
            <w:noWrap/>
            <w:tcMar>
              <w:left w:w="28" w:type="dxa"/>
              <w:right w:w="57" w:type="dxa"/>
            </w:tcMar>
          </w:tcPr>
          <w:p w14:paraId="7371F192" w14:textId="77777777" w:rsidR="00E924E7" w:rsidRPr="007E6E13" w:rsidRDefault="00E924E7" w:rsidP="00100995">
            <w:pPr>
              <w:pStyle w:val="Sraopastraipa"/>
              <w:numPr>
                <w:ilvl w:val="0"/>
                <w:numId w:val="5"/>
              </w:numPr>
              <w:tabs>
                <w:tab w:val="left" w:pos="228"/>
              </w:tabs>
              <w:suppressAutoHyphens/>
              <w:spacing w:after="0" w:line="240" w:lineRule="auto"/>
              <w:rPr>
                <w:lang w:val="lt-LT" w:eastAsia="ar-SA"/>
              </w:rPr>
            </w:pPr>
          </w:p>
        </w:tc>
        <w:tc>
          <w:tcPr>
            <w:tcW w:w="1701" w:type="dxa"/>
            <w:tcBorders>
              <w:top w:val="single" w:sz="4" w:space="0" w:color="auto"/>
              <w:left w:val="single" w:sz="4" w:space="0" w:color="auto"/>
              <w:bottom w:val="single" w:sz="4" w:space="0" w:color="auto"/>
              <w:right w:val="single" w:sz="4" w:space="0" w:color="auto"/>
            </w:tcBorders>
            <w:hideMark/>
          </w:tcPr>
          <w:p w14:paraId="754D59DC" w14:textId="77777777" w:rsidR="00E924E7" w:rsidRPr="007E6E13" w:rsidRDefault="00E924E7" w:rsidP="00100995">
            <w:pPr>
              <w:suppressAutoHyphens/>
              <w:spacing w:after="0"/>
              <w:rPr>
                <w:b/>
                <w:sz w:val="22"/>
                <w:lang w:eastAsia="lt-LT"/>
              </w:rPr>
            </w:pPr>
            <w:r w:rsidRPr="007E6E13">
              <w:rPr>
                <w:sz w:val="22"/>
                <w:lang w:eastAsia="ar-SA"/>
              </w:rPr>
              <w:t xml:space="preserve">Komutavimo </w:t>
            </w:r>
            <w:r w:rsidRPr="007E6E13">
              <w:rPr>
                <w:bCs/>
                <w:sz w:val="22"/>
                <w:lang w:eastAsia="ar-SA"/>
              </w:rPr>
              <w:t>funkcionalumas</w:t>
            </w:r>
          </w:p>
        </w:tc>
        <w:tc>
          <w:tcPr>
            <w:tcW w:w="4395" w:type="dxa"/>
            <w:tcBorders>
              <w:top w:val="single" w:sz="4" w:space="0" w:color="auto"/>
              <w:left w:val="single" w:sz="4" w:space="0" w:color="auto"/>
              <w:bottom w:val="single" w:sz="4" w:space="0" w:color="auto"/>
              <w:right w:val="single" w:sz="4" w:space="0" w:color="auto"/>
            </w:tcBorders>
            <w:hideMark/>
          </w:tcPr>
          <w:p w14:paraId="337D3573" w14:textId="6B53DD0F" w:rsidR="00E924E7" w:rsidRPr="007E6E13" w:rsidRDefault="00E924E7" w:rsidP="00100995">
            <w:pPr>
              <w:suppressAutoHyphens/>
              <w:spacing w:after="0"/>
              <w:rPr>
                <w:sz w:val="22"/>
                <w:lang w:eastAsia="ar-SA"/>
              </w:rPr>
            </w:pPr>
            <w:r w:rsidRPr="007E6E13">
              <w:rPr>
                <w:sz w:val="22"/>
                <w:lang w:eastAsia="ar-SA"/>
              </w:rPr>
              <w:t xml:space="preserve">IEEE 802.1w </w:t>
            </w:r>
            <w:proofErr w:type="spellStart"/>
            <w:r w:rsidRPr="007E6E13">
              <w:rPr>
                <w:sz w:val="22"/>
                <w:lang w:eastAsia="ar-SA"/>
              </w:rPr>
              <w:t>Rapid</w:t>
            </w:r>
            <w:proofErr w:type="spellEnd"/>
            <w:r w:rsidRPr="007E6E13">
              <w:rPr>
                <w:sz w:val="22"/>
                <w:lang w:eastAsia="ar-SA"/>
              </w:rPr>
              <w:t xml:space="preserve"> </w:t>
            </w:r>
            <w:proofErr w:type="spellStart"/>
            <w:r w:rsidRPr="007E6E13">
              <w:rPr>
                <w:sz w:val="22"/>
                <w:lang w:eastAsia="ar-SA"/>
              </w:rPr>
              <w:t>Spanning</w:t>
            </w:r>
            <w:proofErr w:type="spellEnd"/>
            <w:r w:rsidRPr="007E6E13">
              <w:rPr>
                <w:sz w:val="22"/>
                <w:lang w:eastAsia="ar-SA"/>
              </w:rPr>
              <w:t xml:space="preserve"> </w:t>
            </w:r>
            <w:proofErr w:type="spellStart"/>
            <w:r w:rsidRPr="007E6E13">
              <w:rPr>
                <w:sz w:val="22"/>
                <w:lang w:eastAsia="ar-SA"/>
              </w:rPr>
              <w:t>Tree</w:t>
            </w:r>
            <w:proofErr w:type="spellEnd"/>
            <w:r w:rsidRPr="007E6E13">
              <w:rPr>
                <w:sz w:val="22"/>
                <w:lang w:eastAsia="ar-SA"/>
              </w:rPr>
              <w:t xml:space="preserve"> protokolas.</w:t>
            </w:r>
          </w:p>
          <w:p w14:paraId="65783F3D" w14:textId="77777777" w:rsidR="00E924E7" w:rsidRPr="007E6E13" w:rsidRDefault="00E924E7" w:rsidP="00100995">
            <w:pPr>
              <w:suppressAutoHyphens/>
              <w:spacing w:after="0"/>
              <w:rPr>
                <w:sz w:val="22"/>
                <w:lang w:eastAsia="ar-SA"/>
              </w:rPr>
            </w:pPr>
            <w:r w:rsidRPr="007E6E13">
              <w:rPr>
                <w:sz w:val="22"/>
                <w:lang w:eastAsia="ar-SA"/>
              </w:rPr>
              <w:t xml:space="preserve">IEEE 802.1s </w:t>
            </w:r>
            <w:proofErr w:type="spellStart"/>
            <w:r w:rsidRPr="007E6E13">
              <w:rPr>
                <w:sz w:val="22"/>
                <w:lang w:eastAsia="ar-SA"/>
              </w:rPr>
              <w:t>Multiple</w:t>
            </w:r>
            <w:proofErr w:type="spellEnd"/>
            <w:r w:rsidRPr="007E6E13">
              <w:rPr>
                <w:sz w:val="22"/>
                <w:lang w:eastAsia="ar-SA"/>
              </w:rPr>
              <w:t xml:space="preserve"> </w:t>
            </w:r>
            <w:proofErr w:type="spellStart"/>
            <w:r w:rsidRPr="007E6E13">
              <w:rPr>
                <w:sz w:val="22"/>
                <w:lang w:eastAsia="ar-SA"/>
              </w:rPr>
              <w:t>Spanning</w:t>
            </w:r>
            <w:proofErr w:type="spellEnd"/>
            <w:r w:rsidRPr="007E6E13">
              <w:rPr>
                <w:sz w:val="22"/>
                <w:lang w:eastAsia="ar-SA"/>
              </w:rPr>
              <w:t xml:space="preserve"> </w:t>
            </w:r>
            <w:proofErr w:type="spellStart"/>
            <w:r w:rsidRPr="007E6E13">
              <w:rPr>
                <w:sz w:val="22"/>
                <w:lang w:eastAsia="ar-SA"/>
              </w:rPr>
              <w:t>Tree</w:t>
            </w:r>
            <w:proofErr w:type="spellEnd"/>
            <w:r w:rsidRPr="007E6E13">
              <w:rPr>
                <w:sz w:val="22"/>
                <w:lang w:eastAsia="ar-SA"/>
              </w:rPr>
              <w:t xml:space="preserve"> protokolas.</w:t>
            </w:r>
          </w:p>
          <w:p w14:paraId="511EE56B" w14:textId="77777777" w:rsidR="00E924E7" w:rsidRPr="007E6E13" w:rsidRDefault="00E924E7" w:rsidP="00100995">
            <w:pPr>
              <w:suppressAutoHyphens/>
              <w:spacing w:after="0"/>
              <w:rPr>
                <w:sz w:val="22"/>
                <w:lang w:eastAsia="ar-SA"/>
              </w:rPr>
            </w:pPr>
            <w:r w:rsidRPr="007E6E13">
              <w:rPr>
                <w:sz w:val="22"/>
                <w:lang w:eastAsia="ar-SA"/>
              </w:rPr>
              <w:t>IEEE 802.1Q VLAN.</w:t>
            </w:r>
          </w:p>
          <w:p w14:paraId="2954270B" w14:textId="226617BF" w:rsidR="00E924E7" w:rsidRPr="007E6E13" w:rsidRDefault="00E924E7" w:rsidP="00100995">
            <w:pPr>
              <w:suppressAutoHyphens/>
              <w:spacing w:after="0"/>
              <w:rPr>
                <w:sz w:val="22"/>
                <w:lang w:eastAsia="ar-SA"/>
              </w:rPr>
            </w:pPr>
            <w:r w:rsidRPr="007E6E13">
              <w:rPr>
                <w:sz w:val="22"/>
                <w:lang w:eastAsia="ar-SA"/>
              </w:rPr>
              <w:t>Ne mažiau kaip 4096 VLAN (</w:t>
            </w:r>
            <w:proofErr w:type="spellStart"/>
            <w:r w:rsidRPr="007E6E13">
              <w:rPr>
                <w:i/>
                <w:iCs/>
                <w:sz w:val="22"/>
                <w:lang w:eastAsia="ar-SA"/>
              </w:rPr>
              <w:t>Virtual</w:t>
            </w:r>
            <w:proofErr w:type="spellEnd"/>
            <w:r w:rsidRPr="007E6E13">
              <w:rPr>
                <w:i/>
                <w:iCs/>
                <w:sz w:val="22"/>
                <w:lang w:eastAsia="ar-SA"/>
              </w:rPr>
              <w:t xml:space="preserve"> </w:t>
            </w:r>
            <w:proofErr w:type="spellStart"/>
            <w:r w:rsidRPr="007E6E13">
              <w:rPr>
                <w:i/>
                <w:iCs/>
                <w:sz w:val="22"/>
                <w:lang w:eastAsia="ar-SA"/>
              </w:rPr>
              <w:t>Local</w:t>
            </w:r>
            <w:proofErr w:type="spellEnd"/>
            <w:r w:rsidRPr="007E6E13">
              <w:rPr>
                <w:i/>
                <w:iCs/>
                <w:sz w:val="22"/>
                <w:lang w:eastAsia="ar-SA"/>
              </w:rPr>
              <w:t xml:space="preserve"> </w:t>
            </w:r>
            <w:proofErr w:type="spellStart"/>
            <w:r w:rsidRPr="007E6E13">
              <w:rPr>
                <w:i/>
                <w:iCs/>
                <w:sz w:val="22"/>
                <w:lang w:eastAsia="ar-SA"/>
              </w:rPr>
              <w:t>Area</w:t>
            </w:r>
            <w:proofErr w:type="spellEnd"/>
            <w:r w:rsidRPr="007E6E13">
              <w:rPr>
                <w:i/>
                <w:iCs/>
                <w:sz w:val="22"/>
                <w:lang w:eastAsia="ar-SA"/>
              </w:rPr>
              <w:t xml:space="preserve"> Network</w:t>
            </w:r>
            <w:r w:rsidRPr="007E6E13">
              <w:rPr>
                <w:sz w:val="22"/>
                <w:lang w:eastAsia="ar-SA"/>
              </w:rPr>
              <w:t>).</w:t>
            </w:r>
          </w:p>
          <w:p w14:paraId="1C6A9D6D" w14:textId="77777777" w:rsidR="00E924E7" w:rsidRPr="007E6E13" w:rsidRDefault="00E924E7" w:rsidP="00100995">
            <w:pPr>
              <w:suppressAutoHyphens/>
              <w:spacing w:after="0"/>
              <w:rPr>
                <w:sz w:val="22"/>
                <w:lang w:eastAsia="ar-SA"/>
              </w:rPr>
            </w:pPr>
            <w:r w:rsidRPr="007E6E13">
              <w:rPr>
                <w:sz w:val="22"/>
                <w:lang w:eastAsia="ar-SA"/>
              </w:rPr>
              <w:t xml:space="preserve">IEEE 802.3ad prievadų loginis sujungimas, ne mažiau 8 grupių, su ne mažiau kaip 16 prievadų vienoje grupėje. </w:t>
            </w:r>
          </w:p>
          <w:p w14:paraId="41261C90" w14:textId="77777777" w:rsidR="00E924E7" w:rsidRPr="007E6E13" w:rsidRDefault="00E924E7" w:rsidP="00100995">
            <w:pPr>
              <w:suppressAutoHyphens/>
              <w:spacing w:after="0"/>
              <w:rPr>
                <w:sz w:val="22"/>
                <w:lang w:eastAsia="ar-SA"/>
              </w:rPr>
            </w:pPr>
            <w:r w:rsidRPr="007E6E13">
              <w:rPr>
                <w:sz w:val="22"/>
                <w:lang w:eastAsia="ar-SA"/>
              </w:rPr>
              <w:t xml:space="preserve">Ne mažiau kaip 9000 baitų maksimalus komutuojamų </w:t>
            </w:r>
            <w:proofErr w:type="spellStart"/>
            <w:r w:rsidRPr="007E6E13">
              <w:rPr>
                <w:sz w:val="22"/>
                <w:lang w:eastAsia="ar-SA"/>
              </w:rPr>
              <w:t>Ethernet</w:t>
            </w:r>
            <w:proofErr w:type="spellEnd"/>
            <w:r w:rsidRPr="007E6E13">
              <w:rPr>
                <w:sz w:val="22"/>
                <w:lang w:eastAsia="ar-SA"/>
              </w:rPr>
              <w:t xml:space="preserve"> kadrų ilgis.</w:t>
            </w:r>
          </w:p>
          <w:p w14:paraId="6E22A277" w14:textId="77777777" w:rsidR="00E924E7" w:rsidRPr="007E6E13" w:rsidRDefault="00E924E7" w:rsidP="00100995">
            <w:pPr>
              <w:suppressAutoHyphens/>
              <w:spacing w:after="0"/>
              <w:rPr>
                <w:sz w:val="22"/>
                <w:lang w:eastAsia="ar-SA"/>
              </w:rPr>
            </w:pPr>
            <w:r w:rsidRPr="007E6E13">
              <w:rPr>
                <w:sz w:val="22"/>
                <w:lang w:eastAsia="ar-SA"/>
              </w:rPr>
              <w:t>IPv4/IPv6 palaikymas</w:t>
            </w:r>
          </w:p>
        </w:tc>
        <w:tc>
          <w:tcPr>
            <w:tcW w:w="3402" w:type="dxa"/>
          </w:tcPr>
          <w:p w14:paraId="62234978" w14:textId="77777777" w:rsidR="00E924E7" w:rsidRPr="007E6E13" w:rsidRDefault="00E924E7" w:rsidP="00CD3CC3">
            <w:pPr>
              <w:tabs>
                <w:tab w:val="left" w:pos="1876"/>
              </w:tabs>
              <w:suppressAutoHyphens/>
              <w:spacing w:after="0"/>
              <w:rPr>
                <w:sz w:val="22"/>
                <w:lang w:eastAsia="ar-SA"/>
              </w:rPr>
            </w:pPr>
          </w:p>
        </w:tc>
      </w:tr>
      <w:tr w:rsidR="00E924E7" w:rsidRPr="007E6E13" w14:paraId="1956EE92" w14:textId="20FD0489" w:rsidTr="007E6E13">
        <w:trPr>
          <w:trHeight w:val="57"/>
        </w:trPr>
        <w:tc>
          <w:tcPr>
            <w:tcW w:w="709" w:type="dxa"/>
            <w:tcBorders>
              <w:top w:val="single" w:sz="4" w:space="0" w:color="auto"/>
              <w:left w:val="single" w:sz="4" w:space="0" w:color="auto"/>
              <w:bottom w:val="single" w:sz="4" w:space="0" w:color="auto"/>
              <w:right w:val="single" w:sz="4" w:space="0" w:color="auto"/>
            </w:tcBorders>
            <w:noWrap/>
            <w:tcMar>
              <w:left w:w="28" w:type="dxa"/>
              <w:right w:w="57" w:type="dxa"/>
            </w:tcMar>
          </w:tcPr>
          <w:p w14:paraId="716F4A6E" w14:textId="77777777" w:rsidR="00E924E7" w:rsidRPr="007E6E13" w:rsidRDefault="00E924E7" w:rsidP="00100995">
            <w:pPr>
              <w:pStyle w:val="Sraopastraipa"/>
              <w:numPr>
                <w:ilvl w:val="0"/>
                <w:numId w:val="5"/>
              </w:numPr>
              <w:tabs>
                <w:tab w:val="left" w:pos="228"/>
              </w:tabs>
              <w:suppressAutoHyphens/>
              <w:spacing w:after="0" w:line="240" w:lineRule="auto"/>
              <w:rPr>
                <w:lang w:val="lt-LT" w:eastAsia="ar-SA"/>
              </w:rPr>
            </w:pPr>
          </w:p>
        </w:tc>
        <w:tc>
          <w:tcPr>
            <w:tcW w:w="1701" w:type="dxa"/>
            <w:tcBorders>
              <w:top w:val="single" w:sz="4" w:space="0" w:color="auto"/>
              <w:left w:val="single" w:sz="4" w:space="0" w:color="auto"/>
              <w:bottom w:val="single" w:sz="4" w:space="0" w:color="auto"/>
              <w:right w:val="single" w:sz="4" w:space="0" w:color="auto"/>
            </w:tcBorders>
            <w:hideMark/>
          </w:tcPr>
          <w:p w14:paraId="55875CBD" w14:textId="77777777" w:rsidR="00E924E7" w:rsidRPr="007E6E13" w:rsidRDefault="00E924E7" w:rsidP="00100995">
            <w:pPr>
              <w:suppressAutoHyphens/>
              <w:spacing w:after="0"/>
              <w:rPr>
                <w:b/>
                <w:sz w:val="22"/>
                <w:lang w:eastAsia="lt-LT"/>
              </w:rPr>
            </w:pPr>
            <w:proofErr w:type="spellStart"/>
            <w:r w:rsidRPr="007E6E13">
              <w:rPr>
                <w:sz w:val="22"/>
                <w:lang w:eastAsia="ar-SA"/>
              </w:rPr>
              <w:t>Multicast</w:t>
            </w:r>
            <w:proofErr w:type="spellEnd"/>
            <w:r w:rsidRPr="007E6E13">
              <w:rPr>
                <w:sz w:val="22"/>
                <w:lang w:eastAsia="ar-SA"/>
              </w:rPr>
              <w:t xml:space="preserve"> funkcionalumas</w:t>
            </w:r>
          </w:p>
        </w:tc>
        <w:tc>
          <w:tcPr>
            <w:tcW w:w="4395" w:type="dxa"/>
            <w:tcBorders>
              <w:top w:val="single" w:sz="4" w:space="0" w:color="auto"/>
              <w:left w:val="single" w:sz="4" w:space="0" w:color="auto"/>
              <w:bottom w:val="single" w:sz="4" w:space="0" w:color="auto"/>
              <w:right w:val="single" w:sz="4" w:space="0" w:color="auto"/>
            </w:tcBorders>
            <w:hideMark/>
          </w:tcPr>
          <w:p w14:paraId="44FDA563" w14:textId="77777777" w:rsidR="00E924E7" w:rsidRPr="007E6E13" w:rsidRDefault="00E924E7" w:rsidP="00100995">
            <w:pPr>
              <w:tabs>
                <w:tab w:val="left" w:pos="390"/>
                <w:tab w:val="left" w:pos="1035"/>
                <w:tab w:val="left" w:pos="1500"/>
              </w:tabs>
              <w:suppressAutoHyphens/>
              <w:spacing w:after="0"/>
              <w:rPr>
                <w:sz w:val="22"/>
                <w:lang w:eastAsia="ar-SA"/>
              </w:rPr>
            </w:pPr>
            <w:r w:rsidRPr="007E6E13">
              <w:rPr>
                <w:sz w:val="22"/>
                <w:lang w:eastAsia="ar-SA"/>
              </w:rPr>
              <w:t xml:space="preserve">Interneto grupės valdymo protokolas (IGMP v1, v2, v3 </w:t>
            </w:r>
            <w:proofErr w:type="spellStart"/>
            <w:r w:rsidRPr="007E6E13">
              <w:rPr>
                <w:sz w:val="22"/>
                <w:lang w:eastAsia="ar-SA"/>
              </w:rPr>
              <w:t>snooping</w:t>
            </w:r>
            <w:proofErr w:type="spellEnd"/>
            <w:r w:rsidRPr="007E6E13">
              <w:rPr>
                <w:sz w:val="22"/>
                <w:lang w:eastAsia="ar-SA"/>
              </w:rPr>
              <w:t>);</w:t>
            </w:r>
          </w:p>
          <w:p w14:paraId="51BEA1ED" w14:textId="77777777" w:rsidR="00E924E7" w:rsidRPr="007E6E13" w:rsidRDefault="00E924E7" w:rsidP="00100995">
            <w:pPr>
              <w:tabs>
                <w:tab w:val="left" w:pos="390"/>
                <w:tab w:val="left" w:pos="1035"/>
                <w:tab w:val="left" w:pos="1500"/>
              </w:tabs>
              <w:suppressAutoHyphens/>
              <w:spacing w:after="0"/>
              <w:rPr>
                <w:sz w:val="22"/>
                <w:lang w:eastAsia="ar-SA"/>
              </w:rPr>
            </w:pPr>
            <w:proofErr w:type="spellStart"/>
            <w:r w:rsidRPr="007E6E13">
              <w:rPr>
                <w:sz w:val="22"/>
                <w:lang w:eastAsia="ar-SA"/>
              </w:rPr>
              <w:t>Multicast‘o</w:t>
            </w:r>
            <w:proofErr w:type="spellEnd"/>
            <w:r w:rsidRPr="007E6E13">
              <w:rPr>
                <w:sz w:val="22"/>
                <w:lang w:eastAsia="ar-SA"/>
              </w:rPr>
              <w:t xml:space="preserve"> kliento aptikimas (MLD v1, v2)</w:t>
            </w:r>
          </w:p>
        </w:tc>
        <w:tc>
          <w:tcPr>
            <w:tcW w:w="3402" w:type="dxa"/>
          </w:tcPr>
          <w:p w14:paraId="25A3B8EA" w14:textId="77777777" w:rsidR="00E924E7" w:rsidRPr="007E6E13" w:rsidRDefault="00E924E7" w:rsidP="00CD3CC3">
            <w:pPr>
              <w:tabs>
                <w:tab w:val="left" w:pos="390"/>
                <w:tab w:val="left" w:pos="1035"/>
                <w:tab w:val="left" w:pos="1500"/>
                <w:tab w:val="left" w:pos="1876"/>
              </w:tabs>
              <w:suppressAutoHyphens/>
              <w:spacing w:after="0"/>
              <w:rPr>
                <w:sz w:val="22"/>
                <w:lang w:eastAsia="ar-SA"/>
              </w:rPr>
            </w:pPr>
          </w:p>
        </w:tc>
      </w:tr>
      <w:tr w:rsidR="00E924E7" w:rsidRPr="007E6E13" w14:paraId="74631449" w14:textId="01AA49FE" w:rsidTr="007E6E13">
        <w:trPr>
          <w:trHeight w:val="57"/>
        </w:trPr>
        <w:tc>
          <w:tcPr>
            <w:tcW w:w="709" w:type="dxa"/>
            <w:tcBorders>
              <w:top w:val="single" w:sz="4" w:space="0" w:color="auto"/>
              <w:left w:val="single" w:sz="4" w:space="0" w:color="auto"/>
              <w:bottom w:val="single" w:sz="4" w:space="0" w:color="auto"/>
              <w:right w:val="single" w:sz="4" w:space="0" w:color="auto"/>
            </w:tcBorders>
            <w:noWrap/>
            <w:tcMar>
              <w:left w:w="28" w:type="dxa"/>
              <w:right w:w="57" w:type="dxa"/>
            </w:tcMar>
          </w:tcPr>
          <w:p w14:paraId="2D1E1227" w14:textId="77777777" w:rsidR="00E924E7" w:rsidRPr="007E6E13" w:rsidRDefault="00E924E7" w:rsidP="00100995">
            <w:pPr>
              <w:pStyle w:val="Sraopastraipa"/>
              <w:numPr>
                <w:ilvl w:val="0"/>
                <w:numId w:val="5"/>
              </w:numPr>
              <w:tabs>
                <w:tab w:val="left" w:pos="228"/>
              </w:tabs>
              <w:suppressAutoHyphens/>
              <w:spacing w:after="0" w:line="240" w:lineRule="auto"/>
              <w:rPr>
                <w:lang w:val="lt-LT" w:eastAsia="ar-SA"/>
              </w:rPr>
            </w:pPr>
          </w:p>
        </w:tc>
        <w:tc>
          <w:tcPr>
            <w:tcW w:w="1701" w:type="dxa"/>
            <w:tcBorders>
              <w:top w:val="single" w:sz="4" w:space="0" w:color="auto"/>
              <w:left w:val="single" w:sz="4" w:space="0" w:color="auto"/>
              <w:bottom w:val="single" w:sz="4" w:space="0" w:color="auto"/>
              <w:right w:val="single" w:sz="4" w:space="0" w:color="auto"/>
            </w:tcBorders>
            <w:hideMark/>
          </w:tcPr>
          <w:p w14:paraId="75AB2D05" w14:textId="77777777" w:rsidR="00E924E7" w:rsidRPr="007E6E13" w:rsidRDefault="00E924E7" w:rsidP="00100995">
            <w:pPr>
              <w:suppressAutoHyphens/>
              <w:spacing w:after="0"/>
              <w:rPr>
                <w:b/>
                <w:sz w:val="22"/>
                <w:lang w:eastAsia="lt-LT"/>
              </w:rPr>
            </w:pPr>
            <w:r w:rsidRPr="007E6E13">
              <w:rPr>
                <w:sz w:val="22"/>
                <w:lang w:eastAsia="ar-SA"/>
              </w:rPr>
              <w:t>Saugumo funkcionalumas</w:t>
            </w:r>
          </w:p>
        </w:tc>
        <w:tc>
          <w:tcPr>
            <w:tcW w:w="4395" w:type="dxa"/>
            <w:tcBorders>
              <w:top w:val="single" w:sz="4" w:space="0" w:color="auto"/>
              <w:left w:val="single" w:sz="4" w:space="0" w:color="auto"/>
              <w:bottom w:val="single" w:sz="4" w:space="0" w:color="auto"/>
              <w:right w:val="single" w:sz="4" w:space="0" w:color="auto"/>
            </w:tcBorders>
            <w:hideMark/>
          </w:tcPr>
          <w:p w14:paraId="42EB0444" w14:textId="77777777" w:rsidR="00E924E7" w:rsidRPr="007E6E13" w:rsidRDefault="00E924E7" w:rsidP="00100995">
            <w:pPr>
              <w:tabs>
                <w:tab w:val="left" w:pos="390"/>
                <w:tab w:val="left" w:pos="1035"/>
                <w:tab w:val="left" w:pos="1500"/>
              </w:tabs>
              <w:suppressAutoHyphens/>
              <w:spacing w:after="0"/>
              <w:rPr>
                <w:sz w:val="22"/>
                <w:lang w:eastAsia="ar-SA"/>
              </w:rPr>
            </w:pPr>
            <w:r w:rsidRPr="007E6E13">
              <w:rPr>
                <w:sz w:val="22"/>
                <w:lang w:eastAsia="ar-SA"/>
              </w:rPr>
              <w:t xml:space="preserve">Apsauga nuo neleistino prisijungimo pagal siuntėjo MAC adresą (angl. Port </w:t>
            </w:r>
            <w:proofErr w:type="spellStart"/>
            <w:r w:rsidRPr="007E6E13">
              <w:rPr>
                <w:sz w:val="22"/>
                <w:lang w:eastAsia="ar-SA"/>
              </w:rPr>
              <w:t>security</w:t>
            </w:r>
            <w:proofErr w:type="spellEnd"/>
            <w:r w:rsidRPr="007E6E13">
              <w:rPr>
                <w:sz w:val="22"/>
                <w:lang w:eastAsia="ar-SA"/>
              </w:rPr>
              <w:t>), ribojant leistinų MAC adresų skaičių.</w:t>
            </w:r>
          </w:p>
          <w:p w14:paraId="4D0F6A76" w14:textId="77777777" w:rsidR="00E924E7" w:rsidRPr="007E6E13" w:rsidRDefault="00E924E7" w:rsidP="00100995">
            <w:pPr>
              <w:suppressAutoHyphens/>
              <w:spacing w:after="0"/>
              <w:rPr>
                <w:sz w:val="22"/>
                <w:lang w:eastAsia="lt-LT"/>
              </w:rPr>
            </w:pPr>
            <w:r w:rsidRPr="007E6E13">
              <w:rPr>
                <w:sz w:val="22"/>
                <w:lang w:eastAsia="lt-LT"/>
              </w:rPr>
              <w:t xml:space="preserve">Dinaminis adresų išsprendimo protokolo (ARP) tikrinimas. </w:t>
            </w:r>
          </w:p>
          <w:p w14:paraId="63740ED3" w14:textId="77777777" w:rsidR="00E924E7" w:rsidRPr="007E6E13" w:rsidRDefault="00E924E7" w:rsidP="00100995">
            <w:pPr>
              <w:suppressAutoHyphens/>
              <w:spacing w:after="0"/>
              <w:rPr>
                <w:sz w:val="22"/>
                <w:lang w:eastAsia="lt-LT"/>
              </w:rPr>
            </w:pPr>
            <w:r w:rsidRPr="007E6E13">
              <w:rPr>
                <w:sz w:val="22"/>
                <w:lang w:eastAsia="lt-LT"/>
              </w:rPr>
              <w:t>GARP palaikymas automatiniam VLAN identifikavimui.</w:t>
            </w:r>
          </w:p>
          <w:p w14:paraId="7669AC4F" w14:textId="77777777" w:rsidR="00E924E7" w:rsidRPr="007E6E13" w:rsidRDefault="00E924E7" w:rsidP="00100995">
            <w:pPr>
              <w:suppressAutoHyphens/>
              <w:spacing w:after="0"/>
              <w:rPr>
                <w:sz w:val="22"/>
                <w:lang w:eastAsia="lt-LT"/>
              </w:rPr>
            </w:pPr>
            <w:r w:rsidRPr="007E6E13">
              <w:rPr>
                <w:sz w:val="22"/>
                <w:lang w:eastAsia="lt-LT"/>
              </w:rPr>
              <w:t xml:space="preserve">Turi būti Access </w:t>
            </w:r>
            <w:proofErr w:type="spellStart"/>
            <w:r w:rsidRPr="007E6E13">
              <w:rPr>
                <w:sz w:val="22"/>
                <w:lang w:eastAsia="lt-LT"/>
              </w:rPr>
              <w:t>List</w:t>
            </w:r>
            <w:proofErr w:type="spellEnd"/>
            <w:r w:rsidRPr="007E6E13">
              <w:rPr>
                <w:sz w:val="22"/>
                <w:lang w:eastAsia="lt-LT"/>
              </w:rPr>
              <w:t xml:space="preserve"> palaikymas (ACL), ne mažiau kaip 500 taisyklių. </w:t>
            </w:r>
          </w:p>
          <w:p w14:paraId="4F0455F9" w14:textId="77777777" w:rsidR="00E924E7" w:rsidRPr="007E6E13" w:rsidRDefault="00E924E7" w:rsidP="00100995">
            <w:pPr>
              <w:suppressAutoHyphens/>
              <w:spacing w:after="0"/>
              <w:rPr>
                <w:sz w:val="22"/>
                <w:lang w:eastAsia="lt-LT"/>
              </w:rPr>
            </w:pPr>
            <w:r w:rsidRPr="007E6E13">
              <w:rPr>
                <w:sz w:val="22"/>
                <w:lang w:eastAsia="lt-LT"/>
              </w:rPr>
              <w:t>802.1x autentifikavimas.</w:t>
            </w:r>
          </w:p>
        </w:tc>
        <w:tc>
          <w:tcPr>
            <w:tcW w:w="3402" w:type="dxa"/>
          </w:tcPr>
          <w:p w14:paraId="7CE540BA" w14:textId="77777777" w:rsidR="00E924E7" w:rsidRPr="007E6E13" w:rsidRDefault="00E924E7" w:rsidP="00CD3CC3">
            <w:pPr>
              <w:tabs>
                <w:tab w:val="left" w:pos="390"/>
                <w:tab w:val="left" w:pos="1035"/>
                <w:tab w:val="left" w:pos="1500"/>
                <w:tab w:val="left" w:pos="1876"/>
              </w:tabs>
              <w:suppressAutoHyphens/>
              <w:spacing w:after="0"/>
              <w:rPr>
                <w:sz w:val="22"/>
                <w:lang w:eastAsia="ar-SA"/>
              </w:rPr>
            </w:pPr>
          </w:p>
        </w:tc>
      </w:tr>
      <w:tr w:rsidR="00E924E7" w:rsidRPr="007E6E13" w14:paraId="0CB177BA" w14:textId="7E95AD9C" w:rsidTr="007E6E13">
        <w:trPr>
          <w:trHeight w:val="57"/>
        </w:trPr>
        <w:tc>
          <w:tcPr>
            <w:tcW w:w="709" w:type="dxa"/>
            <w:tcBorders>
              <w:top w:val="single" w:sz="4" w:space="0" w:color="auto"/>
              <w:left w:val="single" w:sz="4" w:space="0" w:color="auto"/>
              <w:bottom w:val="single" w:sz="4" w:space="0" w:color="auto"/>
              <w:right w:val="single" w:sz="4" w:space="0" w:color="auto"/>
            </w:tcBorders>
            <w:noWrap/>
            <w:tcMar>
              <w:left w:w="28" w:type="dxa"/>
              <w:right w:w="57" w:type="dxa"/>
            </w:tcMar>
          </w:tcPr>
          <w:p w14:paraId="180E24C4" w14:textId="77777777" w:rsidR="00E924E7" w:rsidRPr="007E6E13" w:rsidRDefault="00E924E7" w:rsidP="00100995">
            <w:pPr>
              <w:pStyle w:val="Sraopastraipa"/>
              <w:numPr>
                <w:ilvl w:val="0"/>
                <w:numId w:val="5"/>
              </w:numPr>
              <w:tabs>
                <w:tab w:val="left" w:pos="228"/>
              </w:tabs>
              <w:suppressAutoHyphens/>
              <w:spacing w:after="0" w:line="240" w:lineRule="auto"/>
              <w:rPr>
                <w:lang w:val="lt-LT" w:eastAsia="lt-LT"/>
              </w:rPr>
            </w:pPr>
          </w:p>
        </w:tc>
        <w:tc>
          <w:tcPr>
            <w:tcW w:w="1701" w:type="dxa"/>
            <w:tcBorders>
              <w:top w:val="single" w:sz="4" w:space="0" w:color="auto"/>
              <w:left w:val="single" w:sz="4" w:space="0" w:color="auto"/>
              <w:bottom w:val="single" w:sz="4" w:space="0" w:color="auto"/>
              <w:right w:val="single" w:sz="4" w:space="0" w:color="auto"/>
            </w:tcBorders>
          </w:tcPr>
          <w:p w14:paraId="71A52A93" w14:textId="77777777" w:rsidR="00E924E7" w:rsidRPr="007E6E13" w:rsidRDefault="00E924E7" w:rsidP="00100995">
            <w:pPr>
              <w:suppressAutoHyphens/>
              <w:spacing w:after="0"/>
              <w:rPr>
                <w:sz w:val="22"/>
                <w:lang w:eastAsia="ar-SA"/>
              </w:rPr>
            </w:pPr>
            <w:proofErr w:type="spellStart"/>
            <w:r w:rsidRPr="007E6E13">
              <w:rPr>
                <w:sz w:val="22"/>
                <w:lang w:eastAsia="ar-SA"/>
              </w:rPr>
              <w:t>Maršrutizavimas</w:t>
            </w:r>
            <w:proofErr w:type="spellEnd"/>
            <w:r w:rsidRPr="007E6E13">
              <w:rPr>
                <w:sz w:val="22"/>
                <w:lang w:eastAsia="ar-SA"/>
              </w:rPr>
              <w:t xml:space="preserve"> </w:t>
            </w:r>
          </w:p>
        </w:tc>
        <w:tc>
          <w:tcPr>
            <w:tcW w:w="4395" w:type="dxa"/>
            <w:tcBorders>
              <w:top w:val="single" w:sz="4" w:space="0" w:color="auto"/>
              <w:left w:val="single" w:sz="4" w:space="0" w:color="auto"/>
              <w:bottom w:val="single" w:sz="4" w:space="0" w:color="auto"/>
              <w:right w:val="single" w:sz="4" w:space="0" w:color="auto"/>
            </w:tcBorders>
          </w:tcPr>
          <w:p w14:paraId="685F2C28" w14:textId="13852A4D" w:rsidR="00E924E7" w:rsidRPr="007E6E13" w:rsidRDefault="00E924E7" w:rsidP="00100995">
            <w:pPr>
              <w:suppressAutoHyphens/>
              <w:spacing w:after="0"/>
              <w:rPr>
                <w:sz w:val="22"/>
                <w:lang w:eastAsia="ar-SA"/>
              </w:rPr>
            </w:pPr>
            <w:r w:rsidRPr="007E6E13">
              <w:rPr>
                <w:sz w:val="22"/>
                <w:lang w:eastAsia="ar-SA"/>
              </w:rPr>
              <w:t xml:space="preserve">Turi būti palaikomas statinis </w:t>
            </w:r>
            <w:proofErr w:type="spellStart"/>
            <w:r w:rsidRPr="007E6E13">
              <w:rPr>
                <w:sz w:val="22"/>
                <w:lang w:eastAsia="ar-SA"/>
              </w:rPr>
              <w:t>maršrutizavimas</w:t>
            </w:r>
            <w:proofErr w:type="spellEnd"/>
            <w:r w:rsidRPr="007E6E13">
              <w:rPr>
                <w:sz w:val="22"/>
                <w:lang w:eastAsia="ar-SA"/>
              </w:rPr>
              <w:t>, su ne mažiau kaip 950 maršrutų.</w:t>
            </w:r>
          </w:p>
          <w:p w14:paraId="262DE3F5" w14:textId="77777777" w:rsidR="00E924E7" w:rsidRPr="007E6E13" w:rsidRDefault="00E924E7" w:rsidP="00100995">
            <w:pPr>
              <w:suppressAutoHyphens/>
              <w:spacing w:after="0"/>
              <w:rPr>
                <w:sz w:val="22"/>
                <w:lang w:eastAsia="ar-SA"/>
              </w:rPr>
            </w:pPr>
            <w:r w:rsidRPr="007E6E13">
              <w:rPr>
                <w:sz w:val="22"/>
                <w:lang w:eastAsia="ar-SA"/>
              </w:rPr>
              <w:t xml:space="preserve">Galimybė sukonfigūruoti ne mažiau kaip 120 L3 prievadų. </w:t>
            </w:r>
          </w:p>
          <w:p w14:paraId="498EF749" w14:textId="77777777" w:rsidR="00E924E7" w:rsidRPr="007E6E13" w:rsidRDefault="00E924E7" w:rsidP="00100995">
            <w:pPr>
              <w:suppressAutoHyphens/>
              <w:spacing w:after="0"/>
              <w:rPr>
                <w:sz w:val="22"/>
                <w:lang w:eastAsia="ar-SA"/>
              </w:rPr>
            </w:pPr>
            <w:r w:rsidRPr="007E6E13">
              <w:rPr>
                <w:sz w:val="22"/>
                <w:lang w:eastAsia="ar-SA"/>
              </w:rPr>
              <w:t>Vienu metu palaikomi ne mažiau kaip 3500 VLAN.</w:t>
            </w:r>
          </w:p>
        </w:tc>
        <w:tc>
          <w:tcPr>
            <w:tcW w:w="3402" w:type="dxa"/>
          </w:tcPr>
          <w:p w14:paraId="4F322305" w14:textId="77777777" w:rsidR="00E924E7" w:rsidRPr="007E6E13" w:rsidRDefault="00E924E7" w:rsidP="00CD3CC3">
            <w:pPr>
              <w:tabs>
                <w:tab w:val="left" w:pos="1876"/>
              </w:tabs>
              <w:suppressAutoHyphens/>
              <w:spacing w:after="0"/>
              <w:rPr>
                <w:sz w:val="22"/>
                <w:lang w:eastAsia="ar-SA"/>
              </w:rPr>
            </w:pPr>
          </w:p>
        </w:tc>
      </w:tr>
      <w:tr w:rsidR="00E924E7" w:rsidRPr="007E6E13" w14:paraId="6125E414" w14:textId="41A0A2EA" w:rsidTr="007E6E13">
        <w:trPr>
          <w:trHeight w:val="57"/>
        </w:trPr>
        <w:tc>
          <w:tcPr>
            <w:tcW w:w="709" w:type="dxa"/>
            <w:tcBorders>
              <w:top w:val="single" w:sz="4" w:space="0" w:color="auto"/>
              <w:left w:val="single" w:sz="4" w:space="0" w:color="auto"/>
              <w:bottom w:val="single" w:sz="4" w:space="0" w:color="auto"/>
              <w:right w:val="single" w:sz="4" w:space="0" w:color="auto"/>
            </w:tcBorders>
            <w:noWrap/>
            <w:tcMar>
              <w:left w:w="28" w:type="dxa"/>
              <w:right w:w="57" w:type="dxa"/>
            </w:tcMar>
          </w:tcPr>
          <w:p w14:paraId="0F4AC3A2" w14:textId="77777777" w:rsidR="00E924E7" w:rsidRPr="007E6E13" w:rsidRDefault="00E924E7" w:rsidP="00100995">
            <w:pPr>
              <w:pStyle w:val="Sraopastraipa"/>
              <w:numPr>
                <w:ilvl w:val="0"/>
                <w:numId w:val="5"/>
              </w:numPr>
              <w:tabs>
                <w:tab w:val="left" w:pos="228"/>
              </w:tabs>
              <w:suppressAutoHyphens/>
              <w:spacing w:after="0" w:line="240" w:lineRule="auto"/>
              <w:rPr>
                <w:lang w:val="lt-LT" w:eastAsia="lt-LT"/>
              </w:rPr>
            </w:pPr>
          </w:p>
        </w:tc>
        <w:tc>
          <w:tcPr>
            <w:tcW w:w="1701" w:type="dxa"/>
            <w:tcBorders>
              <w:top w:val="single" w:sz="4" w:space="0" w:color="auto"/>
              <w:left w:val="single" w:sz="4" w:space="0" w:color="auto"/>
              <w:bottom w:val="single" w:sz="4" w:space="0" w:color="auto"/>
              <w:right w:val="single" w:sz="4" w:space="0" w:color="auto"/>
            </w:tcBorders>
            <w:hideMark/>
          </w:tcPr>
          <w:p w14:paraId="423FE602" w14:textId="77777777" w:rsidR="00E924E7" w:rsidRPr="007E6E13" w:rsidRDefault="00E924E7" w:rsidP="00100995">
            <w:pPr>
              <w:suppressAutoHyphens/>
              <w:spacing w:after="0"/>
              <w:rPr>
                <w:sz w:val="22"/>
                <w:lang w:eastAsia="lt-LT"/>
              </w:rPr>
            </w:pPr>
            <w:r w:rsidRPr="007E6E13">
              <w:rPr>
                <w:sz w:val="22"/>
                <w:lang w:eastAsia="ar-SA"/>
              </w:rPr>
              <w:t xml:space="preserve">Paslaugos kokybė (angl. </w:t>
            </w:r>
            <w:proofErr w:type="spellStart"/>
            <w:r w:rsidRPr="007E6E13">
              <w:rPr>
                <w:sz w:val="22"/>
                <w:lang w:eastAsia="ar-SA"/>
              </w:rPr>
              <w:t>QoS</w:t>
            </w:r>
            <w:proofErr w:type="spellEnd"/>
            <w:r w:rsidRPr="007E6E13">
              <w:rPr>
                <w:sz w:val="22"/>
                <w:lang w:eastAsia="ar-SA"/>
              </w:rPr>
              <w:t>)</w:t>
            </w:r>
          </w:p>
        </w:tc>
        <w:tc>
          <w:tcPr>
            <w:tcW w:w="4395" w:type="dxa"/>
            <w:tcBorders>
              <w:top w:val="single" w:sz="4" w:space="0" w:color="auto"/>
              <w:left w:val="single" w:sz="4" w:space="0" w:color="auto"/>
              <w:bottom w:val="single" w:sz="4" w:space="0" w:color="auto"/>
              <w:right w:val="single" w:sz="4" w:space="0" w:color="auto"/>
            </w:tcBorders>
            <w:hideMark/>
          </w:tcPr>
          <w:p w14:paraId="2867B17F" w14:textId="77777777" w:rsidR="00E924E7" w:rsidRPr="007E6E13" w:rsidRDefault="00E924E7" w:rsidP="00100995">
            <w:pPr>
              <w:suppressAutoHyphens/>
              <w:spacing w:after="0"/>
              <w:rPr>
                <w:sz w:val="22"/>
                <w:lang w:eastAsia="ar-SA"/>
              </w:rPr>
            </w:pPr>
            <w:r w:rsidRPr="007E6E13">
              <w:rPr>
                <w:sz w:val="22"/>
                <w:lang w:eastAsia="ar-SA"/>
              </w:rPr>
              <w:t>IP paketų klasifikavimas ir žymėjimas pagal:</w:t>
            </w:r>
          </w:p>
          <w:p w14:paraId="2D1115A7" w14:textId="77777777" w:rsidR="00E924E7" w:rsidRPr="007E6E13" w:rsidRDefault="00E924E7" w:rsidP="00100995">
            <w:pPr>
              <w:numPr>
                <w:ilvl w:val="0"/>
                <w:numId w:val="3"/>
              </w:numPr>
              <w:suppressAutoHyphens/>
              <w:spacing w:after="0" w:line="240" w:lineRule="auto"/>
              <w:ind w:left="634" w:hanging="274"/>
              <w:rPr>
                <w:sz w:val="22"/>
                <w:lang w:eastAsia="ar-SA"/>
              </w:rPr>
            </w:pPr>
            <w:r w:rsidRPr="007E6E13">
              <w:rPr>
                <w:sz w:val="22"/>
                <w:lang w:eastAsia="ar-SA"/>
              </w:rPr>
              <w:t>MAC adresus;</w:t>
            </w:r>
          </w:p>
          <w:p w14:paraId="03786A35" w14:textId="77777777" w:rsidR="00E924E7" w:rsidRPr="007E6E13" w:rsidRDefault="00E924E7" w:rsidP="00100995">
            <w:pPr>
              <w:numPr>
                <w:ilvl w:val="0"/>
                <w:numId w:val="3"/>
              </w:numPr>
              <w:suppressAutoHyphens/>
              <w:spacing w:after="0" w:line="240" w:lineRule="auto"/>
              <w:ind w:left="634" w:hanging="274"/>
              <w:rPr>
                <w:sz w:val="22"/>
                <w:lang w:eastAsia="ar-SA"/>
              </w:rPr>
            </w:pPr>
            <w:r w:rsidRPr="007E6E13">
              <w:rPr>
                <w:sz w:val="22"/>
                <w:lang w:eastAsia="ar-SA"/>
              </w:rPr>
              <w:t>Prievadą;</w:t>
            </w:r>
          </w:p>
          <w:p w14:paraId="3D8F321F" w14:textId="77777777" w:rsidR="00E924E7" w:rsidRPr="007E6E13" w:rsidRDefault="00E924E7" w:rsidP="00100995">
            <w:pPr>
              <w:spacing w:after="0"/>
              <w:rPr>
                <w:sz w:val="22"/>
                <w:lang w:eastAsia="ar-SA"/>
              </w:rPr>
            </w:pPr>
            <w:r w:rsidRPr="007E6E13">
              <w:rPr>
                <w:sz w:val="22"/>
                <w:lang w:eastAsia="ar-SA"/>
              </w:rPr>
              <w:t>Eilių skaičius kiekvienam prievadui – ne mažiau kaip 8;</w:t>
            </w:r>
          </w:p>
          <w:p w14:paraId="398291F3" w14:textId="77777777" w:rsidR="00E924E7" w:rsidRPr="007E6E13" w:rsidRDefault="00E924E7" w:rsidP="00100995">
            <w:pPr>
              <w:spacing w:after="0"/>
              <w:rPr>
                <w:sz w:val="22"/>
                <w:lang w:eastAsia="ar-SA"/>
              </w:rPr>
            </w:pPr>
            <w:r w:rsidRPr="007E6E13">
              <w:rPr>
                <w:sz w:val="22"/>
                <w:lang w:eastAsia="ar-SA"/>
              </w:rPr>
              <w:t>DSCP;</w:t>
            </w:r>
          </w:p>
        </w:tc>
        <w:tc>
          <w:tcPr>
            <w:tcW w:w="3402" w:type="dxa"/>
          </w:tcPr>
          <w:p w14:paraId="4A96B76F" w14:textId="77777777" w:rsidR="00E924E7" w:rsidRPr="007E6E13" w:rsidRDefault="00E924E7" w:rsidP="00CD3CC3">
            <w:pPr>
              <w:tabs>
                <w:tab w:val="left" w:pos="1876"/>
              </w:tabs>
              <w:suppressAutoHyphens/>
              <w:spacing w:after="0"/>
              <w:rPr>
                <w:sz w:val="22"/>
                <w:lang w:eastAsia="ar-SA"/>
              </w:rPr>
            </w:pPr>
          </w:p>
        </w:tc>
      </w:tr>
      <w:tr w:rsidR="00E924E7" w:rsidRPr="007E6E13" w14:paraId="350047A4" w14:textId="3167878B" w:rsidTr="007E6E13">
        <w:trPr>
          <w:trHeight w:val="2267"/>
        </w:trPr>
        <w:tc>
          <w:tcPr>
            <w:tcW w:w="709" w:type="dxa"/>
            <w:tcBorders>
              <w:top w:val="single" w:sz="4" w:space="0" w:color="auto"/>
              <w:left w:val="single" w:sz="4" w:space="0" w:color="auto"/>
              <w:bottom w:val="single" w:sz="4" w:space="0" w:color="auto"/>
              <w:right w:val="single" w:sz="4" w:space="0" w:color="auto"/>
            </w:tcBorders>
            <w:noWrap/>
            <w:tcMar>
              <w:left w:w="28" w:type="dxa"/>
              <w:right w:w="57" w:type="dxa"/>
            </w:tcMar>
          </w:tcPr>
          <w:p w14:paraId="05ABB414" w14:textId="77777777" w:rsidR="00E924E7" w:rsidRPr="007E6E13" w:rsidRDefault="00E924E7" w:rsidP="00100995">
            <w:pPr>
              <w:pStyle w:val="Sraopastraipa"/>
              <w:numPr>
                <w:ilvl w:val="0"/>
                <w:numId w:val="5"/>
              </w:numPr>
              <w:tabs>
                <w:tab w:val="left" w:pos="228"/>
              </w:tabs>
              <w:suppressAutoHyphens/>
              <w:spacing w:after="0" w:line="240" w:lineRule="auto"/>
              <w:rPr>
                <w:lang w:val="lt-LT" w:eastAsia="lt-LT"/>
              </w:rPr>
            </w:pPr>
          </w:p>
        </w:tc>
        <w:tc>
          <w:tcPr>
            <w:tcW w:w="1701" w:type="dxa"/>
            <w:tcBorders>
              <w:top w:val="single" w:sz="4" w:space="0" w:color="auto"/>
              <w:left w:val="single" w:sz="4" w:space="0" w:color="auto"/>
              <w:bottom w:val="single" w:sz="4" w:space="0" w:color="auto"/>
              <w:right w:val="single" w:sz="4" w:space="0" w:color="auto"/>
            </w:tcBorders>
            <w:hideMark/>
          </w:tcPr>
          <w:p w14:paraId="27280A74" w14:textId="77777777" w:rsidR="00E924E7" w:rsidRPr="007E6E13" w:rsidRDefault="00E924E7" w:rsidP="00100995">
            <w:pPr>
              <w:suppressAutoHyphens/>
              <w:spacing w:after="0"/>
              <w:rPr>
                <w:sz w:val="22"/>
                <w:lang w:eastAsia="lt-LT"/>
              </w:rPr>
            </w:pPr>
            <w:r w:rsidRPr="007E6E13">
              <w:rPr>
                <w:sz w:val="22"/>
                <w:lang w:eastAsia="ar-SA"/>
              </w:rPr>
              <w:t>Valdymas ir stebėjimas</w:t>
            </w:r>
          </w:p>
        </w:tc>
        <w:tc>
          <w:tcPr>
            <w:tcW w:w="4395" w:type="dxa"/>
            <w:tcBorders>
              <w:top w:val="single" w:sz="4" w:space="0" w:color="auto"/>
              <w:left w:val="single" w:sz="4" w:space="0" w:color="auto"/>
              <w:bottom w:val="single" w:sz="4" w:space="0" w:color="auto"/>
              <w:right w:val="single" w:sz="4" w:space="0" w:color="auto"/>
            </w:tcBorders>
            <w:hideMark/>
          </w:tcPr>
          <w:p w14:paraId="4625DDE8" w14:textId="77777777" w:rsidR="00E924E7" w:rsidRPr="007E6E13" w:rsidRDefault="00E924E7" w:rsidP="00100995">
            <w:pPr>
              <w:spacing w:after="0"/>
              <w:rPr>
                <w:sz w:val="22"/>
                <w:lang w:eastAsia="ar-SA"/>
              </w:rPr>
            </w:pPr>
            <w:r w:rsidRPr="007E6E13">
              <w:rPr>
                <w:sz w:val="22"/>
                <w:lang w:eastAsia="ar-SA"/>
              </w:rPr>
              <w:t xml:space="preserve">Komandinės eilutės sąsaja (angl. </w:t>
            </w:r>
            <w:proofErr w:type="spellStart"/>
            <w:r w:rsidRPr="007E6E13">
              <w:rPr>
                <w:sz w:val="22"/>
                <w:lang w:eastAsia="ar-SA"/>
              </w:rPr>
              <w:t>command</w:t>
            </w:r>
            <w:proofErr w:type="spellEnd"/>
            <w:r w:rsidRPr="007E6E13">
              <w:rPr>
                <w:sz w:val="22"/>
                <w:lang w:eastAsia="ar-SA"/>
              </w:rPr>
              <w:t xml:space="preserve"> line </w:t>
            </w:r>
            <w:proofErr w:type="spellStart"/>
            <w:r w:rsidRPr="007E6E13">
              <w:rPr>
                <w:sz w:val="22"/>
                <w:lang w:eastAsia="ar-SA"/>
              </w:rPr>
              <w:t>interface</w:t>
            </w:r>
            <w:proofErr w:type="spellEnd"/>
            <w:r w:rsidRPr="007E6E13">
              <w:rPr>
                <w:sz w:val="22"/>
                <w:lang w:eastAsia="ar-SA"/>
              </w:rPr>
              <w:t xml:space="preserve">) - SSH v2 (šifravimas – ne mažiau kaip 128 bitų), </w:t>
            </w:r>
            <w:proofErr w:type="spellStart"/>
            <w:r w:rsidRPr="007E6E13">
              <w:rPr>
                <w:sz w:val="22"/>
                <w:lang w:eastAsia="ar-SA"/>
              </w:rPr>
              <w:t>Telnet</w:t>
            </w:r>
            <w:proofErr w:type="spellEnd"/>
            <w:r w:rsidRPr="007E6E13">
              <w:rPr>
                <w:sz w:val="22"/>
                <w:lang w:eastAsia="ar-SA"/>
              </w:rPr>
              <w:t>;</w:t>
            </w:r>
          </w:p>
          <w:p w14:paraId="35BED7FC" w14:textId="77777777" w:rsidR="00E924E7" w:rsidRPr="007E6E13" w:rsidRDefault="00E924E7" w:rsidP="00100995">
            <w:pPr>
              <w:tabs>
                <w:tab w:val="left" w:pos="390"/>
                <w:tab w:val="left" w:pos="1035"/>
                <w:tab w:val="left" w:pos="1500"/>
              </w:tabs>
              <w:suppressAutoHyphens/>
              <w:spacing w:after="0"/>
              <w:rPr>
                <w:sz w:val="22"/>
                <w:lang w:eastAsia="ar-SA"/>
              </w:rPr>
            </w:pPr>
            <w:r w:rsidRPr="007E6E13">
              <w:rPr>
                <w:sz w:val="22"/>
                <w:lang w:eastAsia="ar-SA"/>
              </w:rPr>
              <w:t xml:space="preserve">SNMPv1, SNMPv2, </w:t>
            </w:r>
          </w:p>
          <w:p w14:paraId="7570BC0E" w14:textId="77777777" w:rsidR="00E924E7" w:rsidRPr="007E6E13" w:rsidRDefault="00E924E7" w:rsidP="00100995">
            <w:pPr>
              <w:tabs>
                <w:tab w:val="left" w:pos="390"/>
                <w:tab w:val="left" w:pos="1035"/>
                <w:tab w:val="left" w:pos="1500"/>
              </w:tabs>
              <w:suppressAutoHyphens/>
              <w:spacing w:after="0"/>
              <w:rPr>
                <w:sz w:val="22"/>
                <w:lang w:eastAsia="ar-SA"/>
              </w:rPr>
            </w:pPr>
            <w:r w:rsidRPr="007E6E13">
              <w:rPr>
                <w:sz w:val="22"/>
                <w:lang w:eastAsia="ar-SA"/>
              </w:rPr>
              <w:t>Nuotolinis stebėjimas (RMON);</w:t>
            </w:r>
          </w:p>
          <w:p w14:paraId="00EB594E" w14:textId="77777777" w:rsidR="00E924E7" w:rsidRPr="007E6E13" w:rsidRDefault="00E924E7" w:rsidP="00100995">
            <w:pPr>
              <w:tabs>
                <w:tab w:val="left" w:pos="390"/>
                <w:tab w:val="left" w:pos="1035"/>
                <w:tab w:val="left" w:pos="1500"/>
              </w:tabs>
              <w:suppressAutoHyphens/>
              <w:spacing w:after="0"/>
              <w:rPr>
                <w:sz w:val="22"/>
                <w:lang w:eastAsia="ar-SA"/>
              </w:rPr>
            </w:pPr>
            <w:proofErr w:type="spellStart"/>
            <w:r w:rsidRPr="007E6E13">
              <w:rPr>
                <w:sz w:val="22"/>
                <w:lang w:eastAsia="ar-SA"/>
              </w:rPr>
              <w:t>sFlow</w:t>
            </w:r>
            <w:proofErr w:type="spellEnd"/>
            <w:r w:rsidRPr="007E6E13">
              <w:rPr>
                <w:sz w:val="22"/>
                <w:lang w:eastAsia="ar-SA"/>
              </w:rPr>
              <w:t xml:space="preserve"> palaikymas;</w:t>
            </w:r>
          </w:p>
          <w:p w14:paraId="5FCDAE52" w14:textId="77777777" w:rsidR="00E924E7" w:rsidRPr="007E6E13" w:rsidRDefault="00E924E7" w:rsidP="00100995">
            <w:pPr>
              <w:tabs>
                <w:tab w:val="left" w:pos="390"/>
                <w:tab w:val="left" w:pos="1035"/>
                <w:tab w:val="left" w:pos="1500"/>
              </w:tabs>
              <w:suppressAutoHyphens/>
              <w:spacing w:after="0"/>
              <w:rPr>
                <w:sz w:val="22"/>
                <w:lang w:eastAsia="ar-SA"/>
              </w:rPr>
            </w:pPr>
            <w:r w:rsidRPr="007E6E13">
              <w:rPr>
                <w:sz w:val="22"/>
                <w:lang w:eastAsia="ar-SA"/>
              </w:rPr>
              <w:t>RADIUS</w:t>
            </w:r>
          </w:p>
          <w:p w14:paraId="70A56757" w14:textId="77777777" w:rsidR="00E924E7" w:rsidRPr="007E6E13" w:rsidRDefault="00E924E7" w:rsidP="00100995">
            <w:pPr>
              <w:tabs>
                <w:tab w:val="left" w:pos="390"/>
                <w:tab w:val="left" w:pos="1035"/>
                <w:tab w:val="left" w:pos="1500"/>
              </w:tabs>
              <w:suppressAutoHyphens/>
              <w:spacing w:after="0"/>
              <w:rPr>
                <w:sz w:val="22"/>
                <w:lang w:eastAsia="ar-SA"/>
              </w:rPr>
            </w:pPr>
            <w:r w:rsidRPr="007E6E13">
              <w:rPr>
                <w:sz w:val="22"/>
                <w:lang w:eastAsia="ar-SA"/>
              </w:rPr>
              <w:t xml:space="preserve">Operacinės sistemos ir konfigūracijos persiuntimas </w:t>
            </w:r>
            <w:r w:rsidRPr="007E6E13">
              <w:rPr>
                <w:i/>
                <w:sz w:val="22"/>
                <w:lang w:eastAsia="ar-SA"/>
              </w:rPr>
              <w:t>TFTP</w:t>
            </w:r>
            <w:r w:rsidRPr="007E6E13">
              <w:rPr>
                <w:sz w:val="22"/>
                <w:lang w:eastAsia="ar-SA"/>
              </w:rPr>
              <w:t xml:space="preserve"> protokolu.</w:t>
            </w:r>
          </w:p>
          <w:p w14:paraId="147A5AF6" w14:textId="77777777" w:rsidR="00E924E7" w:rsidRPr="007E6E13" w:rsidRDefault="00E924E7" w:rsidP="00100995">
            <w:pPr>
              <w:tabs>
                <w:tab w:val="left" w:pos="390"/>
                <w:tab w:val="left" w:pos="1035"/>
                <w:tab w:val="left" w:pos="1500"/>
              </w:tabs>
              <w:suppressAutoHyphens/>
              <w:spacing w:after="0"/>
              <w:rPr>
                <w:sz w:val="22"/>
                <w:lang w:eastAsia="ar-SA"/>
              </w:rPr>
            </w:pPr>
            <w:r w:rsidRPr="007E6E13">
              <w:rPr>
                <w:sz w:val="22"/>
                <w:lang w:eastAsia="ar-SA"/>
              </w:rPr>
              <w:t xml:space="preserve">Galimybė saugoti du operacinės sistemos failus. </w:t>
            </w:r>
          </w:p>
        </w:tc>
        <w:tc>
          <w:tcPr>
            <w:tcW w:w="3402" w:type="dxa"/>
          </w:tcPr>
          <w:p w14:paraId="6BC7BBCE" w14:textId="77777777" w:rsidR="00E924E7" w:rsidRPr="007E6E13" w:rsidRDefault="00E924E7" w:rsidP="00CD3CC3">
            <w:pPr>
              <w:tabs>
                <w:tab w:val="left" w:pos="1876"/>
              </w:tabs>
              <w:spacing w:after="0"/>
              <w:rPr>
                <w:sz w:val="22"/>
                <w:lang w:eastAsia="ar-SA"/>
              </w:rPr>
            </w:pPr>
          </w:p>
        </w:tc>
      </w:tr>
      <w:tr w:rsidR="00E924E7" w:rsidRPr="007E6E13" w14:paraId="2FA5A0A9" w14:textId="309A40D8" w:rsidTr="007E6E13">
        <w:trPr>
          <w:trHeight w:val="677"/>
        </w:trPr>
        <w:tc>
          <w:tcPr>
            <w:tcW w:w="709" w:type="dxa"/>
            <w:tcBorders>
              <w:top w:val="single" w:sz="4" w:space="0" w:color="auto"/>
              <w:left w:val="single" w:sz="4" w:space="0" w:color="auto"/>
              <w:bottom w:val="single" w:sz="4" w:space="0" w:color="auto"/>
              <w:right w:val="single" w:sz="4" w:space="0" w:color="auto"/>
            </w:tcBorders>
            <w:noWrap/>
            <w:tcMar>
              <w:left w:w="28" w:type="dxa"/>
              <w:right w:w="57" w:type="dxa"/>
            </w:tcMar>
          </w:tcPr>
          <w:p w14:paraId="66C921DD" w14:textId="77777777" w:rsidR="00E924E7" w:rsidRPr="007E6E13" w:rsidRDefault="00E924E7" w:rsidP="00100995">
            <w:pPr>
              <w:pStyle w:val="Sraopastraipa"/>
              <w:numPr>
                <w:ilvl w:val="0"/>
                <w:numId w:val="5"/>
              </w:numPr>
              <w:tabs>
                <w:tab w:val="left" w:pos="228"/>
              </w:tabs>
              <w:suppressAutoHyphens/>
              <w:spacing w:after="0" w:line="240" w:lineRule="auto"/>
              <w:rPr>
                <w:lang w:val="lt-LT" w:eastAsia="lt-LT"/>
              </w:rPr>
            </w:pPr>
          </w:p>
        </w:tc>
        <w:tc>
          <w:tcPr>
            <w:tcW w:w="1701" w:type="dxa"/>
            <w:tcBorders>
              <w:top w:val="single" w:sz="4" w:space="0" w:color="auto"/>
              <w:left w:val="single" w:sz="4" w:space="0" w:color="auto"/>
              <w:bottom w:val="single" w:sz="4" w:space="0" w:color="auto"/>
              <w:right w:val="single" w:sz="4" w:space="0" w:color="auto"/>
            </w:tcBorders>
          </w:tcPr>
          <w:p w14:paraId="4D24F978" w14:textId="77777777" w:rsidR="00E924E7" w:rsidRPr="007E6E13" w:rsidRDefault="00E924E7" w:rsidP="00100995">
            <w:pPr>
              <w:suppressAutoHyphens/>
              <w:spacing w:after="0"/>
              <w:rPr>
                <w:sz w:val="22"/>
                <w:lang w:eastAsia="ar-SA"/>
              </w:rPr>
            </w:pPr>
            <w:proofErr w:type="spellStart"/>
            <w:r w:rsidRPr="007E6E13">
              <w:rPr>
                <w:sz w:val="22"/>
              </w:rPr>
              <w:t>PoE</w:t>
            </w:r>
            <w:proofErr w:type="spellEnd"/>
            <w:r w:rsidRPr="007E6E13">
              <w:rPr>
                <w:sz w:val="22"/>
              </w:rPr>
              <w:t xml:space="preserve"> palaikymas</w:t>
            </w:r>
          </w:p>
        </w:tc>
        <w:tc>
          <w:tcPr>
            <w:tcW w:w="4395" w:type="dxa"/>
            <w:tcBorders>
              <w:top w:val="single" w:sz="4" w:space="0" w:color="auto"/>
              <w:left w:val="single" w:sz="4" w:space="0" w:color="auto"/>
              <w:bottom w:val="single" w:sz="4" w:space="0" w:color="auto"/>
              <w:right w:val="single" w:sz="4" w:space="0" w:color="auto"/>
            </w:tcBorders>
          </w:tcPr>
          <w:p w14:paraId="1E8356CC" w14:textId="77777777" w:rsidR="00E924E7" w:rsidRPr="007E6E13" w:rsidRDefault="00E924E7" w:rsidP="00100995">
            <w:pPr>
              <w:spacing w:after="0"/>
              <w:rPr>
                <w:sz w:val="22"/>
                <w:lang w:eastAsia="ar-SA"/>
              </w:rPr>
            </w:pPr>
            <w:r w:rsidRPr="007E6E13">
              <w:rPr>
                <w:sz w:val="22"/>
              </w:rPr>
              <w:t xml:space="preserve">Visi komutatoriaus portai turi palaikyti </w:t>
            </w:r>
            <w:proofErr w:type="spellStart"/>
            <w:r w:rsidRPr="007E6E13">
              <w:rPr>
                <w:sz w:val="22"/>
              </w:rPr>
              <w:t>PoE</w:t>
            </w:r>
            <w:proofErr w:type="spellEnd"/>
            <w:r w:rsidRPr="007E6E13">
              <w:rPr>
                <w:sz w:val="22"/>
              </w:rPr>
              <w:t xml:space="preserve"> (</w:t>
            </w:r>
            <w:r w:rsidRPr="007E6E13">
              <w:rPr>
                <w:i/>
                <w:iCs/>
                <w:sz w:val="22"/>
              </w:rPr>
              <w:t xml:space="preserve">Power </w:t>
            </w:r>
            <w:proofErr w:type="spellStart"/>
            <w:r w:rsidRPr="007E6E13">
              <w:rPr>
                <w:i/>
                <w:iCs/>
                <w:sz w:val="22"/>
              </w:rPr>
              <w:t>over</w:t>
            </w:r>
            <w:proofErr w:type="spellEnd"/>
            <w:r w:rsidRPr="007E6E13">
              <w:rPr>
                <w:i/>
                <w:iCs/>
                <w:sz w:val="22"/>
              </w:rPr>
              <w:t xml:space="preserve"> </w:t>
            </w:r>
            <w:proofErr w:type="spellStart"/>
            <w:r w:rsidRPr="007E6E13">
              <w:rPr>
                <w:i/>
                <w:iCs/>
                <w:sz w:val="22"/>
              </w:rPr>
              <w:t>Ethernet</w:t>
            </w:r>
            <w:proofErr w:type="spellEnd"/>
            <w:r w:rsidRPr="007E6E13">
              <w:rPr>
                <w:sz w:val="22"/>
              </w:rPr>
              <w:t>) funkcionalumą</w:t>
            </w:r>
          </w:p>
        </w:tc>
        <w:tc>
          <w:tcPr>
            <w:tcW w:w="3402" w:type="dxa"/>
          </w:tcPr>
          <w:p w14:paraId="28B664FA" w14:textId="77777777" w:rsidR="00E924E7" w:rsidRPr="007E6E13" w:rsidRDefault="00E924E7" w:rsidP="00CD3CC3">
            <w:pPr>
              <w:tabs>
                <w:tab w:val="left" w:pos="1876"/>
              </w:tabs>
              <w:spacing w:after="0"/>
              <w:rPr>
                <w:sz w:val="22"/>
              </w:rPr>
            </w:pPr>
          </w:p>
        </w:tc>
      </w:tr>
      <w:tr w:rsidR="00E924E7" w:rsidRPr="007E6E13" w14:paraId="77EC8EF7" w14:textId="39EF78E8" w:rsidTr="007E6E13">
        <w:trPr>
          <w:trHeight w:val="677"/>
        </w:trPr>
        <w:tc>
          <w:tcPr>
            <w:tcW w:w="709" w:type="dxa"/>
            <w:tcBorders>
              <w:top w:val="single" w:sz="4" w:space="0" w:color="auto"/>
              <w:left w:val="single" w:sz="4" w:space="0" w:color="auto"/>
              <w:bottom w:val="single" w:sz="4" w:space="0" w:color="auto"/>
              <w:right w:val="single" w:sz="4" w:space="0" w:color="auto"/>
            </w:tcBorders>
            <w:noWrap/>
            <w:tcMar>
              <w:left w:w="28" w:type="dxa"/>
              <w:right w:w="57" w:type="dxa"/>
            </w:tcMar>
          </w:tcPr>
          <w:p w14:paraId="001130FD" w14:textId="77777777" w:rsidR="00E924E7" w:rsidRPr="007E6E13" w:rsidRDefault="00E924E7" w:rsidP="00100995">
            <w:pPr>
              <w:pStyle w:val="Sraopastraipa"/>
              <w:numPr>
                <w:ilvl w:val="0"/>
                <w:numId w:val="5"/>
              </w:numPr>
              <w:tabs>
                <w:tab w:val="left" w:pos="228"/>
              </w:tabs>
              <w:suppressAutoHyphens/>
              <w:spacing w:after="0" w:line="240" w:lineRule="auto"/>
              <w:rPr>
                <w:lang w:val="lt-LT" w:eastAsia="lt-LT"/>
              </w:rPr>
            </w:pPr>
          </w:p>
        </w:tc>
        <w:tc>
          <w:tcPr>
            <w:tcW w:w="1701" w:type="dxa"/>
            <w:tcBorders>
              <w:top w:val="single" w:sz="4" w:space="0" w:color="auto"/>
              <w:left w:val="single" w:sz="4" w:space="0" w:color="auto"/>
              <w:bottom w:val="single" w:sz="4" w:space="0" w:color="auto"/>
              <w:right w:val="single" w:sz="4" w:space="0" w:color="auto"/>
            </w:tcBorders>
          </w:tcPr>
          <w:p w14:paraId="2E91193A" w14:textId="77777777" w:rsidR="00E924E7" w:rsidRPr="007E6E13" w:rsidRDefault="00E924E7" w:rsidP="00100995">
            <w:pPr>
              <w:suppressAutoHyphens/>
              <w:spacing w:after="0"/>
              <w:rPr>
                <w:b/>
                <w:bCs/>
                <w:sz w:val="22"/>
              </w:rPr>
            </w:pPr>
            <w:r w:rsidRPr="007E6E13">
              <w:rPr>
                <w:sz w:val="22"/>
              </w:rPr>
              <w:t>Suderinamumas su esama Tarnybos IT infrastruktūra</w:t>
            </w:r>
          </w:p>
        </w:tc>
        <w:tc>
          <w:tcPr>
            <w:tcW w:w="4395" w:type="dxa"/>
            <w:tcBorders>
              <w:top w:val="single" w:sz="4" w:space="0" w:color="auto"/>
              <w:left w:val="single" w:sz="4" w:space="0" w:color="auto"/>
              <w:bottom w:val="single" w:sz="4" w:space="0" w:color="auto"/>
              <w:right w:val="single" w:sz="4" w:space="0" w:color="auto"/>
            </w:tcBorders>
          </w:tcPr>
          <w:p w14:paraId="5279D84F" w14:textId="1DA49191" w:rsidR="00E924E7" w:rsidRPr="007E6E13" w:rsidRDefault="00E924E7" w:rsidP="00A76B49">
            <w:pPr>
              <w:suppressAutoHyphens/>
              <w:spacing w:after="0"/>
              <w:rPr>
                <w:sz w:val="22"/>
              </w:rPr>
            </w:pPr>
            <w:r w:rsidRPr="007E6E13">
              <w:rPr>
                <w:sz w:val="22"/>
              </w:rPr>
              <w:t>Pateikta įranga turi būti suderinama su Tarnybos naudojama tinklo įranga. Prijungus turimą įrangą prie naujai įsigytų tinklo komutatorių, turi veikti dabartinės įrangos ir naujai įsigyjamų tinklo komutatorių visas funkcionalumas:</w:t>
            </w:r>
          </w:p>
          <w:p w14:paraId="0E5AD9E5" w14:textId="77777777" w:rsidR="00E924E7" w:rsidRPr="007E6E13" w:rsidRDefault="00E924E7" w:rsidP="00A76B49">
            <w:pPr>
              <w:suppressAutoHyphens/>
              <w:spacing w:after="0"/>
              <w:rPr>
                <w:sz w:val="22"/>
              </w:rPr>
            </w:pPr>
            <w:r w:rsidRPr="007E6E13">
              <w:rPr>
                <w:sz w:val="22"/>
              </w:rPr>
              <w:t xml:space="preserve">IP telefonijos įrenginys: CISCO ISR 1100 </w:t>
            </w:r>
            <w:proofErr w:type="spellStart"/>
            <w:r w:rsidRPr="007E6E13">
              <w:rPr>
                <w:sz w:val="22"/>
              </w:rPr>
              <w:t>Series</w:t>
            </w:r>
            <w:proofErr w:type="spellEnd"/>
            <w:r w:rsidRPr="007E6E13">
              <w:rPr>
                <w:sz w:val="22"/>
              </w:rPr>
              <w:t>;</w:t>
            </w:r>
          </w:p>
          <w:p w14:paraId="4E65E834" w14:textId="77777777" w:rsidR="00E924E7" w:rsidRPr="007E6E13" w:rsidRDefault="00E924E7" w:rsidP="00A76B49">
            <w:pPr>
              <w:suppressAutoHyphens/>
              <w:spacing w:after="0"/>
              <w:rPr>
                <w:sz w:val="22"/>
              </w:rPr>
            </w:pPr>
            <w:r w:rsidRPr="007E6E13">
              <w:rPr>
                <w:sz w:val="22"/>
              </w:rPr>
              <w:t xml:space="preserve">Įeigos sistemos kontroleris: </w:t>
            </w:r>
            <w:proofErr w:type="spellStart"/>
            <w:r w:rsidRPr="007E6E13">
              <w:rPr>
                <w:sz w:val="22"/>
              </w:rPr>
              <w:t>Dahua</w:t>
            </w:r>
            <w:proofErr w:type="spellEnd"/>
            <w:r w:rsidRPr="007E6E13">
              <w:rPr>
                <w:sz w:val="22"/>
              </w:rPr>
              <w:t xml:space="preserve"> Access </w:t>
            </w:r>
            <w:proofErr w:type="spellStart"/>
            <w:r w:rsidRPr="007E6E13">
              <w:rPr>
                <w:sz w:val="22"/>
              </w:rPr>
              <w:t>Controller</w:t>
            </w:r>
            <w:proofErr w:type="spellEnd"/>
            <w:r w:rsidRPr="007E6E13">
              <w:rPr>
                <w:sz w:val="22"/>
              </w:rPr>
              <w:t xml:space="preserve"> DHI-ASC2204C-S;</w:t>
            </w:r>
          </w:p>
          <w:p w14:paraId="7D2187E5" w14:textId="77777777" w:rsidR="00E924E7" w:rsidRPr="007E6E13" w:rsidRDefault="00E924E7" w:rsidP="00A76B49">
            <w:pPr>
              <w:suppressAutoHyphens/>
              <w:spacing w:after="0"/>
              <w:rPr>
                <w:sz w:val="22"/>
              </w:rPr>
            </w:pPr>
            <w:r w:rsidRPr="007E6E13">
              <w:rPr>
                <w:sz w:val="22"/>
              </w:rPr>
              <w:t>WiFi prieigos taškas: CISCO AIR-AP1832I-E-K9;</w:t>
            </w:r>
          </w:p>
          <w:p w14:paraId="15C25A5F" w14:textId="77777777" w:rsidR="00E924E7" w:rsidRPr="007E6E13" w:rsidRDefault="00E924E7" w:rsidP="00A76B49">
            <w:pPr>
              <w:suppressAutoHyphens/>
              <w:spacing w:after="0"/>
              <w:rPr>
                <w:sz w:val="22"/>
              </w:rPr>
            </w:pPr>
            <w:r w:rsidRPr="007E6E13">
              <w:rPr>
                <w:sz w:val="22"/>
              </w:rPr>
              <w:t xml:space="preserve">Ugniasienė: </w:t>
            </w:r>
            <w:proofErr w:type="spellStart"/>
            <w:r w:rsidRPr="007E6E13">
              <w:rPr>
                <w:sz w:val="22"/>
              </w:rPr>
              <w:t>FortiGate</w:t>
            </w:r>
            <w:proofErr w:type="spellEnd"/>
            <w:r w:rsidRPr="007E6E13">
              <w:rPr>
                <w:sz w:val="22"/>
              </w:rPr>
              <w:t xml:space="preserve"> 60E;</w:t>
            </w:r>
          </w:p>
          <w:p w14:paraId="0F818C35" w14:textId="5DAC66F6" w:rsidR="00E924E7" w:rsidRPr="007E6E13" w:rsidRDefault="00E924E7" w:rsidP="00A76B49">
            <w:pPr>
              <w:suppressAutoHyphens/>
              <w:spacing w:after="0"/>
              <w:rPr>
                <w:sz w:val="22"/>
              </w:rPr>
            </w:pPr>
            <w:r w:rsidRPr="007E6E13">
              <w:rPr>
                <w:sz w:val="22"/>
              </w:rPr>
              <w:t xml:space="preserve">Komutatorius: </w:t>
            </w:r>
            <w:proofErr w:type="spellStart"/>
            <w:r w:rsidRPr="007E6E13">
              <w:rPr>
                <w:sz w:val="22"/>
              </w:rPr>
              <w:t>Cisco</w:t>
            </w:r>
            <w:proofErr w:type="spellEnd"/>
            <w:r w:rsidRPr="007E6E13">
              <w:rPr>
                <w:sz w:val="22"/>
              </w:rPr>
              <w:t xml:space="preserve"> </w:t>
            </w:r>
            <w:proofErr w:type="spellStart"/>
            <w:r w:rsidRPr="007E6E13">
              <w:rPr>
                <w:sz w:val="22"/>
              </w:rPr>
              <w:t>Catalyst</w:t>
            </w:r>
            <w:proofErr w:type="spellEnd"/>
            <w:r w:rsidRPr="007E6E13">
              <w:rPr>
                <w:sz w:val="22"/>
              </w:rPr>
              <w:t xml:space="preserve"> 9200-24T-E</w:t>
            </w:r>
          </w:p>
        </w:tc>
        <w:tc>
          <w:tcPr>
            <w:tcW w:w="3402" w:type="dxa"/>
          </w:tcPr>
          <w:p w14:paraId="32FE22DD" w14:textId="77777777" w:rsidR="00E924E7" w:rsidRPr="007E6E13" w:rsidRDefault="00E924E7" w:rsidP="00CD3CC3">
            <w:pPr>
              <w:tabs>
                <w:tab w:val="left" w:pos="1876"/>
              </w:tabs>
              <w:suppressAutoHyphens/>
              <w:spacing w:after="0"/>
              <w:rPr>
                <w:sz w:val="22"/>
              </w:rPr>
            </w:pPr>
          </w:p>
        </w:tc>
      </w:tr>
      <w:tr w:rsidR="00E924E7" w:rsidRPr="007E6E13" w14:paraId="506D93B2" w14:textId="2F5CFE19" w:rsidTr="007E6E13">
        <w:trPr>
          <w:trHeight w:val="677"/>
        </w:trPr>
        <w:tc>
          <w:tcPr>
            <w:tcW w:w="709" w:type="dxa"/>
            <w:tcBorders>
              <w:top w:val="single" w:sz="4" w:space="0" w:color="auto"/>
              <w:left w:val="single" w:sz="4" w:space="0" w:color="auto"/>
              <w:bottom w:val="single" w:sz="4" w:space="0" w:color="auto"/>
              <w:right w:val="single" w:sz="4" w:space="0" w:color="auto"/>
            </w:tcBorders>
            <w:noWrap/>
            <w:tcMar>
              <w:left w:w="28" w:type="dxa"/>
              <w:right w:w="57" w:type="dxa"/>
            </w:tcMar>
          </w:tcPr>
          <w:p w14:paraId="134B4D59" w14:textId="77777777" w:rsidR="00E924E7" w:rsidRPr="007E6E13" w:rsidRDefault="00E924E7" w:rsidP="00100995">
            <w:pPr>
              <w:pStyle w:val="Sraopastraipa"/>
              <w:numPr>
                <w:ilvl w:val="0"/>
                <w:numId w:val="5"/>
              </w:numPr>
              <w:tabs>
                <w:tab w:val="left" w:pos="228"/>
              </w:tabs>
              <w:suppressAutoHyphens/>
              <w:spacing w:after="0" w:line="240" w:lineRule="auto"/>
              <w:rPr>
                <w:lang w:val="lt-LT" w:eastAsia="lt-LT"/>
              </w:rPr>
            </w:pPr>
          </w:p>
        </w:tc>
        <w:tc>
          <w:tcPr>
            <w:tcW w:w="1701" w:type="dxa"/>
            <w:tcBorders>
              <w:top w:val="single" w:sz="4" w:space="0" w:color="auto"/>
              <w:left w:val="single" w:sz="4" w:space="0" w:color="auto"/>
              <w:bottom w:val="single" w:sz="4" w:space="0" w:color="auto"/>
              <w:right w:val="single" w:sz="4" w:space="0" w:color="auto"/>
            </w:tcBorders>
          </w:tcPr>
          <w:p w14:paraId="4AE2FE04" w14:textId="6A72DB2D" w:rsidR="00E924E7" w:rsidRPr="007E6E13" w:rsidRDefault="00E924E7" w:rsidP="00100995">
            <w:pPr>
              <w:suppressAutoHyphens/>
              <w:spacing w:after="0"/>
              <w:rPr>
                <w:sz w:val="22"/>
              </w:rPr>
            </w:pPr>
            <w:r w:rsidRPr="007E6E13">
              <w:rPr>
                <w:sz w:val="22"/>
              </w:rPr>
              <w:t>Tinklo konfigūracija</w:t>
            </w:r>
          </w:p>
        </w:tc>
        <w:tc>
          <w:tcPr>
            <w:tcW w:w="4395" w:type="dxa"/>
            <w:tcBorders>
              <w:top w:val="single" w:sz="4" w:space="0" w:color="auto"/>
              <w:left w:val="single" w:sz="4" w:space="0" w:color="auto"/>
              <w:bottom w:val="single" w:sz="4" w:space="0" w:color="auto"/>
              <w:right w:val="single" w:sz="4" w:space="0" w:color="auto"/>
            </w:tcBorders>
          </w:tcPr>
          <w:p w14:paraId="0137B028" w14:textId="6BDA48EB" w:rsidR="00E924E7" w:rsidRPr="007E6E13" w:rsidRDefault="00E924E7" w:rsidP="00E271A6">
            <w:pPr>
              <w:suppressAutoHyphens/>
              <w:spacing w:after="0"/>
              <w:rPr>
                <w:sz w:val="22"/>
              </w:rPr>
            </w:pPr>
            <w:r w:rsidRPr="007E6E13">
              <w:rPr>
                <w:sz w:val="22"/>
              </w:rPr>
              <w:t xml:space="preserve">Šiuo metu Tarnyboje naudojami tinklo komutatoriai </w:t>
            </w:r>
            <w:proofErr w:type="spellStart"/>
            <w:r w:rsidRPr="007E6E13">
              <w:rPr>
                <w:sz w:val="22"/>
              </w:rPr>
              <w:t>Cisco</w:t>
            </w:r>
            <w:proofErr w:type="spellEnd"/>
            <w:r w:rsidRPr="007E6E13">
              <w:rPr>
                <w:sz w:val="22"/>
              </w:rPr>
              <w:t xml:space="preserve"> SG350X-48P ir juose atlikta tinklo segmentacija, pagal tinklo segmentacijos </w:t>
            </w:r>
            <w:proofErr w:type="spellStart"/>
            <w:r w:rsidRPr="007E6E13">
              <w:rPr>
                <w:sz w:val="22"/>
              </w:rPr>
              <w:t>konfigūracinį</w:t>
            </w:r>
            <w:proofErr w:type="spellEnd"/>
            <w:r w:rsidRPr="007E6E13">
              <w:rPr>
                <w:sz w:val="22"/>
              </w:rPr>
              <w:t xml:space="preserve"> failą turi būti galimybė atkartoti tinklo konfigūraciją siūlomuose tinklo komutatoriuose.</w:t>
            </w:r>
          </w:p>
        </w:tc>
        <w:tc>
          <w:tcPr>
            <w:tcW w:w="3402" w:type="dxa"/>
          </w:tcPr>
          <w:p w14:paraId="1D8CC12D" w14:textId="77777777" w:rsidR="00E924E7" w:rsidRPr="007E6E13" w:rsidRDefault="00E924E7" w:rsidP="00CD3CC3">
            <w:pPr>
              <w:tabs>
                <w:tab w:val="left" w:pos="1876"/>
              </w:tabs>
              <w:suppressAutoHyphens/>
              <w:spacing w:after="0"/>
              <w:rPr>
                <w:sz w:val="22"/>
              </w:rPr>
            </w:pPr>
          </w:p>
        </w:tc>
      </w:tr>
      <w:tr w:rsidR="00E924E7" w:rsidRPr="007E6E13" w14:paraId="47D81E59" w14:textId="274195B7" w:rsidTr="007E6E13">
        <w:trPr>
          <w:trHeight w:val="57"/>
        </w:trPr>
        <w:tc>
          <w:tcPr>
            <w:tcW w:w="709" w:type="dxa"/>
            <w:tcBorders>
              <w:top w:val="single" w:sz="4" w:space="0" w:color="auto"/>
              <w:left w:val="single" w:sz="4" w:space="0" w:color="auto"/>
              <w:bottom w:val="single" w:sz="4" w:space="0" w:color="auto"/>
              <w:right w:val="single" w:sz="4" w:space="0" w:color="auto"/>
            </w:tcBorders>
            <w:noWrap/>
            <w:tcMar>
              <w:left w:w="28" w:type="dxa"/>
              <w:right w:w="57" w:type="dxa"/>
            </w:tcMar>
          </w:tcPr>
          <w:p w14:paraId="49357F09" w14:textId="77777777" w:rsidR="00E924E7" w:rsidRPr="007E6E13" w:rsidRDefault="00E924E7" w:rsidP="00100995">
            <w:pPr>
              <w:pStyle w:val="Sraopastraipa"/>
              <w:numPr>
                <w:ilvl w:val="0"/>
                <w:numId w:val="5"/>
              </w:numPr>
              <w:tabs>
                <w:tab w:val="left" w:pos="228"/>
              </w:tabs>
              <w:suppressAutoHyphens/>
              <w:spacing w:after="0" w:line="240" w:lineRule="auto"/>
              <w:rPr>
                <w:lang w:val="lt-LT" w:eastAsia="lt-LT"/>
              </w:rPr>
            </w:pPr>
          </w:p>
        </w:tc>
        <w:tc>
          <w:tcPr>
            <w:tcW w:w="1701" w:type="dxa"/>
            <w:tcBorders>
              <w:top w:val="single" w:sz="4" w:space="0" w:color="auto"/>
              <w:left w:val="single" w:sz="4" w:space="0" w:color="auto"/>
              <w:bottom w:val="single" w:sz="4" w:space="0" w:color="auto"/>
              <w:right w:val="single" w:sz="4" w:space="0" w:color="auto"/>
            </w:tcBorders>
            <w:hideMark/>
          </w:tcPr>
          <w:p w14:paraId="245745ED" w14:textId="77777777" w:rsidR="00E924E7" w:rsidRPr="007E6E13" w:rsidRDefault="00E924E7" w:rsidP="00100995">
            <w:pPr>
              <w:suppressAutoHyphens/>
              <w:spacing w:after="0"/>
              <w:rPr>
                <w:sz w:val="22"/>
                <w:lang w:eastAsia="lt-LT"/>
              </w:rPr>
            </w:pPr>
            <w:r w:rsidRPr="007E6E13">
              <w:rPr>
                <w:sz w:val="22"/>
                <w:lang w:eastAsia="ar-SA"/>
              </w:rPr>
              <w:t>Garantinė priežiūra</w:t>
            </w:r>
          </w:p>
        </w:tc>
        <w:tc>
          <w:tcPr>
            <w:tcW w:w="4395" w:type="dxa"/>
            <w:tcBorders>
              <w:top w:val="single" w:sz="4" w:space="0" w:color="auto"/>
              <w:left w:val="single" w:sz="4" w:space="0" w:color="auto"/>
              <w:bottom w:val="single" w:sz="4" w:space="0" w:color="auto"/>
              <w:right w:val="single" w:sz="4" w:space="0" w:color="auto"/>
            </w:tcBorders>
            <w:hideMark/>
          </w:tcPr>
          <w:p w14:paraId="43225DC7" w14:textId="77777777" w:rsidR="00E924E7" w:rsidRPr="007E6E13" w:rsidRDefault="00E924E7" w:rsidP="00100995">
            <w:pPr>
              <w:spacing w:after="0"/>
              <w:rPr>
                <w:sz w:val="22"/>
              </w:rPr>
            </w:pPr>
            <w:r w:rsidRPr="007E6E13">
              <w:rPr>
                <w:sz w:val="22"/>
              </w:rPr>
              <w:t>Turi būti suteikiamas ne mažiau nei 36 mėn. garantinis aptarnavimas.</w:t>
            </w:r>
          </w:p>
          <w:p w14:paraId="18747C7A" w14:textId="77777777" w:rsidR="00E924E7" w:rsidRPr="007E6E13" w:rsidRDefault="00E924E7" w:rsidP="00100995">
            <w:pPr>
              <w:spacing w:after="0"/>
              <w:rPr>
                <w:sz w:val="22"/>
                <w:lang w:eastAsia="lt-LT"/>
              </w:rPr>
            </w:pPr>
            <w:r w:rsidRPr="007E6E13">
              <w:rPr>
                <w:sz w:val="22"/>
                <w:lang w:eastAsia="lt-LT"/>
              </w:rPr>
              <w:t>Metus laiko turi būti galimybė atsisiųsti klaidų ištaisymus ir atnaujinti programinę įrangą.</w:t>
            </w:r>
          </w:p>
        </w:tc>
        <w:tc>
          <w:tcPr>
            <w:tcW w:w="3402" w:type="dxa"/>
          </w:tcPr>
          <w:p w14:paraId="1A1943F5" w14:textId="77777777" w:rsidR="00E924E7" w:rsidRPr="007E6E13" w:rsidRDefault="00E924E7" w:rsidP="00CD3CC3">
            <w:pPr>
              <w:tabs>
                <w:tab w:val="left" w:pos="1876"/>
              </w:tabs>
              <w:spacing w:after="0"/>
              <w:rPr>
                <w:sz w:val="22"/>
              </w:rPr>
            </w:pPr>
          </w:p>
        </w:tc>
      </w:tr>
      <w:tr w:rsidR="00E924E7" w:rsidRPr="007E6E13" w14:paraId="3EF9A7B4" w14:textId="1D467080" w:rsidTr="007E6E13">
        <w:trPr>
          <w:trHeight w:val="57"/>
        </w:trPr>
        <w:tc>
          <w:tcPr>
            <w:tcW w:w="709" w:type="dxa"/>
            <w:tcBorders>
              <w:top w:val="single" w:sz="4" w:space="0" w:color="auto"/>
              <w:left w:val="single" w:sz="4" w:space="0" w:color="auto"/>
              <w:bottom w:val="single" w:sz="4" w:space="0" w:color="auto"/>
              <w:right w:val="single" w:sz="4" w:space="0" w:color="auto"/>
            </w:tcBorders>
            <w:noWrap/>
            <w:tcMar>
              <w:left w:w="28" w:type="dxa"/>
              <w:right w:w="57" w:type="dxa"/>
            </w:tcMar>
          </w:tcPr>
          <w:p w14:paraId="491127DB" w14:textId="77777777" w:rsidR="00E924E7" w:rsidRPr="007E6E13" w:rsidRDefault="00E924E7" w:rsidP="00100995">
            <w:pPr>
              <w:pStyle w:val="Sraopastraipa"/>
              <w:numPr>
                <w:ilvl w:val="0"/>
                <w:numId w:val="5"/>
              </w:numPr>
              <w:tabs>
                <w:tab w:val="left" w:pos="228"/>
              </w:tabs>
              <w:suppressAutoHyphens/>
              <w:spacing w:after="0" w:line="240" w:lineRule="auto"/>
              <w:rPr>
                <w:lang w:val="lt-LT" w:eastAsia="lt-LT"/>
              </w:rPr>
            </w:pPr>
          </w:p>
        </w:tc>
        <w:tc>
          <w:tcPr>
            <w:tcW w:w="1701" w:type="dxa"/>
            <w:tcBorders>
              <w:top w:val="single" w:sz="4" w:space="0" w:color="auto"/>
              <w:left w:val="single" w:sz="4" w:space="0" w:color="auto"/>
              <w:bottom w:val="single" w:sz="4" w:space="0" w:color="auto"/>
              <w:right w:val="single" w:sz="4" w:space="0" w:color="auto"/>
            </w:tcBorders>
            <w:hideMark/>
          </w:tcPr>
          <w:p w14:paraId="3232C923" w14:textId="77777777" w:rsidR="00E924E7" w:rsidRPr="007E6E13" w:rsidRDefault="00E924E7" w:rsidP="00100995">
            <w:pPr>
              <w:suppressAutoHyphens/>
              <w:spacing w:after="0"/>
              <w:rPr>
                <w:sz w:val="22"/>
                <w:lang w:eastAsia="lt-LT"/>
              </w:rPr>
            </w:pPr>
            <w:r w:rsidRPr="007E6E13">
              <w:rPr>
                <w:sz w:val="22"/>
                <w:lang w:eastAsia="ar-SA"/>
              </w:rPr>
              <w:t>Kiti reikalavimai</w:t>
            </w:r>
          </w:p>
        </w:tc>
        <w:tc>
          <w:tcPr>
            <w:tcW w:w="4395" w:type="dxa"/>
            <w:tcBorders>
              <w:top w:val="single" w:sz="4" w:space="0" w:color="auto"/>
              <w:left w:val="single" w:sz="4" w:space="0" w:color="auto"/>
              <w:bottom w:val="single" w:sz="4" w:space="0" w:color="auto"/>
              <w:right w:val="single" w:sz="4" w:space="0" w:color="auto"/>
            </w:tcBorders>
            <w:hideMark/>
          </w:tcPr>
          <w:p w14:paraId="424169D9" w14:textId="77777777" w:rsidR="00E924E7" w:rsidRPr="007E6E13" w:rsidRDefault="00E924E7" w:rsidP="00EA51C2">
            <w:pPr>
              <w:spacing w:after="0"/>
              <w:rPr>
                <w:sz w:val="22"/>
                <w:lang w:eastAsia="lt-LT"/>
              </w:rPr>
            </w:pPr>
            <w:r w:rsidRPr="007E6E13">
              <w:rPr>
                <w:sz w:val="22"/>
                <w:lang w:eastAsia="lt-LT"/>
              </w:rPr>
              <w:t>Įranga turi būti nauja, nenaudota, pristatoma originaliame gamykliniame įpakavime „</w:t>
            </w:r>
            <w:proofErr w:type="spellStart"/>
            <w:r w:rsidRPr="007E6E13">
              <w:rPr>
                <w:sz w:val="22"/>
                <w:lang w:eastAsia="lt-LT"/>
              </w:rPr>
              <w:t>brandnew</w:t>
            </w:r>
            <w:proofErr w:type="spellEnd"/>
            <w:r w:rsidRPr="007E6E13">
              <w:rPr>
                <w:sz w:val="22"/>
                <w:lang w:eastAsia="lt-LT"/>
              </w:rPr>
              <w:t xml:space="preserve">“, </w:t>
            </w:r>
            <w:proofErr w:type="spellStart"/>
            <w:r w:rsidRPr="007E6E13">
              <w:rPr>
                <w:sz w:val="22"/>
                <w:lang w:eastAsia="lt-LT"/>
              </w:rPr>
              <w:t>gamykliškai</w:t>
            </w:r>
            <w:proofErr w:type="spellEnd"/>
            <w:r w:rsidRPr="007E6E13">
              <w:rPr>
                <w:sz w:val="22"/>
                <w:lang w:eastAsia="lt-LT"/>
              </w:rPr>
              <w:t xml:space="preserve"> atnaujinti „</w:t>
            </w:r>
            <w:proofErr w:type="spellStart"/>
            <w:r w:rsidRPr="007E6E13">
              <w:rPr>
                <w:sz w:val="22"/>
                <w:lang w:eastAsia="lt-LT"/>
              </w:rPr>
              <w:t>renew</w:t>
            </w:r>
            <w:proofErr w:type="spellEnd"/>
            <w:r w:rsidRPr="007E6E13">
              <w:rPr>
                <w:sz w:val="22"/>
                <w:lang w:eastAsia="lt-LT"/>
              </w:rPr>
              <w:t xml:space="preserve">“, </w:t>
            </w:r>
            <w:r w:rsidRPr="007E6E13">
              <w:rPr>
                <w:sz w:val="22"/>
                <w:lang w:eastAsia="lt-LT"/>
              </w:rPr>
              <w:lastRenderedPageBreak/>
              <w:t>„</w:t>
            </w:r>
            <w:proofErr w:type="spellStart"/>
            <w:r w:rsidRPr="007E6E13">
              <w:rPr>
                <w:sz w:val="22"/>
                <w:lang w:eastAsia="lt-LT"/>
              </w:rPr>
              <w:t>refurbished</w:t>
            </w:r>
            <w:proofErr w:type="spellEnd"/>
            <w:r w:rsidRPr="007E6E13">
              <w:rPr>
                <w:sz w:val="22"/>
                <w:lang w:eastAsia="lt-LT"/>
              </w:rPr>
              <w:t>“, „</w:t>
            </w:r>
            <w:proofErr w:type="spellStart"/>
            <w:r w:rsidRPr="007E6E13">
              <w:rPr>
                <w:sz w:val="22"/>
                <w:lang w:eastAsia="lt-LT"/>
              </w:rPr>
              <w:t>remarked</w:t>
            </w:r>
            <w:proofErr w:type="spellEnd"/>
            <w:r w:rsidRPr="007E6E13">
              <w:rPr>
                <w:sz w:val="22"/>
                <w:lang w:eastAsia="lt-LT"/>
              </w:rPr>
              <w:t>“ komponentai netinkami.</w:t>
            </w:r>
          </w:p>
          <w:p w14:paraId="7D72FA4F" w14:textId="77777777" w:rsidR="00E924E7" w:rsidRPr="007E6E13" w:rsidRDefault="00E924E7" w:rsidP="00100995">
            <w:pPr>
              <w:tabs>
                <w:tab w:val="left" w:pos="390"/>
                <w:tab w:val="left" w:pos="1035"/>
                <w:tab w:val="left" w:pos="1500"/>
              </w:tabs>
              <w:suppressAutoHyphens/>
              <w:spacing w:after="0"/>
              <w:rPr>
                <w:sz w:val="22"/>
                <w:lang w:eastAsia="ar-SA"/>
              </w:rPr>
            </w:pPr>
            <w:r w:rsidRPr="007E6E13">
              <w:rPr>
                <w:sz w:val="22"/>
                <w:lang w:eastAsia="ar-SA"/>
              </w:rPr>
              <w:t>Turi būti su visomis tvirtinimo (varžtai) ir pajungimo (elektros laidai) priemonėmis.</w:t>
            </w:r>
          </w:p>
        </w:tc>
        <w:tc>
          <w:tcPr>
            <w:tcW w:w="3402" w:type="dxa"/>
          </w:tcPr>
          <w:p w14:paraId="3256907A" w14:textId="77777777" w:rsidR="00E924E7" w:rsidRPr="007E6E13" w:rsidRDefault="00E924E7" w:rsidP="00CD3CC3">
            <w:pPr>
              <w:tabs>
                <w:tab w:val="left" w:pos="1876"/>
              </w:tabs>
              <w:spacing w:after="0"/>
              <w:rPr>
                <w:sz w:val="22"/>
                <w:lang w:eastAsia="lt-LT"/>
              </w:rPr>
            </w:pPr>
          </w:p>
        </w:tc>
      </w:tr>
    </w:tbl>
    <w:p w14:paraId="168D773E" w14:textId="77777777" w:rsidR="003E5FEB" w:rsidRDefault="003E5FEB" w:rsidP="00100995">
      <w:pPr>
        <w:spacing w:after="0"/>
        <w:rPr>
          <w:szCs w:val="24"/>
        </w:rPr>
      </w:pPr>
    </w:p>
    <w:p w14:paraId="2AF8E05B" w14:textId="77777777" w:rsidR="00EB1846" w:rsidRPr="00A247C6" w:rsidRDefault="00EB1846" w:rsidP="00100995">
      <w:pPr>
        <w:spacing w:after="0"/>
        <w:rPr>
          <w:szCs w:val="24"/>
        </w:rPr>
      </w:pPr>
    </w:p>
    <w:p w14:paraId="54E15EB9" w14:textId="77777777" w:rsidR="00117C8C" w:rsidRPr="00000CD2" w:rsidRDefault="00117C8C" w:rsidP="00117C8C">
      <w:pPr>
        <w:spacing w:line="259" w:lineRule="auto"/>
        <w:jc w:val="both"/>
        <w:rPr>
          <w:rFonts w:eastAsia="Times New Roman"/>
          <w:bCs/>
          <w:i/>
          <w:iCs/>
          <w:color w:val="000000"/>
        </w:rPr>
      </w:pPr>
      <w:r w:rsidRPr="00000CD2">
        <w:rPr>
          <w:rFonts w:eastAsia="Times New Roman"/>
          <w:bCs/>
          <w:i/>
          <w:iCs/>
          <w:color w:val="000000"/>
        </w:rPr>
        <w:t>Pastabos:</w:t>
      </w:r>
    </w:p>
    <w:p w14:paraId="64FBC868" w14:textId="77777777" w:rsidR="00117C8C" w:rsidRPr="00000CD2" w:rsidRDefault="00117C8C" w:rsidP="00117C8C">
      <w:pPr>
        <w:spacing w:line="259" w:lineRule="auto"/>
        <w:jc w:val="both"/>
        <w:rPr>
          <w:rFonts w:eastAsia="Times New Roman"/>
          <w:bCs/>
          <w:i/>
          <w:iCs/>
          <w:color w:val="000000"/>
        </w:rPr>
      </w:pPr>
      <w:r w:rsidRPr="00000CD2">
        <w:rPr>
          <w:rFonts w:eastAsia="Times New Roman"/>
          <w:bCs/>
          <w:i/>
          <w:iCs/>
          <w:color w:val="000000"/>
        </w:rPr>
        <w:t xml:space="preserve">1.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 </w:t>
      </w:r>
    </w:p>
    <w:p w14:paraId="2A4423FC" w14:textId="77777777" w:rsidR="00117C8C" w:rsidRPr="00000CD2" w:rsidRDefault="00117C8C" w:rsidP="00117C8C">
      <w:pPr>
        <w:spacing w:line="259" w:lineRule="auto"/>
        <w:jc w:val="both"/>
        <w:rPr>
          <w:rFonts w:eastAsia="Times New Roman"/>
          <w:bCs/>
          <w:i/>
          <w:iCs/>
          <w:color w:val="000000"/>
        </w:rPr>
      </w:pPr>
      <w:r w:rsidRPr="00000CD2">
        <w:rPr>
          <w:rFonts w:eastAsia="Times New Roman"/>
          <w:bCs/>
          <w:i/>
          <w:iCs/>
          <w:color w:val="000000"/>
        </w:rPr>
        <w:t>2.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C2442E4" w14:textId="77777777" w:rsidR="003E5FEB" w:rsidRPr="00A247C6" w:rsidRDefault="003E5FEB" w:rsidP="00100995">
      <w:pPr>
        <w:spacing w:after="0"/>
        <w:rPr>
          <w:szCs w:val="24"/>
        </w:rPr>
      </w:pPr>
    </w:p>
    <w:p w14:paraId="4C8BAE33" w14:textId="77777777" w:rsidR="003E5FEB" w:rsidRPr="00A247C6" w:rsidRDefault="003E5FEB" w:rsidP="00100995">
      <w:pPr>
        <w:spacing w:after="0"/>
      </w:pPr>
    </w:p>
    <w:sectPr w:rsidR="003E5FEB" w:rsidRPr="00A247C6" w:rsidSect="0032796D">
      <w:pgSz w:w="11906" w:h="16838"/>
      <w:pgMar w:top="567" w:right="567"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7A52"/>
    <w:multiLevelType w:val="hybridMultilevel"/>
    <w:tmpl w:val="021EB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155858"/>
    <w:multiLevelType w:val="hybridMultilevel"/>
    <w:tmpl w:val="AB4E62B6"/>
    <w:lvl w:ilvl="0" w:tplc="5E4E6FA6">
      <w:start w:val="2"/>
      <w:numFmt w:val="bullet"/>
      <w:lvlText w:val="-"/>
      <w:lvlJc w:val="left"/>
      <w:pPr>
        <w:ind w:left="3337"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B7B63B6"/>
    <w:multiLevelType w:val="hybridMultilevel"/>
    <w:tmpl w:val="21984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C17C05"/>
    <w:multiLevelType w:val="hybridMultilevel"/>
    <w:tmpl w:val="16C85550"/>
    <w:lvl w:ilvl="0" w:tplc="F89C1D2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DA51416"/>
    <w:multiLevelType w:val="hybridMultilevel"/>
    <w:tmpl w:val="3444708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D103491"/>
    <w:multiLevelType w:val="hybridMultilevel"/>
    <w:tmpl w:val="021EB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1366295">
    <w:abstractNumId w:val="4"/>
  </w:num>
  <w:num w:numId="2" w16cid:durableId="1050493252">
    <w:abstractNumId w:val="5"/>
  </w:num>
  <w:num w:numId="3" w16cid:durableId="1934238956">
    <w:abstractNumId w:val="1"/>
  </w:num>
  <w:num w:numId="4" w16cid:durableId="704139829">
    <w:abstractNumId w:val="3"/>
  </w:num>
  <w:num w:numId="5" w16cid:durableId="1884323388">
    <w:abstractNumId w:val="0"/>
  </w:num>
  <w:num w:numId="6" w16cid:durableId="1817725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6CF"/>
    <w:rsid w:val="000207E7"/>
    <w:rsid w:val="00062552"/>
    <w:rsid w:val="00066953"/>
    <w:rsid w:val="000C72E0"/>
    <w:rsid w:val="000F0335"/>
    <w:rsid w:val="00100995"/>
    <w:rsid w:val="001034E0"/>
    <w:rsid w:val="00117C8C"/>
    <w:rsid w:val="00142476"/>
    <w:rsid w:val="00162077"/>
    <w:rsid w:val="001850D3"/>
    <w:rsid w:val="001903B4"/>
    <w:rsid w:val="001B3623"/>
    <w:rsid w:val="001E374E"/>
    <w:rsid w:val="0020390E"/>
    <w:rsid w:val="00206D0E"/>
    <w:rsid w:val="00223C31"/>
    <w:rsid w:val="00242425"/>
    <w:rsid w:val="00243DB9"/>
    <w:rsid w:val="00245FA9"/>
    <w:rsid w:val="002712F7"/>
    <w:rsid w:val="002A50A4"/>
    <w:rsid w:val="0032796D"/>
    <w:rsid w:val="0036051D"/>
    <w:rsid w:val="00366BDB"/>
    <w:rsid w:val="00374E60"/>
    <w:rsid w:val="003806F6"/>
    <w:rsid w:val="003C64DE"/>
    <w:rsid w:val="003E5FEB"/>
    <w:rsid w:val="0045350C"/>
    <w:rsid w:val="004849E6"/>
    <w:rsid w:val="00486AEE"/>
    <w:rsid w:val="004A7E3E"/>
    <w:rsid w:val="004B0EC4"/>
    <w:rsid w:val="005159F4"/>
    <w:rsid w:val="00573DE0"/>
    <w:rsid w:val="00587594"/>
    <w:rsid w:val="005B5268"/>
    <w:rsid w:val="005C58F3"/>
    <w:rsid w:val="005D212D"/>
    <w:rsid w:val="005F39AA"/>
    <w:rsid w:val="0060394F"/>
    <w:rsid w:val="00621B98"/>
    <w:rsid w:val="006300E7"/>
    <w:rsid w:val="006B180A"/>
    <w:rsid w:val="006B70FA"/>
    <w:rsid w:val="006F47FE"/>
    <w:rsid w:val="00717F69"/>
    <w:rsid w:val="007250BA"/>
    <w:rsid w:val="00731E65"/>
    <w:rsid w:val="00735F59"/>
    <w:rsid w:val="00770CDD"/>
    <w:rsid w:val="007E6E13"/>
    <w:rsid w:val="008478CD"/>
    <w:rsid w:val="00850C06"/>
    <w:rsid w:val="008D43DB"/>
    <w:rsid w:val="008E5442"/>
    <w:rsid w:val="0092766F"/>
    <w:rsid w:val="00937ACF"/>
    <w:rsid w:val="00972FB7"/>
    <w:rsid w:val="009A0975"/>
    <w:rsid w:val="009A7084"/>
    <w:rsid w:val="009B3B37"/>
    <w:rsid w:val="009C16CE"/>
    <w:rsid w:val="009C22D2"/>
    <w:rsid w:val="009E024F"/>
    <w:rsid w:val="00A13617"/>
    <w:rsid w:val="00A247C6"/>
    <w:rsid w:val="00A252B8"/>
    <w:rsid w:val="00A313B4"/>
    <w:rsid w:val="00A53971"/>
    <w:rsid w:val="00A64BFE"/>
    <w:rsid w:val="00A76B49"/>
    <w:rsid w:val="00AD02C5"/>
    <w:rsid w:val="00AD5562"/>
    <w:rsid w:val="00B22C42"/>
    <w:rsid w:val="00B33F0E"/>
    <w:rsid w:val="00B7704C"/>
    <w:rsid w:val="00BB58FF"/>
    <w:rsid w:val="00BE7F63"/>
    <w:rsid w:val="00C10A81"/>
    <w:rsid w:val="00C17390"/>
    <w:rsid w:val="00C23104"/>
    <w:rsid w:val="00C40612"/>
    <w:rsid w:val="00C660DE"/>
    <w:rsid w:val="00C70692"/>
    <w:rsid w:val="00C81FAA"/>
    <w:rsid w:val="00CD3CC3"/>
    <w:rsid w:val="00CE5D8C"/>
    <w:rsid w:val="00D52902"/>
    <w:rsid w:val="00D716CF"/>
    <w:rsid w:val="00DB21B1"/>
    <w:rsid w:val="00DB2BA6"/>
    <w:rsid w:val="00DC78C6"/>
    <w:rsid w:val="00DE04EC"/>
    <w:rsid w:val="00E1062B"/>
    <w:rsid w:val="00E2435C"/>
    <w:rsid w:val="00E271A6"/>
    <w:rsid w:val="00E3135C"/>
    <w:rsid w:val="00E41A72"/>
    <w:rsid w:val="00E45B49"/>
    <w:rsid w:val="00E64B91"/>
    <w:rsid w:val="00E924E7"/>
    <w:rsid w:val="00EA51C2"/>
    <w:rsid w:val="00EB1846"/>
    <w:rsid w:val="00EB28A0"/>
    <w:rsid w:val="00EC6013"/>
    <w:rsid w:val="00ED2B40"/>
    <w:rsid w:val="00ED3449"/>
    <w:rsid w:val="00F2013A"/>
    <w:rsid w:val="00F2338C"/>
    <w:rsid w:val="00F403DB"/>
    <w:rsid w:val="00F436AD"/>
    <w:rsid w:val="00F61F07"/>
    <w:rsid w:val="00F8252E"/>
    <w:rsid w:val="00FB6B2C"/>
    <w:rsid w:val="00FD34E0"/>
    <w:rsid w:val="00FD408E"/>
    <w:rsid w:val="00FF1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96CDB"/>
  <w15:chartTrackingRefBased/>
  <w15:docId w15:val="{FC5A828B-CC0F-466D-AC8D-43294B677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5FEB"/>
    <w:pPr>
      <w:spacing w:after="200" w:line="276" w:lineRule="auto"/>
    </w:pPr>
    <w:rPr>
      <w:rFonts w:ascii="Times New Roman" w:eastAsia="Calibri" w:hAnsi="Times New Roman" w:cs="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not in Table"/>
    <w:basedOn w:val="prastasis"/>
    <w:uiPriority w:val="34"/>
    <w:qFormat/>
    <w:rsid w:val="003E5FEB"/>
    <w:pPr>
      <w:ind w:left="720"/>
      <w:contextualSpacing/>
    </w:pPr>
    <w:rPr>
      <w:rFonts w:ascii="Calibri" w:hAnsi="Calibri"/>
      <w:sz w:val="22"/>
      <w:lang w:val="en-US"/>
    </w:rPr>
  </w:style>
  <w:style w:type="character" w:styleId="Komentaronuoroda">
    <w:name w:val="annotation reference"/>
    <w:basedOn w:val="Numatytasispastraiposriftas"/>
    <w:uiPriority w:val="99"/>
    <w:semiHidden/>
    <w:unhideWhenUsed/>
    <w:rsid w:val="00AD5562"/>
    <w:rPr>
      <w:sz w:val="16"/>
      <w:szCs w:val="16"/>
    </w:rPr>
  </w:style>
  <w:style w:type="paragraph" w:styleId="Komentarotekstas">
    <w:name w:val="annotation text"/>
    <w:basedOn w:val="prastasis"/>
    <w:link w:val="KomentarotekstasDiagrama"/>
    <w:uiPriority w:val="99"/>
    <w:unhideWhenUsed/>
    <w:rsid w:val="00AD556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D5562"/>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AD5562"/>
    <w:rPr>
      <w:b/>
      <w:bCs/>
    </w:rPr>
  </w:style>
  <w:style w:type="character" w:customStyle="1" w:styleId="KomentarotemaDiagrama">
    <w:name w:val="Komentaro tema Diagrama"/>
    <w:basedOn w:val="KomentarotekstasDiagrama"/>
    <w:link w:val="Komentarotema"/>
    <w:uiPriority w:val="99"/>
    <w:semiHidden/>
    <w:rsid w:val="00AD5562"/>
    <w:rPr>
      <w:rFonts w:ascii="Times New Roman" w:eastAsia="Calibri"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d3216349ef7ad9cd3609b3d9963048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71ccda32b47cdc608aba0fe1b9a2d77"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822639-7871-44EC-9955-3DC1273F5C80}">
  <ds:schemaRefs>
    <ds:schemaRef ds:uri="http://schemas.microsoft.com/sharepoint/v3/contenttype/forms"/>
  </ds:schemaRefs>
</ds:datastoreItem>
</file>

<file path=customXml/itemProps2.xml><?xml version="1.0" encoding="utf-8"?>
<ds:datastoreItem xmlns:ds="http://schemas.openxmlformats.org/officeDocument/2006/customXml" ds:itemID="{A852E54F-618E-464A-A517-E84631DB7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FF702B-F366-41DF-A7ED-3782EA81B83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3217</Words>
  <Characters>1835</Characters>
  <Application>Microsoft Office Word</Application>
  <DocSecurity>0</DocSecurity>
  <Lines>15</Lines>
  <Paragraphs>10</Paragraphs>
  <ScaleCrop>false</ScaleCrop>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Skorupskaitė</dc:creator>
  <cp:keywords/>
  <dc:description/>
  <cp:lastModifiedBy>Egidija Indrulionienė</cp:lastModifiedBy>
  <cp:revision>22</cp:revision>
  <dcterms:created xsi:type="dcterms:W3CDTF">2025-11-13T11:55:00Z</dcterms:created>
  <dcterms:modified xsi:type="dcterms:W3CDTF">2025-11-20T14:31:00Z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