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A88A" w14:textId="77777777" w:rsidR="00951333" w:rsidRDefault="0095133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EA9E4E0" w:rsidR="00B767F3" w:rsidRDefault="00B915EB">
            <w:pPr>
              <w:jc w:val="both"/>
              <w:rPr>
                <w:kern w:val="2"/>
                <w:szCs w:val="24"/>
              </w:rPr>
            </w:pPr>
            <w:r w:rsidRPr="00B915EB">
              <w:rPr>
                <w:kern w:val="2"/>
                <w:szCs w:val="24"/>
              </w:rPr>
              <w:t>Tinklo komutatoriai (</w:t>
            </w:r>
            <w:proofErr w:type="spellStart"/>
            <w:r w:rsidRPr="00B915EB">
              <w:rPr>
                <w:kern w:val="2"/>
                <w:szCs w:val="24"/>
              </w:rPr>
              <w:t>switch</w:t>
            </w:r>
            <w:proofErr w:type="spellEnd"/>
            <w:r w:rsidRPr="00B915EB">
              <w:rPr>
                <w:kern w:val="2"/>
                <w:szCs w:val="24"/>
              </w:rPr>
              <w:t>)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77927" w14:paraId="3344BE00" w14:textId="77777777">
        <w:tc>
          <w:tcPr>
            <w:tcW w:w="2808" w:type="dxa"/>
            <w:vMerge w:val="restart"/>
          </w:tcPr>
          <w:p w14:paraId="6455DD5F" w14:textId="77777777" w:rsidR="00377927" w:rsidRDefault="00377927" w:rsidP="00377927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377927" w:rsidRDefault="00377927" w:rsidP="00377927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377927" w:rsidRDefault="00377927" w:rsidP="00377927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377927" w:rsidRDefault="00377927" w:rsidP="00377927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377927" w:rsidRDefault="00377927" w:rsidP="0037792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7A4423A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b/>
                <w:bCs/>
                <w:szCs w:val="24"/>
              </w:rPr>
              <w:t>Viešųjų pirkimų tarnyba</w:t>
            </w:r>
          </w:p>
        </w:tc>
      </w:tr>
      <w:tr w:rsidR="00377927" w14:paraId="3C548A23" w14:textId="77777777">
        <w:tc>
          <w:tcPr>
            <w:tcW w:w="2808" w:type="dxa"/>
            <w:vMerge/>
          </w:tcPr>
          <w:p w14:paraId="6F39D6C5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38D5541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Kareivių g. 1, LT-08351 Vilnius</w:t>
            </w:r>
          </w:p>
        </w:tc>
      </w:tr>
      <w:tr w:rsidR="00377927" w14:paraId="7E406A40" w14:textId="77777777">
        <w:tc>
          <w:tcPr>
            <w:tcW w:w="2808" w:type="dxa"/>
            <w:vMerge/>
          </w:tcPr>
          <w:p w14:paraId="12442C78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0C8292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188656261</w:t>
            </w:r>
          </w:p>
        </w:tc>
      </w:tr>
      <w:tr w:rsidR="00377927" w14:paraId="3B5E3967" w14:textId="77777777">
        <w:tc>
          <w:tcPr>
            <w:tcW w:w="2808" w:type="dxa"/>
            <w:vMerge/>
          </w:tcPr>
          <w:p w14:paraId="08391543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AF9DA5B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Nėra PVM mokėtojas</w:t>
            </w:r>
          </w:p>
        </w:tc>
      </w:tr>
      <w:tr w:rsidR="00377927" w14:paraId="0320FC63" w14:textId="77777777">
        <w:tc>
          <w:tcPr>
            <w:tcW w:w="2808" w:type="dxa"/>
            <w:vMerge/>
          </w:tcPr>
          <w:p w14:paraId="28CCF5F1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E3A9B30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LT944040063610002345</w:t>
            </w:r>
          </w:p>
        </w:tc>
      </w:tr>
      <w:tr w:rsidR="00377927" w14:paraId="1FDDE4A8" w14:textId="77777777">
        <w:tc>
          <w:tcPr>
            <w:tcW w:w="2808" w:type="dxa"/>
            <w:vMerge/>
          </w:tcPr>
          <w:p w14:paraId="237F0EA0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960813E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LR Finansų ministerija, banko kodas 40400</w:t>
            </w:r>
          </w:p>
        </w:tc>
      </w:tr>
      <w:tr w:rsidR="00377927" w14:paraId="708A92F3" w14:textId="77777777">
        <w:tc>
          <w:tcPr>
            <w:tcW w:w="2808" w:type="dxa"/>
            <w:vMerge/>
          </w:tcPr>
          <w:p w14:paraId="1E99B4CF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64AE44A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+370 5 219 7000</w:t>
            </w:r>
          </w:p>
        </w:tc>
      </w:tr>
      <w:tr w:rsidR="00377927" w14:paraId="78C537A6" w14:textId="77777777">
        <w:tc>
          <w:tcPr>
            <w:tcW w:w="2808" w:type="dxa"/>
            <w:vMerge/>
          </w:tcPr>
          <w:p w14:paraId="0F34584F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224D0A3" w:rsidR="00377927" w:rsidRDefault="00377927" w:rsidP="00377927">
            <w:pPr>
              <w:rPr>
                <w:kern w:val="2"/>
                <w:szCs w:val="24"/>
              </w:rPr>
            </w:pPr>
            <w:hyperlink r:id="rId10">
              <w:r w:rsidRPr="008D42DC">
                <w:rPr>
                  <w:rStyle w:val="Hipersaitas"/>
                  <w:rFonts w:eastAsiaTheme="majorEastAsia"/>
                  <w:szCs w:val="24"/>
                </w:rPr>
                <w:t>info@vpt.lt</w:t>
              </w:r>
            </w:hyperlink>
          </w:p>
        </w:tc>
      </w:tr>
      <w:tr w:rsidR="00377927" w14:paraId="75BE758F" w14:textId="77777777">
        <w:tc>
          <w:tcPr>
            <w:tcW w:w="2808" w:type="dxa"/>
            <w:vMerge/>
          </w:tcPr>
          <w:p w14:paraId="40F4E194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964CA77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Direktorius Darius Vedrickas</w:t>
            </w:r>
          </w:p>
        </w:tc>
      </w:tr>
      <w:tr w:rsidR="00377927" w14:paraId="10B903FF" w14:textId="77777777">
        <w:tc>
          <w:tcPr>
            <w:tcW w:w="2808" w:type="dxa"/>
            <w:vMerge/>
          </w:tcPr>
          <w:p w14:paraId="26B0F6B9" w14:textId="77777777" w:rsidR="00377927" w:rsidRDefault="00377927" w:rsidP="00377927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377927" w:rsidRDefault="00377927" w:rsidP="003779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AB81B7C" w:rsidR="00377927" w:rsidRDefault="00377927" w:rsidP="00377927">
            <w:pPr>
              <w:rPr>
                <w:kern w:val="2"/>
                <w:szCs w:val="24"/>
              </w:rPr>
            </w:pPr>
            <w:r w:rsidRPr="008D42DC">
              <w:rPr>
                <w:szCs w:val="24"/>
              </w:rPr>
              <w:t>Viešųjų pirkimų tarnybos nuostatai, patvirtinti Lietuvos Respublikos Vyriausybės 2011 m. gruodžio 21 d. nutarimu Nr. 1517 „Dėl Viešųjų pirkimų tarnybos nuostatų patvirtinimo“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 w:rsidTr="3D3631AF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01223F75" w:rsidR="00250F48" w:rsidRDefault="001B7F3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 w:rsidTr="3D3631AF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69738511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CB4E36">
              <w:rPr>
                <w:kern w:val="2"/>
                <w:szCs w:val="24"/>
              </w:rPr>
              <w:t xml:space="preserve">3 </w:t>
            </w:r>
            <w:r w:rsidR="007C4E13">
              <w:rPr>
                <w:kern w:val="2"/>
                <w:szCs w:val="24"/>
              </w:rPr>
              <w:t xml:space="preserve">(tris) </w:t>
            </w:r>
            <w:r w:rsidR="00900E91">
              <w:rPr>
                <w:kern w:val="2"/>
                <w:szCs w:val="24"/>
              </w:rPr>
              <w:t>tinklo komutatorius (</w:t>
            </w:r>
            <w:proofErr w:type="spellStart"/>
            <w:r w:rsidR="00900E91">
              <w:rPr>
                <w:kern w:val="2"/>
                <w:szCs w:val="24"/>
              </w:rPr>
              <w:t>switch</w:t>
            </w:r>
            <w:proofErr w:type="spellEnd"/>
            <w:r w:rsidR="00900E91">
              <w:rPr>
                <w:kern w:val="2"/>
                <w:szCs w:val="24"/>
              </w:rPr>
              <w:t xml:space="preserve">)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4CCB70DA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0058F7">
              <w:rPr>
                <w:color w:val="000000"/>
                <w:kern w:val="2"/>
                <w:szCs w:val="24"/>
              </w:rPr>
              <w:t>[</w:t>
            </w:r>
            <w:r w:rsidR="00A520D3" w:rsidRPr="000058F7">
              <w:rPr>
                <w:color w:val="000000"/>
                <w:kern w:val="2"/>
                <w:szCs w:val="24"/>
              </w:rPr>
              <w:t>1</w:t>
            </w:r>
            <w:r w:rsidRPr="000058F7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0058F7">
              <w:rPr>
                <w:color w:val="000000"/>
                <w:kern w:val="2"/>
                <w:szCs w:val="24"/>
              </w:rPr>
              <w:t>[</w:t>
            </w:r>
            <w:r w:rsidR="00A520D3" w:rsidRPr="000058F7">
              <w:rPr>
                <w:color w:val="000000"/>
                <w:kern w:val="2"/>
                <w:szCs w:val="24"/>
              </w:rPr>
              <w:t>2</w:t>
            </w:r>
            <w:r w:rsidRPr="000058F7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39CCC7A" w:rsidR="00B767F3" w:rsidRDefault="00DE6383">
            <w:pPr>
              <w:rPr>
                <w:kern w:val="2"/>
                <w:szCs w:val="24"/>
              </w:rPr>
            </w:pPr>
            <w:r w:rsidRPr="00DE6383">
              <w:rPr>
                <w:kern w:val="2"/>
                <w:szCs w:val="24"/>
              </w:rPr>
              <w:t>Tinklo komutatoriai (</w:t>
            </w:r>
            <w:proofErr w:type="spellStart"/>
            <w:r w:rsidRPr="00DE6383">
              <w:rPr>
                <w:kern w:val="2"/>
                <w:szCs w:val="24"/>
              </w:rPr>
              <w:t>switch</w:t>
            </w:r>
            <w:proofErr w:type="spellEnd"/>
            <w:r w:rsidRPr="00DE6383">
              <w:rPr>
                <w:kern w:val="2"/>
                <w:szCs w:val="24"/>
              </w:rPr>
              <w:t>) (VPT)</w:t>
            </w:r>
            <w:r w:rsidR="00D70928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ID</w:t>
            </w:r>
            <w:r w:rsidR="00D70928" w:rsidRPr="00D70928">
              <w:rPr>
                <w:kern w:val="2"/>
                <w:szCs w:val="24"/>
              </w:rPr>
              <w:t>5413689</w:t>
            </w:r>
          </w:p>
        </w:tc>
      </w:tr>
      <w:tr w:rsidR="00B767F3" w14:paraId="44A63690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763DAE3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 w:rsidTr="3D3631AF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D83610">
        <w:trPr>
          <w:trHeight w:val="1468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0A3306D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5832A92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935C19" w:rsidRPr="00E94605">
              <w:rPr>
                <w:color w:val="000000" w:themeColor="text1"/>
                <w:kern w:val="2"/>
                <w:szCs w:val="24"/>
              </w:rPr>
              <w:t>30 darbo dienų</w:t>
            </w:r>
            <w:r w:rsidRPr="00E94605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F95CA3" w:rsidRPr="00A247C6">
              <w:rPr>
                <w:szCs w:val="24"/>
                <w:lang w:eastAsia="ar-SA"/>
              </w:rPr>
              <w:t>Kareivių g.1, LT-08351 Vilnius</w:t>
            </w:r>
            <w:r w:rsidR="00F95CA3">
              <w:rPr>
                <w:szCs w:val="24"/>
                <w:lang w:eastAsia="ar-SA"/>
              </w:rPr>
              <w:t>.</w:t>
            </w:r>
          </w:p>
          <w:p w14:paraId="692B09C4" w14:textId="558C80B8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1CB069A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36D172E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647EA469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93ACB" w14:paraId="30B555A8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A09" w14:textId="24A6EB29" w:rsidR="00593ACB" w:rsidRPr="00593ACB" w:rsidRDefault="00593ACB" w:rsidP="00593ACB">
            <w:pPr>
              <w:rPr>
                <w:color w:val="000000"/>
              </w:rPr>
            </w:pPr>
            <w:r w:rsidRPr="00593ACB">
              <w:rPr>
                <w:kern w:val="2"/>
                <w:szCs w:val="24"/>
                <w:shd w:val="clear" w:color="auto" w:fill="FFFFFF"/>
              </w:rPr>
              <w:t xml:space="preserve">Tiekėjas </w:t>
            </w:r>
            <w:r w:rsidRPr="00593ACB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kartu su Prekių priėmimo – perdavimo aktu </w:t>
            </w:r>
            <w:r w:rsidRPr="00593ACB">
              <w:rPr>
                <w:kern w:val="2"/>
                <w:szCs w:val="24"/>
                <w:shd w:val="clear" w:color="auto" w:fill="FFFFFF"/>
              </w:rPr>
              <w:t xml:space="preserve">pateikia </w:t>
            </w:r>
            <w:r w:rsidRPr="00593ACB">
              <w:rPr>
                <w:color w:val="000000"/>
              </w:rPr>
              <w:t>Prekių</w:t>
            </w:r>
            <w:r w:rsidRPr="00593ACB">
              <w:t xml:space="preserve"> pirminių, </w:t>
            </w:r>
            <w:r w:rsidRPr="00593ACB">
              <w:rPr>
                <w:color w:val="000000"/>
              </w:rPr>
              <w:t>antrinių ir tretinių pakuočių tinkamumą perdirbti (</w:t>
            </w:r>
            <w:proofErr w:type="spellStart"/>
            <w:r w:rsidRPr="00593ACB">
              <w:rPr>
                <w:color w:val="000000"/>
              </w:rPr>
              <w:t>perdirbamumą</w:t>
            </w:r>
            <w:proofErr w:type="spellEnd"/>
            <w:r w:rsidRPr="00593ACB">
              <w:rPr>
                <w:color w:val="000000"/>
              </w:rPr>
              <w:t>) ir (ar) homogeniškumą, ir (ar) daugkartinio naudojimo pakuotės (talpos) patvirtinančius dokumentus:</w:t>
            </w:r>
          </w:p>
          <w:p w14:paraId="01CF86D6" w14:textId="77777777" w:rsidR="00593ACB" w:rsidRPr="00593ACB" w:rsidRDefault="00593ACB" w:rsidP="00593ACB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ind w:left="414" w:hanging="357"/>
              <w:rPr>
                <w:color w:val="000000"/>
                <w:szCs w:val="24"/>
              </w:rPr>
            </w:pPr>
            <w:r w:rsidRPr="00593ACB">
              <w:rPr>
                <w:szCs w:val="24"/>
              </w:rPr>
              <w:t xml:space="preserve">Tiekėjo ar gamintojo dokumentus, įrodančius, kad pakuotės yra homogeniškos ir (ar) atitinkamai paženklintos, arba </w:t>
            </w:r>
            <w:r w:rsidRPr="00593ACB">
              <w:rPr>
                <w:color w:val="000000"/>
                <w:szCs w:val="24"/>
              </w:rPr>
              <w:t>yra daugkartinio naudojimo pakuotės (talpos);</w:t>
            </w:r>
          </w:p>
          <w:p w14:paraId="117471DF" w14:textId="77777777" w:rsidR="00593ACB" w:rsidRPr="00593ACB" w:rsidRDefault="00593ACB" w:rsidP="00593ACB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ind w:left="414" w:hanging="357"/>
              <w:rPr>
                <w:noProof/>
                <w:color w:val="000000"/>
                <w:szCs w:val="24"/>
              </w:rPr>
            </w:pPr>
            <w:r w:rsidRPr="00593ACB">
              <w:rPr>
                <w:szCs w:val="24"/>
              </w:rPr>
              <w:t xml:space="preserve">dokumentus, pagrindžiančius atitiktį standartams (pavyzdžiui, sertifikatas, akredituotos laboratorijos tyrimų išduota, tinkamumą perdirbti patvirtinanti ataskaita / pažyma), pagal kuriuos įrodoma, kad pakuočių medžiagos perdirbamos pvz., standartas LST EN 13432 „Pakuotė. Naudotų pakuočių, numatomų kompostuoti ir </w:t>
            </w:r>
            <w:r w:rsidRPr="00593ACB">
              <w:rPr>
                <w:noProof/>
                <w:szCs w:val="24"/>
              </w:rPr>
              <w:t xml:space="preserve">biologiškai skaidyti, reikalavimai.“, standartas Voluntary Standard for Repulping and Recycling </w:t>
            </w:r>
            <w:r w:rsidRPr="00593ACB">
              <w:rPr>
                <w:noProof/>
                <w:szCs w:val="24"/>
              </w:rPr>
              <w:lastRenderedPageBreak/>
              <w:t>Corrugated Fiberboard Treated to Improve Its Performance in the Presence of Water and Water Vapor, standartas RecyClass</w:t>
            </w:r>
            <w:r w:rsidRPr="00593ACB">
              <w:rPr>
                <w:rStyle w:val="Puslapioinaosnuoroda"/>
                <w:noProof/>
                <w:szCs w:val="24"/>
              </w:rPr>
              <w:footnoteReference w:id="1"/>
            </w:r>
            <w:r w:rsidRPr="00593ACB">
              <w:rPr>
                <w:noProof/>
                <w:szCs w:val="24"/>
              </w:rPr>
              <w:t xml:space="preserve"> ar kitas lygiavertis standartas, arba </w:t>
            </w:r>
          </w:p>
          <w:p w14:paraId="3B413F59" w14:textId="77777777" w:rsidR="00593ACB" w:rsidRPr="00593ACB" w:rsidRDefault="00593ACB" w:rsidP="00593ACB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ind w:left="414" w:hanging="357"/>
              <w:rPr>
                <w:color w:val="000000"/>
                <w:szCs w:val="24"/>
              </w:rPr>
            </w:pPr>
            <w:r w:rsidRPr="00593ACB">
              <w:rPr>
                <w:szCs w:val="24"/>
              </w:rPr>
              <w:t>Aplinkos apsaugos agentūros interneto svetainėje (</w:t>
            </w:r>
            <w:hyperlink r:id="rId11" w:history="1">
              <w:r w:rsidRPr="00593ACB">
                <w:rPr>
                  <w:rStyle w:val="Hipersaitas"/>
                  <w:color w:val="0000FF"/>
                  <w:szCs w:val="24"/>
                </w:rPr>
                <w:t>https://aaa.lrv.lt/</w:t>
              </w:r>
            </w:hyperlink>
            <w:r w:rsidRPr="00593ACB">
              <w:rPr>
                <w:szCs w:val="24"/>
              </w:rPr>
              <w:t>) skelbiamame atliekų tvarkytojų, turinčių teisę išrašyti gaminių ir (ar) pakuočių atliekų sutvarkymą įrodančius dokumentus, sąraše</w:t>
            </w:r>
            <w:r w:rsidRPr="00593ACB">
              <w:rPr>
                <w:rStyle w:val="Puslapioinaosnuoroda"/>
                <w:szCs w:val="24"/>
              </w:rPr>
              <w:footnoteReference w:id="2"/>
            </w:r>
            <w:r w:rsidRPr="00593ACB">
              <w:rPr>
                <w:szCs w:val="24"/>
              </w:rPr>
              <w:t xml:space="preserve"> nurodytų atliekų perdirbėjų ar eksportuotojų dokumentai, pagrindžiantys, kad tokios pakuotės, tapusios atliekomis, gali būti perdirbamos, arba </w:t>
            </w:r>
          </w:p>
          <w:p w14:paraId="512800D0" w14:textId="77777777" w:rsidR="00593ACB" w:rsidRPr="00593ACB" w:rsidRDefault="00593ACB" w:rsidP="00593ACB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ind w:left="414" w:hanging="357"/>
              <w:rPr>
                <w:color w:val="000000"/>
                <w:szCs w:val="24"/>
              </w:rPr>
            </w:pPr>
            <w:r w:rsidRPr="00593ACB">
              <w:rPr>
                <w:color w:val="000000"/>
                <w:szCs w:val="24"/>
              </w:rPr>
              <w:t>Tiekėjo ar gamintojo dokumentus, įrodančius, kad pakuotės (talpos) yra daugkartinio naudojimo (pavyzdžiui, pakuotės aprašymo dokumentas, techninis dokumentas), arba</w:t>
            </w:r>
          </w:p>
          <w:p w14:paraId="73FFA04B" w14:textId="06B41058" w:rsidR="00593ACB" w:rsidRPr="00593ACB" w:rsidRDefault="00593ACB" w:rsidP="00593ACB">
            <w:pPr>
              <w:rPr>
                <w:kern w:val="2"/>
                <w:szCs w:val="24"/>
              </w:rPr>
            </w:pPr>
            <w:r w:rsidRPr="00593ACB">
              <w:rPr>
                <w:color w:val="000000"/>
                <w:szCs w:val="24"/>
              </w:rPr>
              <w:t>kitus lygiaverčius įrodymus.</w:t>
            </w:r>
          </w:p>
        </w:tc>
      </w:tr>
      <w:tr w:rsidR="00593ACB" w14:paraId="256DAE69" w14:textId="77777777" w:rsidTr="3D3631AF">
        <w:trPr>
          <w:trHeight w:val="300"/>
        </w:trPr>
        <w:tc>
          <w:tcPr>
            <w:tcW w:w="9535" w:type="dxa"/>
            <w:gridSpan w:val="5"/>
          </w:tcPr>
          <w:p w14:paraId="37A3E3FA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593ACB" w14:paraId="79E7586B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48522B3E" w:rsidR="00593ACB" w:rsidRDefault="00593ACB" w:rsidP="00593ACB">
            <w:pPr>
              <w:rPr>
                <w:color w:val="4472C4"/>
                <w:kern w:val="2"/>
              </w:rPr>
            </w:pPr>
          </w:p>
        </w:tc>
      </w:tr>
      <w:tr w:rsidR="00593ACB" w14:paraId="109F3FAF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593ACB" w:rsidRDefault="00593ACB" w:rsidP="00593AC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593ACB" w:rsidRDefault="00593ACB" w:rsidP="00593AC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93ACB" w14:paraId="4E598B63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593ACB" w:rsidRDefault="00593ACB" w:rsidP="00593ACB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61CA09FB" w:rsidR="00593ACB" w:rsidRDefault="00593ACB" w:rsidP="00593ACB">
            <w:pPr>
              <w:rPr>
                <w:color w:val="FF0000"/>
                <w:kern w:val="2"/>
              </w:rPr>
            </w:pPr>
            <w:r w:rsidRPr="000A7A5F">
              <w:rPr>
                <w:color w:val="000000" w:themeColor="text1"/>
                <w:kern w:val="2"/>
              </w:rPr>
              <w:t>Netaikoma</w:t>
            </w:r>
          </w:p>
        </w:tc>
      </w:tr>
      <w:tr w:rsidR="00593ACB" w14:paraId="5FAF5543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1EEDCBE9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93ACB" w14:paraId="4560B71B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4C7F2950" w14:textId="6CFDA300" w:rsidR="00593ACB" w:rsidRDefault="00593ACB" w:rsidP="00593ACB"/>
        </w:tc>
      </w:tr>
      <w:tr w:rsidR="00593ACB" w14:paraId="6C0C5CB3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 Sutarties kainos / įkainių peržiūra dėl kainų lygio pokyčio</w:t>
            </w:r>
          </w:p>
          <w:p w14:paraId="242E5223" w14:textId="24AF732E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3E0BF6EB" w14:textId="125793E6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312BC1F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449C09AB" w14:textId="65DB6947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75CD94C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081DAEF5" w14:textId="29B28FFB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267E808E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C8D" w14:textId="77777777" w:rsidR="00593ACB" w:rsidRDefault="00593ACB" w:rsidP="00593ACB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Suteiktos prekės įforminamos atitinkamai Prekių</w:t>
            </w:r>
            <w:r w:rsidRPr="008D42DC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perdavimo-priėmimo aktu.</w:t>
            </w:r>
          </w:p>
          <w:p w14:paraId="10F24DC3" w14:textId="35FDF40C" w:rsidR="00593ACB" w:rsidRPr="00B51591" w:rsidRDefault="00593ACB" w:rsidP="00593ACB">
            <w:pPr>
              <w:rPr>
                <w:szCs w:val="24"/>
              </w:rPr>
            </w:pPr>
            <w:r>
              <w:rPr>
                <w:szCs w:val="24"/>
              </w:rPr>
              <w:t xml:space="preserve">Sąskaitą faktūrą </w:t>
            </w:r>
            <w:r w:rsidRPr="00064614">
              <w:rPr>
                <w:szCs w:val="24"/>
              </w:rPr>
              <w:t xml:space="preserve">Tiekėjas </w:t>
            </w:r>
            <w:r>
              <w:rPr>
                <w:szCs w:val="24"/>
              </w:rPr>
              <w:t>Pirkėjui</w:t>
            </w:r>
            <w:r w:rsidRPr="00064614">
              <w:rPr>
                <w:szCs w:val="24"/>
              </w:rPr>
              <w:t xml:space="preserve"> pateikia ne vėliau kaip per </w:t>
            </w:r>
            <w:r>
              <w:rPr>
                <w:rFonts w:eastAsia="Arial Unicode MS"/>
                <w:color w:val="000000" w:themeColor="text1"/>
                <w:szCs w:val="24"/>
                <w:bdr w:val="nil"/>
                <w:lang w:eastAsia="lt-LT"/>
              </w:rPr>
              <w:t>5</w:t>
            </w:r>
            <w:r w:rsidRPr="00C27CCE">
              <w:rPr>
                <w:rFonts w:eastAsia="Arial Unicode MS"/>
                <w:color w:val="000000" w:themeColor="text1"/>
                <w:szCs w:val="24"/>
                <w:bdr w:val="nil"/>
                <w:lang w:eastAsia="lt-LT"/>
              </w:rPr>
              <w:t xml:space="preserve"> kalendorines dienas</w:t>
            </w:r>
            <w:r w:rsidRPr="55F20ECE">
              <w:rPr>
                <w:rFonts w:eastAsia="Arial Unicode MS"/>
                <w:i/>
                <w:iCs/>
                <w:szCs w:val="24"/>
                <w:bdr w:val="nil"/>
                <w:lang w:eastAsia="lt-LT"/>
              </w:rPr>
              <w:t xml:space="preserve"> </w:t>
            </w:r>
            <w:r w:rsidRPr="00064614">
              <w:rPr>
                <w:szCs w:val="24"/>
              </w:rPr>
              <w:t xml:space="preserve">nuo </w:t>
            </w:r>
            <w:r>
              <w:rPr>
                <w:szCs w:val="24"/>
              </w:rPr>
              <w:t>Prekių</w:t>
            </w:r>
            <w:r w:rsidRPr="00064614">
              <w:rPr>
                <w:szCs w:val="24"/>
              </w:rPr>
              <w:t xml:space="preserve"> perdavimo–priėmimo akto pasirašymo dienos</w:t>
            </w:r>
            <w:r>
              <w:rPr>
                <w:szCs w:val="24"/>
              </w:rPr>
              <w:t>.</w:t>
            </w:r>
            <w:r w:rsidRPr="00064614">
              <w:rPr>
                <w:szCs w:val="24"/>
              </w:rPr>
              <w:t xml:space="preserve"> </w:t>
            </w:r>
          </w:p>
          <w:p w14:paraId="2D8ED721" w14:textId="379958D9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D6682">
              <w:rPr>
                <w:kern w:val="2"/>
                <w:szCs w:val="24"/>
              </w:rPr>
              <w:t xml:space="preserve">30 kalendorinių dienų </w:t>
            </w:r>
            <w:r>
              <w:rPr>
                <w:kern w:val="2"/>
                <w:szCs w:val="24"/>
              </w:rPr>
              <w:t xml:space="preserve">nuo Sąskaitos gavimo dienos </w:t>
            </w:r>
            <w:r w:rsidRPr="00064614">
              <w:rPr>
                <w:szCs w:val="24"/>
              </w:rPr>
              <w:t xml:space="preserve">lėšas pervesdamas į </w:t>
            </w:r>
            <w:r>
              <w:rPr>
                <w:szCs w:val="24"/>
              </w:rPr>
              <w:t xml:space="preserve">Tiekėjo </w:t>
            </w:r>
            <w:r w:rsidRPr="00064614">
              <w:rPr>
                <w:szCs w:val="24"/>
              </w:rPr>
              <w:t>banko sąskaitą, nurodytą Sutartyje</w:t>
            </w:r>
            <w:r>
              <w:rPr>
                <w:kern w:val="2"/>
                <w:szCs w:val="24"/>
              </w:rPr>
              <w:t>.</w:t>
            </w:r>
          </w:p>
          <w:p w14:paraId="5BDFE28E" w14:textId="04107D16" w:rsidR="00593ACB" w:rsidRDefault="00593ACB" w:rsidP="00593AC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431D3DDA" w14:textId="53DAAC89" w:rsidR="00593ACB" w:rsidRPr="00E62579" w:rsidRDefault="00593ACB" w:rsidP="00593ACB">
            <w:pPr>
              <w:pStyle w:val="Sraopastraipa"/>
              <w:numPr>
                <w:ilvl w:val="0"/>
                <w:numId w:val="1"/>
              </w:numPr>
              <w:rPr>
                <w:kern w:val="2"/>
                <w:szCs w:val="24"/>
                <w:shd w:val="clear" w:color="auto" w:fill="FFFFFF"/>
              </w:rPr>
            </w:pPr>
            <w:r w:rsidRPr="00E62579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  <w:p w14:paraId="04C22127" w14:textId="4C8557C3" w:rsidR="00593ACB" w:rsidRPr="00BB77AD" w:rsidRDefault="00593ACB" w:rsidP="00593ACB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</w:tc>
      </w:tr>
      <w:tr w:rsidR="00593ACB" w14:paraId="235F5A3F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0EE180D6" w:rsidR="00593ACB" w:rsidRPr="00037A88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93ACB" w14:paraId="0986FD70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1AEF798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93ACB" w14:paraId="397E6A62" w14:textId="77777777" w:rsidTr="3D3631AF">
        <w:trPr>
          <w:trHeight w:val="300"/>
        </w:trPr>
        <w:tc>
          <w:tcPr>
            <w:tcW w:w="9535" w:type="dxa"/>
            <w:gridSpan w:val="5"/>
          </w:tcPr>
          <w:p w14:paraId="1AB554AE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593ACB" w14:paraId="193F6F52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CE4133A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AD6682">
              <w:rPr>
                <w:kern w:val="2"/>
                <w:szCs w:val="24"/>
              </w:rPr>
              <w:t>Techninėje specifikacijoje nustatytas</w:t>
            </w:r>
            <w:r w:rsidRPr="00AD6682"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kuris yra ne mažiau kaip 36 mėn. Garantinis terminas, skaičiuojamas nuo Prekių perdavimo–priėmimo akto pasirašymo dienos.</w:t>
            </w:r>
          </w:p>
        </w:tc>
      </w:tr>
      <w:tr w:rsidR="00593ACB" w14:paraId="7C487E9B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228BD8A7" w:rsidR="00593ACB" w:rsidRDefault="00593ACB" w:rsidP="00593ACB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5846D5">
              <w:t xml:space="preserve">per 1 d. d. </w:t>
            </w:r>
            <w:r>
              <w:t>nuo rašytinės pretenzijos gavimo dienos pašalinti Prekių trūkumus.</w:t>
            </w:r>
          </w:p>
          <w:p w14:paraId="2776FB26" w14:textId="471EFC59" w:rsidR="00593ACB" w:rsidRPr="007B5FAC" w:rsidRDefault="00593ACB" w:rsidP="00593ACB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12 mėn. nuo prekių sumontavimo</w:t>
            </w:r>
            <w:r w:rsidRPr="00A247C6">
              <w:rPr>
                <w:szCs w:val="24"/>
                <w:lang w:eastAsia="lt-LT"/>
              </w:rPr>
              <w:t xml:space="preserve"> turi būti galimybė atsisiųsti klaidų ištaisymus ir atnaujinti programinę įrangą.</w:t>
            </w:r>
          </w:p>
          <w:p w14:paraId="66139E32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19A8D037" w14:textId="62DFCBFC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459ADC5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21B21F58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580A95" w14:textId="08B49F08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5D562E8D" w14:textId="77777777" w:rsidTr="3D3631AF">
        <w:trPr>
          <w:trHeight w:val="300"/>
        </w:trPr>
        <w:tc>
          <w:tcPr>
            <w:tcW w:w="9535" w:type="dxa"/>
            <w:gridSpan w:val="5"/>
          </w:tcPr>
          <w:p w14:paraId="6103796D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593ACB" w14:paraId="3110BF2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40A" w14:textId="77777777" w:rsidR="002A5230" w:rsidRDefault="002A5230" w:rsidP="002A52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1CC0CE8" w14:textId="77777777" w:rsidR="002A5230" w:rsidRDefault="002A5230" w:rsidP="002A5230">
            <w:pPr>
              <w:rPr>
                <w:kern w:val="2"/>
                <w:szCs w:val="24"/>
              </w:rPr>
            </w:pPr>
          </w:p>
          <w:p w14:paraId="3C1801FD" w14:textId="77777777" w:rsidR="002A5230" w:rsidRDefault="002A5230" w:rsidP="002A5230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FEE8FDD" w14:textId="77777777" w:rsidR="002A5230" w:rsidRDefault="002A5230" w:rsidP="00593ACB">
            <w:pPr>
              <w:rPr>
                <w:kern w:val="2"/>
                <w:szCs w:val="24"/>
              </w:rPr>
            </w:pPr>
          </w:p>
          <w:p w14:paraId="5CFEABC6" w14:textId="04C6F696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[2]</w:t>
            </w:r>
            <w:r>
              <w:rPr>
                <w:kern w:val="2"/>
                <w:szCs w:val="24"/>
              </w:rPr>
              <w:t xml:space="preserve"> „Pasiūlymas“.</w:t>
            </w:r>
          </w:p>
        </w:tc>
      </w:tr>
      <w:tr w:rsidR="00593ACB" w14:paraId="0E57F611" w14:textId="77777777" w:rsidTr="3D3631AF">
        <w:trPr>
          <w:trHeight w:val="300"/>
        </w:trPr>
        <w:tc>
          <w:tcPr>
            <w:tcW w:w="9535" w:type="dxa"/>
            <w:gridSpan w:val="5"/>
          </w:tcPr>
          <w:p w14:paraId="6A81BDB7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593ACB" w14:paraId="5F1C889E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4AA6F6E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07C8928A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  <w:p w14:paraId="544E68EF" w14:textId="22C201B7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5707061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4720F941" w14:textId="253FA7E3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0C2A7468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2BA083C9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198AFEE0" w14:textId="77777777" w:rsidTr="3D3631AF">
        <w:trPr>
          <w:trHeight w:val="300"/>
        </w:trPr>
        <w:tc>
          <w:tcPr>
            <w:tcW w:w="9535" w:type="dxa"/>
            <w:gridSpan w:val="5"/>
          </w:tcPr>
          <w:p w14:paraId="53C07666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93ACB" w14:paraId="0C76AE4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21D8F89A" w:rsidR="00593ACB" w:rsidRPr="005A152B" w:rsidRDefault="00593ACB" w:rsidP="00593ACB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44033A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44033A">
              <w:rPr>
                <w:kern w:val="2"/>
                <w:szCs w:val="24"/>
              </w:rPr>
              <w:t>dieną.</w:t>
            </w:r>
          </w:p>
        </w:tc>
      </w:tr>
      <w:tr w:rsidR="00593ACB" w14:paraId="66B563D2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ADDE022" w:rsidR="00593ACB" w:rsidRDefault="00593ACB" w:rsidP="00593ACB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1F2010">
              <w:rPr>
                <w:kern w:val="2"/>
              </w:rPr>
              <w:t xml:space="preserve">0,2 (dvi dešimtosios) procento 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0213DE74" w:rsidR="00593ACB" w:rsidRDefault="00593ACB" w:rsidP="00593AC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1F2010">
              <w:rPr>
                <w:szCs w:val="24"/>
                <w:lang w:val="lt"/>
              </w:rPr>
              <w:t xml:space="preserve">0,02 (dvi šimtosios) procento dydžio delspinigius už kiekvieną uždelstą 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696E49C0" w:rsidR="00593ACB" w:rsidRDefault="00593ACB" w:rsidP="00593ACB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Pr="00F521CE">
              <w:rPr>
                <w:kern w:val="2"/>
              </w:rPr>
              <w:t xml:space="preserve">30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593ACB" w14:paraId="6CD13A4C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1F4620A" w:rsidR="00593ACB" w:rsidRDefault="00593ACB" w:rsidP="00593ACB">
            <w:r w:rsidRPr="3D3631AF">
              <w:rPr>
                <w:kern w:val="2"/>
              </w:rPr>
              <w:t xml:space="preserve">9.3.1. Nutraukus Sutartį dėl esminio Sutarties pažeidimo, nustatyto Sutarties Specialiosiose sąlygose, mokama </w:t>
            </w:r>
            <w:r w:rsidRPr="00F521CE">
              <w:rPr>
                <w:kern w:val="2"/>
              </w:rPr>
              <w:t>5 (penkių) procentų</w:t>
            </w:r>
            <w:r w:rsidRPr="00F521CE">
              <w:rPr>
                <w:kern w:val="2"/>
                <w:szCs w:val="24"/>
              </w:rPr>
              <w:t xml:space="preserve"> </w:t>
            </w:r>
            <w:r w:rsidRPr="3D3631AF">
              <w:rPr>
                <w:kern w:val="2"/>
              </w:rPr>
              <w:t xml:space="preserve">dydžio bauda nuo Pradinės Sutarties vertės be PVM, nurodytos Specialiųjų sąlygų 5.2 punkte. </w:t>
            </w:r>
          </w:p>
          <w:p w14:paraId="48292084" w14:textId="586AFD66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539B299E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593ACB" w:rsidRDefault="00593ACB" w:rsidP="00593AC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01953191" w14:textId="77777777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3086B7F9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2A8378BB" w:rsidR="00593ACB" w:rsidRDefault="00593ACB" w:rsidP="00593AC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Mokama 100 (šimto) eurų dydžio bauda.</w:t>
            </w:r>
          </w:p>
          <w:p w14:paraId="51875821" w14:textId="77777777" w:rsidR="00593ACB" w:rsidRDefault="00593ACB" w:rsidP="00593ACB">
            <w:pPr>
              <w:rPr>
                <w:kern w:val="2"/>
                <w:szCs w:val="24"/>
              </w:rPr>
            </w:pPr>
          </w:p>
          <w:p w14:paraId="69B3C483" w14:textId="7161CE95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3F603DB5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E9A" w14:textId="77777777" w:rsidR="00593ACB" w:rsidRPr="008D42DC" w:rsidRDefault="00593ACB" w:rsidP="00593ACB">
            <w:pPr>
              <w:rPr>
                <w:szCs w:val="24"/>
              </w:rPr>
            </w:pPr>
            <w:r w:rsidRPr="008D42DC">
              <w:rPr>
                <w:kern w:val="2"/>
                <w:szCs w:val="24"/>
              </w:rPr>
              <w:t xml:space="preserve">Mokama 10 (dešimties) procentų dydžio bauda nuo </w:t>
            </w:r>
            <w:r>
              <w:rPr>
                <w:kern w:val="2"/>
                <w:szCs w:val="24"/>
              </w:rPr>
              <w:t>Sutarties kainos</w:t>
            </w:r>
            <w:r w:rsidRPr="008D42DC">
              <w:rPr>
                <w:kern w:val="2"/>
                <w:szCs w:val="24"/>
              </w:rPr>
              <w:t>, nurodytos Specialiųjų sąlygų 5.2 punkte.</w:t>
            </w:r>
          </w:p>
          <w:p w14:paraId="271A84AA" w14:textId="7653CE59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614E4634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593ACB" w:rsidRDefault="00593ACB" w:rsidP="00593AC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34D25F0" w:rsidR="00593ACB" w:rsidRDefault="00593ACB" w:rsidP="00593AC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7025F932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11D432F4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  <w:p w14:paraId="29DCAC8C" w14:textId="75D76408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57850F0C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07D" w14:textId="77777777" w:rsidR="00593ACB" w:rsidRPr="008D42DC" w:rsidRDefault="00593ACB" w:rsidP="00593ACB">
            <w:pPr>
              <w:rPr>
                <w:szCs w:val="24"/>
              </w:rPr>
            </w:pPr>
            <w:r w:rsidRPr="008D42DC">
              <w:rPr>
                <w:kern w:val="2"/>
                <w:szCs w:val="24"/>
              </w:rPr>
              <w:t xml:space="preserve">Mokama 10 (dešimties) procentų dydžio bauda nuo </w:t>
            </w:r>
            <w:r>
              <w:rPr>
                <w:kern w:val="2"/>
                <w:szCs w:val="24"/>
              </w:rPr>
              <w:t>Sutarties kainos</w:t>
            </w:r>
            <w:r w:rsidRPr="008D42DC">
              <w:rPr>
                <w:kern w:val="2"/>
                <w:szCs w:val="24"/>
              </w:rPr>
              <w:t>, nurodytos Specialiųjų sąlygų 5.2 punkte.</w:t>
            </w:r>
          </w:p>
          <w:p w14:paraId="7272DE9D" w14:textId="77777777" w:rsidR="00593ACB" w:rsidRDefault="00593ACB" w:rsidP="00593ACB">
            <w:pPr>
              <w:rPr>
                <w:sz w:val="14"/>
                <w:szCs w:val="14"/>
              </w:rPr>
            </w:pPr>
          </w:p>
          <w:p w14:paraId="3BD32F43" w14:textId="77777777" w:rsidR="00593ACB" w:rsidRDefault="00593ACB" w:rsidP="00593AC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593ACB" w:rsidRDefault="00593ACB" w:rsidP="00593ACB">
            <w:pPr>
              <w:rPr>
                <w:sz w:val="14"/>
                <w:szCs w:val="14"/>
              </w:rPr>
            </w:pPr>
          </w:p>
          <w:p w14:paraId="49FF058F" w14:textId="77777777" w:rsidR="00593ACB" w:rsidRDefault="00593ACB" w:rsidP="00593ACB">
            <w:pPr>
              <w:rPr>
                <w:color w:val="4472C4"/>
                <w:kern w:val="2"/>
                <w:szCs w:val="24"/>
              </w:rPr>
            </w:pPr>
          </w:p>
        </w:tc>
      </w:tr>
      <w:tr w:rsidR="00593ACB" w14:paraId="40E1CD30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EA9F684" w:rsidR="00593ACB" w:rsidRPr="00C56EE0" w:rsidRDefault="00593ACB" w:rsidP="00593ACB">
            <w:pPr>
              <w:rPr>
                <w:color w:val="000000" w:themeColor="text1"/>
                <w:kern w:val="2"/>
                <w:szCs w:val="24"/>
              </w:rPr>
            </w:pPr>
            <w:r w:rsidRPr="00C56EE0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93ACB" w14:paraId="0126462E" w14:textId="77777777" w:rsidTr="3D3631AF">
        <w:trPr>
          <w:trHeight w:val="300"/>
        </w:trPr>
        <w:tc>
          <w:tcPr>
            <w:tcW w:w="9535" w:type="dxa"/>
            <w:gridSpan w:val="5"/>
          </w:tcPr>
          <w:p w14:paraId="318973A5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93ACB" w14:paraId="4D59E15A" w14:textId="77777777" w:rsidTr="3D3631AF">
        <w:trPr>
          <w:trHeight w:val="300"/>
        </w:trPr>
        <w:tc>
          <w:tcPr>
            <w:tcW w:w="2707" w:type="dxa"/>
            <w:gridSpan w:val="3"/>
          </w:tcPr>
          <w:p w14:paraId="345EFFE5" w14:textId="77777777" w:rsidR="00593ACB" w:rsidRDefault="00593ACB" w:rsidP="00593AC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  <w:p w14:paraId="3657475F" w14:textId="252453B8" w:rsidR="00593ACB" w:rsidRDefault="00593ACB" w:rsidP="00593AC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593ACB" w14:paraId="0F5458CF" w14:textId="77777777" w:rsidTr="3D3631AF">
        <w:trPr>
          <w:trHeight w:val="300"/>
        </w:trPr>
        <w:tc>
          <w:tcPr>
            <w:tcW w:w="2700" w:type="dxa"/>
            <w:gridSpan w:val="2"/>
          </w:tcPr>
          <w:p w14:paraId="0C270B5F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75DDC70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0CA01F4F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70836C3F" w14:textId="77777777" w:rsidTr="3D3631AF">
        <w:trPr>
          <w:trHeight w:val="300"/>
        </w:trPr>
        <w:tc>
          <w:tcPr>
            <w:tcW w:w="9535" w:type="dxa"/>
            <w:gridSpan w:val="5"/>
          </w:tcPr>
          <w:p w14:paraId="31DFC488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593ACB" w14:paraId="1E6FEC14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23FBEB94" w:rsidR="00593ACB" w:rsidRDefault="00593ACB" w:rsidP="00593ACB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60 darbo dienų). </w:t>
            </w:r>
          </w:p>
        </w:tc>
      </w:tr>
      <w:tr w:rsidR="00593ACB" w14:paraId="6568EF21" w14:textId="77777777" w:rsidTr="3D3631AF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4A1F6F53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0284242D" w14:textId="77777777" w:rsidTr="3D3631AF">
        <w:trPr>
          <w:trHeight w:val="300"/>
        </w:trPr>
        <w:tc>
          <w:tcPr>
            <w:tcW w:w="9535" w:type="dxa"/>
            <w:gridSpan w:val="5"/>
          </w:tcPr>
          <w:p w14:paraId="05AABF93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593ACB" w14:paraId="02CDEAC4" w14:textId="77777777" w:rsidTr="3D3631AF">
        <w:trPr>
          <w:trHeight w:val="300"/>
        </w:trPr>
        <w:tc>
          <w:tcPr>
            <w:tcW w:w="2532" w:type="dxa"/>
          </w:tcPr>
          <w:p w14:paraId="226C878D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0A28ACD6" w:rsidR="00593ACB" w:rsidRPr="00350B79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93ACB" w14:paraId="69CB11D9" w14:textId="77777777" w:rsidTr="3D3631AF">
        <w:trPr>
          <w:trHeight w:val="300"/>
        </w:trPr>
        <w:tc>
          <w:tcPr>
            <w:tcW w:w="2532" w:type="dxa"/>
          </w:tcPr>
          <w:p w14:paraId="30B41D12" w14:textId="77777777" w:rsidR="00593ACB" w:rsidRPr="00590516" w:rsidRDefault="00593ACB" w:rsidP="00593ACB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590516">
              <w:rPr>
                <w:b/>
                <w:bCs/>
                <w:color w:val="000000" w:themeColor="text1"/>
                <w:kern w:val="2"/>
                <w:szCs w:val="24"/>
              </w:rPr>
              <w:t>12.2. Esminiai Sutarties pažeidimai</w:t>
            </w:r>
          </w:p>
          <w:p w14:paraId="08CC1A68" w14:textId="77777777" w:rsidR="00593ACB" w:rsidRPr="00590516" w:rsidRDefault="00593ACB" w:rsidP="00593ACB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66AC629A" w:rsidR="00593ACB" w:rsidRPr="00590516" w:rsidRDefault="00593ACB" w:rsidP="00593ACB">
            <w:pPr>
              <w:rPr>
                <w:color w:val="000000" w:themeColor="text1"/>
                <w:kern w:val="2"/>
                <w:szCs w:val="24"/>
              </w:rPr>
            </w:pPr>
            <w:r w:rsidRPr="00590516">
              <w:rPr>
                <w:color w:val="000000" w:themeColor="text1"/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378F2930" w:rsidR="00593ACB" w:rsidRPr="00590516" w:rsidRDefault="00593ACB" w:rsidP="00593AC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590516">
              <w:rPr>
                <w:rFonts w:eastAsia="Arial"/>
                <w:color w:val="000000" w:themeColor="text1"/>
                <w:kern w:val="2"/>
                <w:szCs w:val="24"/>
              </w:rPr>
              <w:t>12.2.2. Tiekėjas pažeidžia Prekių pristatymo terminus ir dėl Prekių pristatymo vėlavimo Prekės tampa nebereikalingos;</w:t>
            </w:r>
          </w:p>
          <w:p w14:paraId="3A467226" w14:textId="515A74B9" w:rsidR="00593ACB" w:rsidRPr="00590516" w:rsidRDefault="00593ACB" w:rsidP="00593AC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590516">
              <w:rPr>
                <w:rFonts w:eastAsia="Arial"/>
                <w:color w:val="000000" w:themeColor="text1"/>
                <w:kern w:val="2"/>
                <w:szCs w:val="24"/>
              </w:rPr>
              <w:t>12.2.3. Tiekėjas daugiau kaip 2 (du) kartus pristato Prekes, kurios neatitinka Sutartyje ir (ar) Įstatymuose nustatytų reikalavimų Prekėms;</w:t>
            </w:r>
          </w:p>
          <w:p w14:paraId="03DDA9E3" w14:textId="17A9071D" w:rsidR="00593ACB" w:rsidRPr="00590516" w:rsidRDefault="00593ACB" w:rsidP="00593AC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590516">
              <w:rPr>
                <w:rFonts w:eastAsia="Arial"/>
                <w:color w:val="000000" w:themeColor="text1"/>
                <w:kern w:val="2"/>
                <w:szCs w:val="24"/>
              </w:rPr>
              <w:t>12.2.4. Tiekėjas pažeidžia šios Sutarties nuostatas, reglamentuojančias konkurenciją, intelektinės nuosavybės ar konfidencialios informacijos valdymą.</w:t>
            </w:r>
          </w:p>
        </w:tc>
      </w:tr>
      <w:tr w:rsidR="00593ACB" w14:paraId="66C5FB47" w14:textId="77777777" w:rsidTr="3D3631AF">
        <w:trPr>
          <w:trHeight w:val="300"/>
        </w:trPr>
        <w:tc>
          <w:tcPr>
            <w:tcW w:w="9535" w:type="dxa"/>
            <w:gridSpan w:val="5"/>
          </w:tcPr>
          <w:p w14:paraId="2E78AE5D" w14:textId="77777777" w:rsidR="00593ACB" w:rsidRDefault="00593ACB" w:rsidP="00593AC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593ACB" w14:paraId="2A940830" w14:textId="77777777" w:rsidTr="3D3631AF">
        <w:trPr>
          <w:trHeight w:val="300"/>
        </w:trPr>
        <w:tc>
          <w:tcPr>
            <w:tcW w:w="2532" w:type="dxa"/>
          </w:tcPr>
          <w:p w14:paraId="5445B64C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6A2F4A02" w14:textId="77777777" w:rsidR="00593ACB" w:rsidRPr="00B476C6" w:rsidRDefault="00593ACB" w:rsidP="00593ACB">
            <w:pPr>
              <w:rPr>
                <w:color w:val="000000" w:themeColor="text1"/>
                <w:szCs w:val="24"/>
              </w:rPr>
            </w:pPr>
            <w:r w:rsidRPr="00B476C6">
              <w:rPr>
                <w:color w:val="000000" w:themeColor="text1"/>
                <w:szCs w:val="24"/>
              </w:rPr>
              <w:t>Pirkimas yra laikomas žaliuoju pirkimu pagal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patvirtinimo, (toliau – Tvarkos aprašas) 4.4.4.1. papunktį.</w:t>
            </w:r>
          </w:p>
          <w:tbl>
            <w:tblPr>
              <w:tblStyle w:val="Lentelstinklelis"/>
              <w:tblW w:w="5000" w:type="pct"/>
              <w:tblLook w:val="04A0" w:firstRow="1" w:lastRow="0" w:firstColumn="1" w:lastColumn="0" w:noHBand="0" w:noVBand="1"/>
            </w:tblPr>
            <w:tblGrid>
              <w:gridCol w:w="6777"/>
            </w:tblGrid>
            <w:tr w:rsidR="00593ACB" w:rsidRPr="00B476C6" w14:paraId="50F50549" w14:textId="77777777" w:rsidTr="007C2CF2">
              <w:tc>
                <w:tcPr>
                  <w:tcW w:w="2905" w:type="pct"/>
                </w:tcPr>
                <w:p w14:paraId="09F50AD4" w14:textId="77777777" w:rsidR="00593ACB" w:rsidRPr="00B476C6" w:rsidRDefault="00593ACB" w:rsidP="00593ACB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lt-LT"/>
                    </w:rPr>
                  </w:pPr>
                  <w:r w:rsidRPr="00B476C6">
                    <w:rPr>
                      <w:rStyle w:val="cf01"/>
                      <w:rFonts w:ascii="Times New Roman" w:eastAsiaTheme="majorEastAsia" w:hAnsi="Times New Roman" w:cs="Times New Roman"/>
                      <w:i w:val="0"/>
                      <w:iCs w:val="0"/>
                      <w:noProof/>
                      <w:sz w:val="24"/>
                      <w:szCs w:val="24"/>
                      <w:lang w:val="lt-LT"/>
                    </w:rPr>
                    <w:t>Pirminė, antrinė ir tretinė Prekių pakuotės (atsižvelgiant į tai, kurios (-ių) pakuotės (-čių) kategoriją (-as) Tiekėjas naudoja tiekdamas ar perduodamas Prekes</w:t>
                  </w:r>
                  <w:r w:rsidRPr="00B476C6">
                    <w:rPr>
                      <w:rStyle w:val="cf01"/>
                      <w:rFonts w:ascii="Times New Roman" w:eastAsiaTheme="majorEastAsia" w:hAnsi="Times New Roman" w:cs="Times New Roman"/>
                      <w:i w:val="0"/>
                      <w:iCs w:val="0"/>
                      <w:sz w:val="24"/>
                      <w:szCs w:val="24"/>
                      <w:lang w:val="lt-LT"/>
                    </w:rPr>
                    <w:t xml:space="preserve"> Pirkėjui), turi būti laikytinos perdirbamosiomis pakuotėmis pagal Lietuvos Respublikos mokesčio už aplinkos teršimą įstatymo nuostatas ir (ar) turi būti vienalytės (homogeniškos) pakuotės, pagamintos iš vienos rūšies </w:t>
                  </w:r>
                  <w:r w:rsidRPr="00B476C6">
                    <w:rPr>
                      <w:rFonts w:ascii="Times New Roman" w:eastAsiaTheme="majorEastAsia" w:hAnsi="Times New Roman" w:cs="Times New Roman"/>
                      <w:i/>
                      <w:iCs/>
                      <w:sz w:val="24"/>
                      <w:szCs w:val="24"/>
                      <w:lang w:val="lt-LT"/>
                    </w:rPr>
                    <w:t>medžiagos</w:t>
                  </w:r>
                  <w:r w:rsidRPr="00B476C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lt-LT"/>
                    </w:rPr>
                    <w:t>:</w:t>
                  </w:r>
                </w:p>
                <w:tbl>
                  <w:tblPr>
                    <w:tblW w:w="496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5"/>
                    <w:gridCol w:w="2646"/>
                    <w:gridCol w:w="3240"/>
                  </w:tblGrid>
                  <w:tr w:rsidR="00593ACB" w:rsidRPr="00B476C6" w14:paraId="3FFF2667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8AD2E93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Eil. Nr.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6E082C9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Pakuotės medžiaga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E063A81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Ženklinimas</w:t>
                        </w:r>
                      </w:p>
                    </w:tc>
                  </w:tr>
                  <w:tr w:rsidR="00593ACB" w:rsidRPr="00B476C6" w14:paraId="4CB94322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A71187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1.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FC40E9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Stiklas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F7027F2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GL (arba GL nuo 70 iki 79)</w:t>
                        </w:r>
                      </w:p>
                    </w:tc>
                  </w:tr>
                  <w:tr w:rsidR="00593ACB" w:rsidRPr="00B476C6" w14:paraId="44D147FD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514F7B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2.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C63239D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Metalas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259F050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 xml:space="preserve">FE (arba FE 40), </w:t>
                        </w:r>
                      </w:p>
                      <w:p w14:paraId="6F650254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ALU (arba ALU 41)</w:t>
                        </w:r>
                      </w:p>
                      <w:p w14:paraId="1117457B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Nuo 42 iki 49</w:t>
                        </w:r>
                      </w:p>
                    </w:tc>
                  </w:tr>
                  <w:tr w:rsidR="00593ACB" w:rsidRPr="00B476C6" w14:paraId="7EFE72BF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BC3999E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3.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9E8FAAC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Popierius ar kartonas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9E55BC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PAP (arba PAP nuo 20 iki 39)</w:t>
                        </w:r>
                      </w:p>
                    </w:tc>
                  </w:tr>
                  <w:tr w:rsidR="00593ACB" w:rsidRPr="00B476C6" w14:paraId="6DE92C02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28515F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4.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6A80230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Medis ar kamštinė medžiaga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668CF6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FOR (arba FOR nuo 50 iki 59)</w:t>
                        </w:r>
                      </w:p>
                    </w:tc>
                  </w:tr>
                  <w:tr w:rsidR="00593ACB" w:rsidRPr="00B476C6" w14:paraId="5992B447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54A2C29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5.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98CD5DF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Medvilnė ar džiutas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AF58F9A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TEX (arba TEX nuo 60 iki 69)</w:t>
                        </w:r>
                      </w:p>
                    </w:tc>
                  </w:tr>
                  <w:tr w:rsidR="00593ACB" w:rsidRPr="00B476C6" w14:paraId="4E1DD87B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C1ADD82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6.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DB0BCA3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Polietilentereftalatas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0418F28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PET arba PET 1</w:t>
                        </w:r>
                      </w:p>
                    </w:tc>
                  </w:tr>
                  <w:tr w:rsidR="00593ACB" w:rsidRPr="00B476C6" w14:paraId="6ECDC9D4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A06D68D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7.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361C055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Aukšto tankumo polietilenas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81C3FF0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HDPE (arba HDPE 2)</w:t>
                        </w:r>
                      </w:p>
                    </w:tc>
                  </w:tr>
                  <w:tr w:rsidR="00593ACB" w:rsidRPr="00B476C6" w14:paraId="03C6F417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7C4BCBB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1892F60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Polivinilchloridas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6EB1666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PVC (arba PVC 3)</w:t>
                        </w:r>
                      </w:p>
                    </w:tc>
                  </w:tr>
                  <w:tr w:rsidR="00593ACB" w:rsidRPr="00B476C6" w14:paraId="19CD6417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28EDBB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9.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D8F5335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Žemo tankumo polietilenas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E77ED0A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LDPE (arba LDPE 4)</w:t>
                        </w:r>
                      </w:p>
                    </w:tc>
                  </w:tr>
                  <w:tr w:rsidR="00593ACB" w:rsidRPr="00B476C6" w14:paraId="451ECB82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7857675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10.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61E57DF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Polipropilenas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51DD91B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PP (arba PP 5)</w:t>
                        </w:r>
                      </w:p>
                    </w:tc>
                  </w:tr>
                  <w:tr w:rsidR="00593ACB" w:rsidRPr="00B476C6" w14:paraId="76A0C43E" w14:textId="77777777" w:rsidTr="007C2CF2">
                    <w:tc>
                      <w:tcPr>
                        <w:tcW w:w="473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97206E1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11.</w:t>
                        </w:r>
                      </w:p>
                    </w:tc>
                    <w:tc>
                      <w:tcPr>
                        <w:tcW w:w="2035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67EB89C" w14:textId="77777777" w:rsidR="00593ACB" w:rsidRPr="00B476C6" w:rsidRDefault="00593ACB" w:rsidP="00593ACB">
                        <w:pPr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noProof/>
                            <w:kern w:val="2"/>
                            <w:szCs w:val="24"/>
                            <w:shd w:val="clear" w:color="auto" w:fill="FFFFFF"/>
                          </w:rPr>
                          <w:t>Polistirenas</w:t>
                        </w:r>
                      </w:p>
                    </w:tc>
                    <w:tc>
                      <w:tcPr>
                        <w:tcW w:w="2492" w:type="pc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67D0E77" w14:textId="77777777" w:rsidR="00593ACB" w:rsidRPr="00B476C6" w:rsidRDefault="00593ACB" w:rsidP="00593ACB">
                        <w:pPr>
                          <w:rPr>
                            <w:kern w:val="2"/>
                            <w:szCs w:val="24"/>
                            <w:shd w:val="clear" w:color="auto" w:fill="FFFFFF"/>
                          </w:rPr>
                        </w:pPr>
                        <w:r w:rsidRPr="00B476C6">
                          <w:rPr>
                            <w:kern w:val="2"/>
                            <w:szCs w:val="24"/>
                            <w:shd w:val="clear" w:color="auto" w:fill="FFFFFF"/>
                          </w:rPr>
                          <w:t>PS (arba PS 6)</w:t>
                        </w:r>
                      </w:p>
                    </w:tc>
                  </w:tr>
                </w:tbl>
                <w:p w14:paraId="109576A3" w14:textId="77777777" w:rsidR="00593ACB" w:rsidRPr="00644B3D" w:rsidRDefault="00593ACB" w:rsidP="00593ACB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  <w:lang w:val="lt-LT"/>
                    </w:rPr>
                  </w:pPr>
                  <w:r w:rsidRPr="00644B3D">
                    <w:rPr>
                      <w:rStyle w:val="cf01"/>
                      <w:rFonts w:ascii="Times New Roman" w:eastAsiaTheme="majorEastAsia" w:hAnsi="Times New Roman" w:cs="Times New Roman"/>
                      <w:i w:val="0"/>
                      <w:iCs w:val="0"/>
                      <w:sz w:val="24"/>
                      <w:szCs w:val="24"/>
                      <w:lang w:val="lt-LT"/>
                    </w:rPr>
                    <w:t>arba turi būti naudojamos daugkartinio naudojimo pakuotės (talpos).</w:t>
                  </w:r>
                </w:p>
              </w:tc>
            </w:tr>
          </w:tbl>
          <w:p w14:paraId="4B6631DF" w14:textId="57C4D49B" w:rsidR="00593ACB" w:rsidRPr="00B476C6" w:rsidRDefault="00593ACB" w:rsidP="00593AC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93ACB" w14:paraId="032072CC" w14:textId="77777777" w:rsidTr="3D3631AF">
        <w:trPr>
          <w:trHeight w:val="300"/>
        </w:trPr>
        <w:tc>
          <w:tcPr>
            <w:tcW w:w="2532" w:type="dxa"/>
          </w:tcPr>
          <w:p w14:paraId="0C0ADA8E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593ACB" w:rsidRDefault="00593ACB" w:rsidP="00593AC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593ACB" w:rsidRDefault="00593ACB" w:rsidP="00593AC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5584D2FD" w:rsidR="00593ACB" w:rsidRDefault="00593ACB" w:rsidP="00593ACB">
            <w:pPr>
              <w:rPr>
                <w:color w:val="0070C0"/>
                <w:kern w:val="2"/>
                <w:szCs w:val="24"/>
              </w:rPr>
            </w:pPr>
          </w:p>
        </w:tc>
      </w:tr>
      <w:tr w:rsidR="00593ACB" w14:paraId="07F0FFD0" w14:textId="77777777" w:rsidTr="3D3631AF">
        <w:trPr>
          <w:trHeight w:val="300"/>
        </w:trPr>
        <w:tc>
          <w:tcPr>
            <w:tcW w:w="9535" w:type="dxa"/>
            <w:gridSpan w:val="5"/>
          </w:tcPr>
          <w:p w14:paraId="0EE0B189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593ACB" w:rsidRDefault="00593ACB" w:rsidP="00593AC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93ACB" w14:paraId="6259D831" w14:textId="77777777" w:rsidTr="3D3631AF">
        <w:trPr>
          <w:trHeight w:val="300"/>
        </w:trPr>
        <w:tc>
          <w:tcPr>
            <w:tcW w:w="2532" w:type="dxa"/>
          </w:tcPr>
          <w:p w14:paraId="43927719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1CD40851" w14:textId="77777777" w:rsidR="00593ACB" w:rsidRDefault="00593ACB" w:rsidP="00593ACB">
            <w:pPr>
              <w:rPr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Pr="004E0787">
              <w:rPr>
                <w:i/>
                <w:iCs/>
                <w:kern w:val="2"/>
                <w:szCs w:val="24"/>
              </w:rPr>
              <w:t>netaikoma</w:t>
            </w:r>
            <w:r w:rsidRPr="00C06EB0">
              <w:rPr>
                <w:kern w:val="2"/>
                <w:szCs w:val="24"/>
              </w:rPr>
              <w:t>.</w:t>
            </w:r>
          </w:p>
          <w:p w14:paraId="612BA4B0" w14:textId="362DFB4B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6B254F73" w14:textId="77777777" w:rsidTr="3D3631AF">
        <w:trPr>
          <w:trHeight w:val="300"/>
        </w:trPr>
        <w:tc>
          <w:tcPr>
            <w:tcW w:w="2532" w:type="dxa"/>
          </w:tcPr>
          <w:p w14:paraId="2BC7AAFD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533698C1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</w:p>
          <w:p w14:paraId="708F181A" w14:textId="77777777" w:rsidR="00593ACB" w:rsidRPr="00C06EB0" w:rsidRDefault="00593ACB" w:rsidP="00593ACB">
            <w:pPr>
              <w:rPr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>14.2.1. Sutarties Bendrosios sąlygos papildomos nauju 15</w:t>
            </w:r>
            <w:r w:rsidRPr="00C06EB0">
              <w:rPr>
                <w:kern w:val="2"/>
                <w:szCs w:val="24"/>
                <w:vertAlign w:val="superscript"/>
              </w:rPr>
              <w:t>1</w:t>
            </w:r>
            <w:r w:rsidRPr="00C06EB0">
              <w:rPr>
                <w:kern w:val="2"/>
                <w:szCs w:val="24"/>
              </w:rPr>
              <w:t xml:space="preserve"> skyriumi, kuris išdėstomas taip:</w:t>
            </w:r>
          </w:p>
          <w:p w14:paraId="3C9C7E2E" w14:textId="77777777" w:rsidR="00593ACB" w:rsidRPr="00C06EB0" w:rsidRDefault="00593ACB" w:rsidP="00593ACB">
            <w:pPr>
              <w:rPr>
                <w:kern w:val="2"/>
                <w:szCs w:val="24"/>
              </w:rPr>
            </w:pPr>
          </w:p>
          <w:p w14:paraId="5AA1715E" w14:textId="77777777" w:rsidR="00593ACB" w:rsidRPr="00C06EB0" w:rsidRDefault="00593ACB" w:rsidP="00593ACB">
            <w:pPr>
              <w:jc w:val="center"/>
              <w:rPr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>„</w:t>
            </w:r>
            <w:r w:rsidRPr="005960BE">
              <w:rPr>
                <w:b/>
                <w:bCs/>
                <w:kern w:val="2"/>
                <w:szCs w:val="24"/>
              </w:rPr>
              <w:t>15</w:t>
            </w:r>
            <w:r w:rsidRPr="005960BE">
              <w:rPr>
                <w:b/>
                <w:bCs/>
                <w:kern w:val="2"/>
                <w:szCs w:val="24"/>
                <w:vertAlign w:val="superscript"/>
              </w:rPr>
              <w:t>1</w:t>
            </w:r>
            <w:r w:rsidRPr="005960BE">
              <w:rPr>
                <w:b/>
                <w:bCs/>
                <w:kern w:val="2"/>
                <w:szCs w:val="24"/>
              </w:rPr>
              <w:t>.</w:t>
            </w:r>
            <w:r w:rsidRPr="00C06EB0">
              <w:rPr>
                <w:kern w:val="2"/>
                <w:szCs w:val="24"/>
              </w:rPr>
              <w:t xml:space="preserve"> </w:t>
            </w:r>
            <w:r w:rsidRPr="001E10C3">
              <w:rPr>
                <w:b/>
                <w:bCs/>
                <w:kern w:val="2"/>
                <w:szCs w:val="24"/>
              </w:rPr>
              <w:t>ANTIKORUPCINIAI ĮSIPAREIGOJIMAI</w:t>
            </w:r>
          </w:p>
          <w:p w14:paraId="7E870800" w14:textId="77777777" w:rsidR="00593ACB" w:rsidRPr="00C06EB0" w:rsidRDefault="00593ACB" w:rsidP="00593ACB">
            <w:pPr>
              <w:jc w:val="center"/>
              <w:rPr>
                <w:kern w:val="2"/>
                <w:szCs w:val="24"/>
              </w:rPr>
            </w:pPr>
          </w:p>
          <w:p w14:paraId="1D4AD493" w14:textId="77777777" w:rsidR="00593ACB" w:rsidRPr="00C06EB0" w:rsidRDefault="00593ACB" w:rsidP="00593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562"/>
              <w:jc w:val="both"/>
              <w:rPr>
                <w:rFonts w:eastAsia="Arial Unicode MS"/>
                <w:szCs w:val="24"/>
                <w:bdr w:val="nil"/>
                <w:lang w:eastAsia="lt-LT"/>
              </w:rPr>
            </w:pP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15</w:t>
            </w:r>
            <w:r w:rsidRPr="00C06EB0">
              <w:rPr>
                <w:rFonts w:eastAsia="Arial Unicode MS"/>
                <w:szCs w:val="24"/>
                <w:bdr w:val="nil"/>
                <w:vertAlign w:val="superscript"/>
                <w:lang w:eastAsia="lt-LT"/>
              </w:rPr>
              <w:t>1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.1. Tiekėjas įsipareigoja santykiuose su Pirkėju užtikrinti, kad Tiekėjo darbuotojai ir kiti jo vardu veikiantys asmenys nesiims neteisėtų veiksmų, siekdami daryti įtaką Pirkėjo sprendimams, gauti konfidencialios informacijos.</w:t>
            </w:r>
          </w:p>
          <w:p w14:paraId="5AC9C685" w14:textId="77777777" w:rsidR="00593ACB" w:rsidRPr="00C06EB0" w:rsidRDefault="00593ACB" w:rsidP="00593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562"/>
              <w:jc w:val="both"/>
              <w:rPr>
                <w:kern w:val="2"/>
                <w:szCs w:val="24"/>
              </w:rPr>
            </w:pP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15</w:t>
            </w:r>
            <w:r w:rsidRPr="00C06EB0">
              <w:rPr>
                <w:rFonts w:eastAsia="Arial Unicode MS"/>
                <w:szCs w:val="24"/>
                <w:bdr w:val="nil"/>
                <w:vertAlign w:val="superscript"/>
                <w:lang w:eastAsia="lt-LT"/>
              </w:rPr>
              <w:t>1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 xml:space="preserve">.2. Sutarties Šalys įsipareigoja apie korupcinio pobūdžio veikas, susijusias su šios Sutarties vykdymu, pranešti </w:t>
            </w:r>
            <w:r>
              <w:rPr>
                <w:rFonts w:eastAsia="Arial Unicode MS"/>
                <w:szCs w:val="24"/>
                <w:bdr w:val="nil"/>
                <w:lang w:eastAsia="lt-LT"/>
              </w:rPr>
              <w:t xml:space="preserve">Lietuvos Respublikos </w:t>
            </w:r>
            <w:r w:rsidRPr="00C06EB0">
              <w:rPr>
                <w:rFonts w:eastAsia="Arial Unicode MS"/>
                <w:szCs w:val="24"/>
                <w:bdr w:val="nil"/>
                <w:lang w:eastAsia="lt-LT"/>
              </w:rPr>
              <w:t>teisės aktų nustatyta tvarka.“</w:t>
            </w:r>
          </w:p>
          <w:p w14:paraId="242644AC" w14:textId="5C76C37E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5A0B465D" w14:textId="77777777" w:rsidTr="3D3631AF">
        <w:trPr>
          <w:trHeight w:val="300"/>
        </w:trPr>
        <w:tc>
          <w:tcPr>
            <w:tcW w:w="2532" w:type="dxa"/>
          </w:tcPr>
          <w:p w14:paraId="1165EE3C" w14:textId="77777777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7474CF43" w14:textId="77777777" w:rsidR="00593ACB" w:rsidRDefault="00593ACB" w:rsidP="00593ACB">
            <w:pPr>
              <w:rPr>
                <w:i/>
                <w:iCs/>
                <w:kern w:val="2"/>
                <w:szCs w:val="24"/>
              </w:rPr>
            </w:pPr>
            <w:r w:rsidRPr="00C06EB0"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C06EB0">
              <w:rPr>
                <w:i/>
                <w:iCs/>
                <w:kern w:val="2"/>
                <w:szCs w:val="24"/>
              </w:rPr>
              <w:t>netaikoma</w:t>
            </w:r>
          </w:p>
          <w:p w14:paraId="25D43BEA" w14:textId="5462FC45" w:rsidR="00593ACB" w:rsidRDefault="00593ACB" w:rsidP="00593ACB">
            <w:pPr>
              <w:rPr>
                <w:kern w:val="2"/>
                <w:szCs w:val="24"/>
              </w:rPr>
            </w:pPr>
          </w:p>
        </w:tc>
      </w:tr>
      <w:tr w:rsidR="00593ACB" w14:paraId="35D09A71" w14:textId="77777777" w:rsidTr="3D3631AF">
        <w:trPr>
          <w:trHeight w:val="300"/>
        </w:trPr>
        <w:tc>
          <w:tcPr>
            <w:tcW w:w="2532" w:type="dxa"/>
          </w:tcPr>
          <w:p w14:paraId="20C1F51E" w14:textId="3388398C" w:rsidR="00593ACB" w:rsidRDefault="00593ACB" w:rsidP="00593AC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4BE5468E" w14:textId="77777777" w:rsidR="00593ACB" w:rsidRDefault="00593ACB" w:rsidP="00593A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93ACB" w14:paraId="063A7063" w14:textId="77777777" w:rsidTr="3D3631AF">
        <w:trPr>
          <w:trHeight w:val="300"/>
        </w:trPr>
        <w:tc>
          <w:tcPr>
            <w:tcW w:w="9535" w:type="dxa"/>
            <w:gridSpan w:val="5"/>
          </w:tcPr>
          <w:p w14:paraId="1EC1A743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593ACB" w14:paraId="1493342A" w14:textId="77777777" w:rsidTr="3D3631AF">
        <w:trPr>
          <w:trHeight w:val="300"/>
        </w:trPr>
        <w:tc>
          <w:tcPr>
            <w:tcW w:w="2532" w:type="dxa"/>
          </w:tcPr>
          <w:p w14:paraId="0AF63E8A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5F907DF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93ACB" w14:paraId="4C75E455" w14:textId="77777777" w:rsidTr="3D3631AF">
        <w:trPr>
          <w:trHeight w:val="300"/>
        </w:trPr>
        <w:tc>
          <w:tcPr>
            <w:tcW w:w="2532" w:type="dxa"/>
          </w:tcPr>
          <w:p w14:paraId="6E44F098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26B3593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93ACB" w14:paraId="369E96F2" w14:textId="77777777" w:rsidTr="3D3631AF">
        <w:trPr>
          <w:trHeight w:val="300"/>
        </w:trPr>
        <w:tc>
          <w:tcPr>
            <w:tcW w:w="2532" w:type="dxa"/>
          </w:tcPr>
          <w:p w14:paraId="61C55EA7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3435C39A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 priėmimo - perdavimo aktas</w:t>
            </w:r>
          </w:p>
        </w:tc>
      </w:tr>
      <w:tr w:rsidR="00593ACB" w14:paraId="143ECD90" w14:textId="77777777" w:rsidTr="3D3631AF">
        <w:trPr>
          <w:trHeight w:val="300"/>
        </w:trPr>
        <w:tc>
          <w:tcPr>
            <w:tcW w:w="2532" w:type="dxa"/>
          </w:tcPr>
          <w:p w14:paraId="7D11A08C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93ACB" w14:paraId="13623D1A" w14:textId="77777777" w:rsidTr="3D3631AF">
        <w:trPr>
          <w:trHeight w:val="300"/>
        </w:trPr>
        <w:tc>
          <w:tcPr>
            <w:tcW w:w="2532" w:type="dxa"/>
          </w:tcPr>
          <w:p w14:paraId="4860DB16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93ACB" w14:paraId="29AA4422" w14:textId="77777777" w:rsidTr="3D3631AF">
        <w:tc>
          <w:tcPr>
            <w:tcW w:w="9535" w:type="dxa"/>
            <w:gridSpan w:val="5"/>
          </w:tcPr>
          <w:p w14:paraId="3ACEC6B8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93ACB" w14:paraId="4EDC6BFC" w14:textId="77777777" w:rsidTr="3D3631A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93ACB" w14:paraId="00A924EC" w14:textId="77777777" w:rsidTr="3D3631A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106C56AB" w:rsidR="00593ACB" w:rsidRDefault="00593ACB" w:rsidP="00593ACB">
            <w:pPr>
              <w:jc w:val="center"/>
              <w:rPr>
                <w:color w:val="4472C4"/>
                <w:kern w:val="2"/>
                <w:szCs w:val="24"/>
              </w:rPr>
            </w:pPr>
            <w:r w:rsidRPr="008D42DC">
              <w:rPr>
                <w:szCs w:val="24"/>
              </w:rPr>
              <w:t>Direktorius Darius Vedrickas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593ACB" w:rsidRDefault="00593ACB" w:rsidP="00593AC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93ACB" w14:paraId="2190A91A" w14:textId="77777777" w:rsidTr="3D3631AF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593ACB" w:rsidRDefault="00593ACB" w:rsidP="00593AC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90AC" w14:textId="77777777" w:rsidR="00371CE6" w:rsidRDefault="00371CE6">
      <w:r>
        <w:separator/>
      </w:r>
    </w:p>
  </w:endnote>
  <w:endnote w:type="continuationSeparator" w:id="0">
    <w:p w14:paraId="74CBCD18" w14:textId="77777777" w:rsidR="00371CE6" w:rsidRDefault="0037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F388" w14:textId="77777777" w:rsidR="00371CE6" w:rsidRDefault="00371CE6">
      <w:r>
        <w:separator/>
      </w:r>
    </w:p>
  </w:footnote>
  <w:footnote w:type="continuationSeparator" w:id="0">
    <w:p w14:paraId="0666712F" w14:textId="77777777" w:rsidR="00371CE6" w:rsidRDefault="00371CE6">
      <w:r>
        <w:continuationSeparator/>
      </w:r>
    </w:p>
  </w:footnote>
  <w:footnote w:id="1">
    <w:p w14:paraId="44E3BF35" w14:textId="77777777" w:rsidR="00593ACB" w:rsidRDefault="00593AC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EA4093">
          <w:rPr>
            <w:rStyle w:val="Hipersaitas"/>
            <w:rFonts w:ascii="Calibri" w:hAnsi="Calibri" w:cs="Calibri"/>
            <w:color w:val="0000FF"/>
          </w:rPr>
          <w:t>https://recyclass.eu/</w:t>
        </w:r>
      </w:hyperlink>
      <w:r w:rsidRPr="00EA4093">
        <w:rPr>
          <w:rFonts w:ascii="Calibri" w:hAnsi="Calibri" w:cs="Calibri"/>
          <w:color w:val="0000FF"/>
        </w:rPr>
        <w:t xml:space="preserve"> </w:t>
      </w:r>
    </w:p>
  </w:footnote>
  <w:footnote w:id="2">
    <w:p w14:paraId="702B39C7" w14:textId="77777777" w:rsidR="00593ACB" w:rsidRPr="00EA4093" w:rsidRDefault="00593ACB">
      <w:pPr>
        <w:pStyle w:val="Puslapioinaostekstas"/>
        <w:rPr>
          <w:rFonts w:ascii="Calibri" w:hAnsi="Calibri" w:cs="Calibri"/>
        </w:rPr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EA4093">
          <w:rPr>
            <w:rFonts w:ascii="Calibri" w:hAnsi="Calibri" w:cs="Calibri"/>
            <w:color w:val="0000FF"/>
            <w:u w:val="single"/>
          </w:rPr>
          <w:t>Atliekų tvarkytojai, turintys teisę išrašyti gaminių ir (ar) pakuočių atliekų sutvarkymą įrodančius dokumentus - Aplinkos apsaugos agentūra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73A"/>
    <w:multiLevelType w:val="hybridMultilevel"/>
    <w:tmpl w:val="7A42C3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36C"/>
    <w:multiLevelType w:val="hybridMultilevel"/>
    <w:tmpl w:val="32704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734">
    <w:abstractNumId w:val="0"/>
  </w:num>
  <w:num w:numId="2" w16cid:durableId="31977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8F7"/>
    <w:rsid w:val="00036251"/>
    <w:rsid w:val="00037A88"/>
    <w:rsid w:val="00062552"/>
    <w:rsid w:val="000A7A5F"/>
    <w:rsid w:val="00153E74"/>
    <w:rsid w:val="00162077"/>
    <w:rsid w:val="001B2EB7"/>
    <w:rsid w:val="001B7F3D"/>
    <w:rsid w:val="001C5515"/>
    <w:rsid w:val="001E630E"/>
    <w:rsid w:val="001F2010"/>
    <w:rsid w:val="00201517"/>
    <w:rsid w:val="00202E5E"/>
    <w:rsid w:val="00203B5D"/>
    <w:rsid w:val="002107FE"/>
    <w:rsid w:val="002227BF"/>
    <w:rsid w:val="00250C1C"/>
    <w:rsid w:val="00250F48"/>
    <w:rsid w:val="00263E37"/>
    <w:rsid w:val="00285C49"/>
    <w:rsid w:val="002A0750"/>
    <w:rsid w:val="002A5230"/>
    <w:rsid w:val="002F0B5F"/>
    <w:rsid w:val="002F4D6B"/>
    <w:rsid w:val="00310686"/>
    <w:rsid w:val="00336C3A"/>
    <w:rsid w:val="00350B79"/>
    <w:rsid w:val="0035167E"/>
    <w:rsid w:val="00371CE6"/>
    <w:rsid w:val="00377927"/>
    <w:rsid w:val="003858F2"/>
    <w:rsid w:val="0038684E"/>
    <w:rsid w:val="003B218F"/>
    <w:rsid w:val="003B2818"/>
    <w:rsid w:val="003B4616"/>
    <w:rsid w:val="003E5D1D"/>
    <w:rsid w:val="0044033A"/>
    <w:rsid w:val="004564D3"/>
    <w:rsid w:val="00465736"/>
    <w:rsid w:val="00485763"/>
    <w:rsid w:val="004C1FA6"/>
    <w:rsid w:val="00525A47"/>
    <w:rsid w:val="00534B41"/>
    <w:rsid w:val="005507A3"/>
    <w:rsid w:val="0056442A"/>
    <w:rsid w:val="005828DD"/>
    <w:rsid w:val="005846D5"/>
    <w:rsid w:val="00587E3C"/>
    <w:rsid w:val="00590516"/>
    <w:rsid w:val="00593ACB"/>
    <w:rsid w:val="005A152B"/>
    <w:rsid w:val="005C7649"/>
    <w:rsid w:val="005E3BF6"/>
    <w:rsid w:val="00605AEE"/>
    <w:rsid w:val="00607986"/>
    <w:rsid w:val="0062222E"/>
    <w:rsid w:val="00644B3D"/>
    <w:rsid w:val="006F75AE"/>
    <w:rsid w:val="00704318"/>
    <w:rsid w:val="00715AB5"/>
    <w:rsid w:val="00746A3C"/>
    <w:rsid w:val="00750CEA"/>
    <w:rsid w:val="00763C39"/>
    <w:rsid w:val="00774280"/>
    <w:rsid w:val="00785BB5"/>
    <w:rsid w:val="007919E1"/>
    <w:rsid w:val="007A3523"/>
    <w:rsid w:val="007A46FA"/>
    <w:rsid w:val="007B0AD4"/>
    <w:rsid w:val="007B5FAC"/>
    <w:rsid w:val="007C0316"/>
    <w:rsid w:val="007C4E13"/>
    <w:rsid w:val="007D1393"/>
    <w:rsid w:val="008D14AF"/>
    <w:rsid w:val="008D6C53"/>
    <w:rsid w:val="008F17FE"/>
    <w:rsid w:val="008F3620"/>
    <w:rsid w:val="00900E91"/>
    <w:rsid w:val="00910534"/>
    <w:rsid w:val="00923E0D"/>
    <w:rsid w:val="00935C19"/>
    <w:rsid w:val="00951333"/>
    <w:rsid w:val="009A5711"/>
    <w:rsid w:val="009C12D8"/>
    <w:rsid w:val="009D4DC7"/>
    <w:rsid w:val="00A02596"/>
    <w:rsid w:val="00A520D3"/>
    <w:rsid w:val="00A55C39"/>
    <w:rsid w:val="00A5676D"/>
    <w:rsid w:val="00A567A3"/>
    <w:rsid w:val="00A9478B"/>
    <w:rsid w:val="00A969C0"/>
    <w:rsid w:val="00AA677F"/>
    <w:rsid w:val="00AC3BDB"/>
    <w:rsid w:val="00AC4219"/>
    <w:rsid w:val="00AD20ED"/>
    <w:rsid w:val="00AD6682"/>
    <w:rsid w:val="00AE38B7"/>
    <w:rsid w:val="00AF2F68"/>
    <w:rsid w:val="00B031F9"/>
    <w:rsid w:val="00B246B6"/>
    <w:rsid w:val="00B476C6"/>
    <w:rsid w:val="00B51591"/>
    <w:rsid w:val="00B71E9B"/>
    <w:rsid w:val="00B767F3"/>
    <w:rsid w:val="00B9001C"/>
    <w:rsid w:val="00B9126A"/>
    <w:rsid w:val="00B915EB"/>
    <w:rsid w:val="00BA7BB8"/>
    <w:rsid w:val="00BB77AD"/>
    <w:rsid w:val="00BD2C83"/>
    <w:rsid w:val="00BF3CF0"/>
    <w:rsid w:val="00BF3D17"/>
    <w:rsid w:val="00C17D3B"/>
    <w:rsid w:val="00C212CC"/>
    <w:rsid w:val="00C54EF6"/>
    <w:rsid w:val="00C56EE0"/>
    <w:rsid w:val="00C72CBD"/>
    <w:rsid w:val="00C92A43"/>
    <w:rsid w:val="00CB2807"/>
    <w:rsid w:val="00CB4E36"/>
    <w:rsid w:val="00CF3FAE"/>
    <w:rsid w:val="00D129DD"/>
    <w:rsid w:val="00D225FD"/>
    <w:rsid w:val="00D247FB"/>
    <w:rsid w:val="00D44DFD"/>
    <w:rsid w:val="00D57D56"/>
    <w:rsid w:val="00D66891"/>
    <w:rsid w:val="00D70928"/>
    <w:rsid w:val="00D831AD"/>
    <w:rsid w:val="00D83610"/>
    <w:rsid w:val="00D97193"/>
    <w:rsid w:val="00DD7479"/>
    <w:rsid w:val="00DE2798"/>
    <w:rsid w:val="00DE6383"/>
    <w:rsid w:val="00E041ED"/>
    <w:rsid w:val="00E53D27"/>
    <w:rsid w:val="00E62579"/>
    <w:rsid w:val="00E7308C"/>
    <w:rsid w:val="00E94605"/>
    <w:rsid w:val="00EF3D0D"/>
    <w:rsid w:val="00F420E0"/>
    <w:rsid w:val="00F42FE5"/>
    <w:rsid w:val="00F521CE"/>
    <w:rsid w:val="00F95CA3"/>
    <w:rsid w:val="3D3631AF"/>
    <w:rsid w:val="4A2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B4B63E55-A318-41E5-ABBD-DD13550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77927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semiHidden/>
    <w:unhideWhenUsed/>
    <w:rsid w:val="00285C4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85C49"/>
  </w:style>
  <w:style w:type="paragraph" w:styleId="Porat">
    <w:name w:val="footer"/>
    <w:basedOn w:val="prastasis"/>
    <w:link w:val="PoratDiagrama"/>
    <w:semiHidden/>
    <w:unhideWhenUsed/>
    <w:rsid w:val="00285C4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85C49"/>
  </w:style>
  <w:style w:type="paragraph" w:styleId="Sraopastraipa">
    <w:name w:val="List Paragraph"/>
    <w:basedOn w:val="prastasis"/>
    <w:uiPriority w:val="34"/>
    <w:qFormat/>
    <w:rsid w:val="00BB77AD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62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6251"/>
    <w:rPr>
      <w:b/>
      <w:bCs/>
      <w:sz w:val="20"/>
    </w:rPr>
  </w:style>
  <w:style w:type="character" w:customStyle="1" w:styleId="cf01">
    <w:name w:val="cf01"/>
    <w:basedOn w:val="Numatytasispastraiposriftas"/>
    <w:rsid w:val="00B476C6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table" w:styleId="Lentelstinklelis">
    <w:name w:val="Table Grid"/>
    <w:basedOn w:val="prastojilentel"/>
    <w:uiPriority w:val="39"/>
    <w:rsid w:val="00B476C6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3AC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93ACB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93ACB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a.lrv.l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vpt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d3216349ef7ad9cd3609b3d9963048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271ccda32b47cdc608aba0fe1b9a2d77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8FA74-B930-4CA7-B366-6DBE1C4B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9431</Words>
  <Characters>5377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Indrulionienė</dc:creator>
  <cp:lastModifiedBy>Egidija Indrulionienė</cp:lastModifiedBy>
  <cp:revision>7</cp:revision>
  <dcterms:created xsi:type="dcterms:W3CDTF">2025-11-14T08:18:00Z</dcterms:created>
  <dcterms:modified xsi:type="dcterms:W3CDTF">2025-11-20T09:52:00Z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