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3212" w:rsidRPr="00023212" w:rsidRDefault="00023212" w:rsidP="00023212">
      <w:pPr>
        <w:pBdr>
          <w:top w:val="none" w:sz="0" w:space="0" w:color="auto"/>
          <w:left w:val="none" w:sz="0" w:space="0" w:color="auto"/>
          <w:bottom w:val="none" w:sz="0" w:space="0" w:color="auto"/>
          <w:right w:val="none" w:sz="0" w:space="0" w:color="auto"/>
          <w:between w:val="none" w:sz="0" w:space="0" w:color="auto"/>
          <w:bar w:val="none" w:sz="0" w:color="auto"/>
        </w:pBdr>
        <w:suppressAutoHyphens/>
        <w:ind w:left="5234" w:firstLine="720"/>
        <w:jc w:val="right"/>
        <w:rPr>
          <w:rFonts w:eastAsia="Times New Roman"/>
          <w:i/>
          <w:bdr w:val="none" w:sz="0" w:space="0" w:color="auto"/>
          <w:lang w:val="lt-LT" w:eastAsia="ar-SA"/>
        </w:rPr>
      </w:pPr>
      <w:r w:rsidRPr="00023212">
        <w:rPr>
          <w:rFonts w:eastAsia="Times New Roman"/>
          <w:i/>
          <w:bdr w:val="none" w:sz="0" w:space="0" w:color="auto"/>
          <w:lang w:val="lt-LT" w:eastAsia="ar-SA"/>
        </w:rPr>
        <w:t>Tarpmiestinių optinių bangų/</w:t>
      </w:r>
    </w:p>
    <w:p w:rsidR="00023212" w:rsidRPr="00023212" w:rsidRDefault="00023212" w:rsidP="00023212">
      <w:pPr>
        <w:pBdr>
          <w:top w:val="none" w:sz="0" w:space="0" w:color="auto"/>
          <w:left w:val="none" w:sz="0" w:space="0" w:color="auto"/>
          <w:bottom w:val="none" w:sz="0" w:space="0" w:color="auto"/>
          <w:right w:val="none" w:sz="0" w:space="0" w:color="auto"/>
          <w:between w:val="none" w:sz="0" w:space="0" w:color="auto"/>
          <w:bar w:val="none" w:sz="0" w:color="auto"/>
        </w:pBdr>
        <w:suppressAutoHyphens/>
        <w:ind w:left="5234" w:firstLine="720"/>
        <w:jc w:val="right"/>
        <w:rPr>
          <w:rFonts w:eastAsia="Times New Roman"/>
          <w:i/>
          <w:bdr w:val="none" w:sz="0" w:space="0" w:color="auto"/>
          <w:lang w:val="lt-LT" w:eastAsia="ar-SA"/>
        </w:rPr>
      </w:pPr>
      <w:r w:rsidRPr="00023212">
        <w:rPr>
          <w:rFonts w:eastAsia="Times New Roman"/>
          <w:i/>
          <w:bdr w:val="none" w:sz="0" w:space="0" w:color="auto"/>
          <w:lang w:val="lt-LT" w:eastAsia="ar-SA"/>
        </w:rPr>
        <w:t xml:space="preserve">optinių skaidulų įrengimo ir </w:t>
      </w:r>
    </w:p>
    <w:p w:rsidR="00023212" w:rsidRPr="00023212" w:rsidRDefault="00023212" w:rsidP="00023212">
      <w:pPr>
        <w:pBdr>
          <w:top w:val="none" w:sz="0" w:space="0" w:color="auto"/>
          <w:left w:val="none" w:sz="0" w:space="0" w:color="auto"/>
          <w:bottom w:val="none" w:sz="0" w:space="0" w:color="auto"/>
          <w:right w:val="none" w:sz="0" w:space="0" w:color="auto"/>
          <w:between w:val="none" w:sz="0" w:space="0" w:color="auto"/>
          <w:bar w:val="none" w:sz="0" w:color="auto"/>
        </w:pBdr>
        <w:suppressAutoHyphens/>
        <w:ind w:left="5234" w:firstLine="720"/>
        <w:jc w:val="right"/>
        <w:rPr>
          <w:rFonts w:eastAsia="Times New Roman"/>
          <w:i/>
          <w:bdr w:val="none" w:sz="0" w:space="0" w:color="auto"/>
          <w:lang w:val="lt-LT" w:eastAsia="ar-SA"/>
        </w:rPr>
      </w:pPr>
      <w:r w:rsidRPr="00023212">
        <w:rPr>
          <w:rFonts w:eastAsia="Times New Roman"/>
          <w:i/>
          <w:bdr w:val="none" w:sz="0" w:space="0" w:color="auto"/>
          <w:lang w:val="lt-LT" w:eastAsia="ar-SA"/>
        </w:rPr>
        <w:t xml:space="preserve">nuomos paslaugų pirkimo </w:t>
      </w:r>
    </w:p>
    <w:p w:rsidR="00023212" w:rsidRPr="00023212" w:rsidRDefault="00023212" w:rsidP="00023212">
      <w:pPr>
        <w:pBdr>
          <w:top w:val="none" w:sz="0" w:space="0" w:color="auto"/>
          <w:left w:val="none" w:sz="0" w:space="0" w:color="auto"/>
          <w:bottom w:val="none" w:sz="0" w:space="0" w:color="auto"/>
          <w:right w:val="none" w:sz="0" w:space="0" w:color="auto"/>
          <w:between w:val="none" w:sz="0" w:space="0" w:color="auto"/>
          <w:bar w:val="none" w:sz="0" w:color="auto"/>
        </w:pBdr>
        <w:suppressAutoHyphens/>
        <w:ind w:left="5234" w:firstLine="720"/>
        <w:jc w:val="right"/>
        <w:rPr>
          <w:rFonts w:eastAsia="Times New Roman"/>
          <w:bdr w:val="none" w:sz="0" w:space="0" w:color="auto"/>
          <w:lang w:val="lt-LT" w:eastAsia="ar-SA"/>
        </w:rPr>
      </w:pPr>
      <w:r w:rsidRPr="00023212">
        <w:rPr>
          <w:rFonts w:eastAsia="Times New Roman"/>
          <w:bdr w:val="none" w:sz="0" w:space="0" w:color="auto"/>
          <w:lang w:val="lt-LT" w:eastAsia="ar-SA"/>
        </w:rPr>
        <w:t>Atviro konkurso sąlygų</w:t>
      </w:r>
    </w:p>
    <w:p w:rsidR="00023212" w:rsidRPr="00023212" w:rsidRDefault="00023212" w:rsidP="00023212">
      <w:pPr>
        <w:pBdr>
          <w:top w:val="none" w:sz="0" w:space="0" w:color="auto"/>
          <w:left w:val="none" w:sz="0" w:space="0" w:color="auto"/>
          <w:bottom w:val="none" w:sz="0" w:space="0" w:color="auto"/>
          <w:right w:val="none" w:sz="0" w:space="0" w:color="auto"/>
          <w:between w:val="none" w:sz="0" w:space="0" w:color="auto"/>
          <w:bar w:val="none" w:sz="0" w:color="auto"/>
        </w:pBdr>
        <w:suppressAutoHyphens/>
        <w:ind w:left="5234" w:firstLine="720"/>
        <w:jc w:val="right"/>
        <w:rPr>
          <w:rFonts w:eastAsia="Times New Roman"/>
          <w:bdr w:val="none" w:sz="0" w:space="0" w:color="auto"/>
          <w:lang w:val="lt-LT" w:eastAsia="ar-SA"/>
        </w:rPr>
      </w:pPr>
      <w:r w:rsidRPr="00023212">
        <w:rPr>
          <w:rFonts w:eastAsia="Times New Roman"/>
          <w:bdr w:val="none" w:sz="0" w:space="0" w:color="auto"/>
          <w:lang w:val="lt-LT" w:eastAsia="ar-SA"/>
        </w:rPr>
        <w:t xml:space="preserve"> </w:t>
      </w:r>
      <w:r>
        <w:rPr>
          <w:rFonts w:eastAsia="Times New Roman"/>
          <w:bdr w:val="none" w:sz="0" w:space="0" w:color="auto"/>
          <w:lang w:val="lt-LT" w:eastAsia="ar-SA"/>
        </w:rPr>
        <w:t>9</w:t>
      </w:r>
      <w:r w:rsidRPr="00023212">
        <w:rPr>
          <w:rFonts w:eastAsia="Times New Roman"/>
          <w:bdr w:val="none" w:sz="0" w:space="0" w:color="auto"/>
          <w:lang w:val="lt-LT" w:eastAsia="ar-SA"/>
        </w:rPr>
        <w:t xml:space="preserve"> priedas</w:t>
      </w:r>
    </w:p>
    <w:p w:rsidR="00023212" w:rsidRDefault="00023212">
      <w:pPr>
        <w:pStyle w:val="Heading"/>
        <w:jc w:val="center"/>
        <w:rPr>
          <w:color w:val="auto"/>
          <w:lang w:val="lt-LT"/>
        </w:rPr>
      </w:pPr>
    </w:p>
    <w:p w:rsidR="00023212" w:rsidRDefault="00023212">
      <w:pPr>
        <w:pStyle w:val="Heading"/>
        <w:jc w:val="center"/>
        <w:rPr>
          <w:color w:val="auto"/>
          <w:lang w:val="lt-LT"/>
        </w:rPr>
      </w:pPr>
    </w:p>
    <w:p w:rsidR="00900439" w:rsidRPr="00A13478" w:rsidRDefault="00CC6B68">
      <w:pPr>
        <w:pStyle w:val="Heading"/>
        <w:jc w:val="center"/>
        <w:rPr>
          <w:lang w:val="lt-LT"/>
        </w:rPr>
      </w:pPr>
      <w:r w:rsidRPr="00AF7626">
        <w:rPr>
          <w:color w:val="auto"/>
          <w:lang w:val="lt-LT"/>
        </w:rPr>
        <w:t xml:space="preserve"> </w:t>
      </w:r>
      <w:r w:rsidRPr="00A13478">
        <w:rPr>
          <w:lang w:val="lt-LT"/>
        </w:rPr>
        <w:t>„Kokybės kriterijai ir vertinimas“</w:t>
      </w:r>
    </w:p>
    <w:p w:rsidR="00900439" w:rsidRPr="00A13478" w:rsidRDefault="00900439">
      <w:pPr>
        <w:pStyle w:val="Body"/>
        <w:jc w:val="right"/>
        <w:rPr>
          <w:rFonts w:ascii="Times New Roman" w:eastAsia="Times New Roman" w:hAnsi="Times New Roman" w:cs="Times New Roman"/>
          <w:sz w:val="24"/>
          <w:szCs w:val="24"/>
          <w:lang w:val="lt-LT"/>
        </w:rPr>
      </w:pPr>
    </w:p>
    <w:p w:rsidR="00900439" w:rsidRPr="00A13478" w:rsidRDefault="00CC6B68">
      <w:pPr>
        <w:pStyle w:val="Heading"/>
        <w:rPr>
          <w:lang w:val="lt-LT"/>
        </w:rPr>
      </w:pPr>
      <w:r w:rsidRPr="00A13478">
        <w:rPr>
          <w:lang w:val="lt-LT"/>
        </w:rPr>
        <w:tab/>
        <w:t>1. BENDROSIOS NUOSTATOS</w:t>
      </w:r>
    </w:p>
    <w:p w:rsidR="00900439" w:rsidRPr="00A13478" w:rsidRDefault="00900439">
      <w:pPr>
        <w:pStyle w:val="Body2"/>
        <w:rPr>
          <w:lang w:val="lt-LT"/>
        </w:rPr>
      </w:pPr>
    </w:p>
    <w:p w:rsidR="00900439" w:rsidRPr="00A13478" w:rsidRDefault="00CC6B68">
      <w:pPr>
        <w:pStyle w:val="Body2"/>
        <w:rPr>
          <w:lang w:val="lt-LT"/>
        </w:rPr>
      </w:pPr>
      <w:r w:rsidRPr="00A13478">
        <w:rPr>
          <w:lang w:val="lt-LT"/>
        </w:rPr>
        <w:tab/>
        <w:t xml:space="preserve">1.1. Perkančiosios organizacijos neatmesti pasiūlymai vertinami pagal </w:t>
      </w:r>
      <w:r w:rsidR="009D3F28">
        <w:rPr>
          <w:lang w:val="lt-LT"/>
        </w:rPr>
        <w:t xml:space="preserve"> kainos</w:t>
      </w:r>
      <w:r w:rsidRPr="00A13478">
        <w:rPr>
          <w:lang w:val="lt-LT"/>
        </w:rPr>
        <w:t xml:space="preserve"> ir kokybės santykį šiame priede nurodyta tvarka.</w:t>
      </w:r>
    </w:p>
    <w:p w:rsidR="00900439" w:rsidRPr="00A13478" w:rsidRDefault="00CC6B68">
      <w:pPr>
        <w:pStyle w:val="Body2"/>
        <w:rPr>
          <w:lang w:val="lt-LT"/>
        </w:rPr>
      </w:pPr>
      <w:r w:rsidRPr="00A13478">
        <w:rPr>
          <w:lang w:val="lt-LT"/>
        </w:rPr>
        <w:tab/>
        <w:t>1.2. Ekonomiškai naudingiausias pasiūlymas – tai pasiūlymas, kurio balų suma, apskaičiuota pagal toliau nustatytus pasiūlymų vertinimo kriterijus ir sąlygas, yra didžiausia.</w:t>
      </w:r>
    </w:p>
    <w:p w:rsidR="00900439" w:rsidRPr="00A13478" w:rsidRDefault="00900439">
      <w:pPr>
        <w:pStyle w:val="Body2"/>
        <w:rPr>
          <w:lang w:val="lt-LT"/>
        </w:rPr>
      </w:pPr>
    </w:p>
    <w:p w:rsidR="00900439" w:rsidRDefault="00CC6B68">
      <w:pPr>
        <w:pStyle w:val="Heading"/>
        <w:rPr>
          <w:lang w:val="lt-LT"/>
        </w:rPr>
      </w:pPr>
      <w:r w:rsidRPr="00A13478">
        <w:rPr>
          <w:lang w:val="lt-LT"/>
        </w:rPr>
        <w:tab/>
        <w:t>2. PASIŪLYMŲ VERTINIMO KRITERIJAI</w:t>
      </w:r>
      <w:r w:rsidR="00D1021C">
        <w:rPr>
          <w:lang w:val="lt-LT"/>
        </w:rPr>
        <w:t xml:space="preserve"> </w:t>
      </w:r>
    </w:p>
    <w:p w:rsidR="00FB3E60" w:rsidRPr="00FB3E60" w:rsidRDefault="00FB3E60" w:rsidP="00FB3E60">
      <w:pPr>
        <w:pStyle w:val="Body2"/>
        <w:rPr>
          <w:lang w:val="lt-LT"/>
        </w:rPr>
      </w:pPr>
    </w:p>
    <w:tbl>
      <w:tblPr>
        <w:tblW w:w="5003"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845"/>
        <w:gridCol w:w="5572"/>
        <w:gridCol w:w="1746"/>
        <w:gridCol w:w="1748"/>
      </w:tblGrid>
      <w:tr w:rsidR="00FB3E60" w:rsidRPr="00FB3E60" w:rsidTr="00FB3E60">
        <w:tc>
          <w:tcPr>
            <w:tcW w:w="426" w:type="pct"/>
            <w:tcBorders>
              <w:top w:val="single" w:sz="4" w:space="0" w:color="00000A"/>
              <w:left w:val="single" w:sz="4" w:space="0" w:color="00000A"/>
              <w:bottom w:val="single" w:sz="4" w:space="0" w:color="00000A"/>
              <w:right w:val="single" w:sz="4" w:space="0" w:color="00000A"/>
            </w:tcBorders>
            <w:shd w:val="clear" w:color="auto" w:fill="D9D9D9"/>
            <w:vAlign w:val="center"/>
            <w:hideMark/>
          </w:tcPr>
          <w:p w:rsidR="00FB3E60" w:rsidRPr="00FB3E60" w:rsidRDefault="00FB3E60" w:rsidP="00FB3E60">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ascii="Verdana" w:eastAsia="Calibri" w:hAnsi="Verdana"/>
                <w:b/>
                <w:bCs/>
                <w:sz w:val="20"/>
                <w:szCs w:val="20"/>
                <w:bdr w:val="none" w:sz="0" w:space="0" w:color="auto"/>
                <w:lang w:val="lt-LT"/>
              </w:rPr>
            </w:pPr>
            <w:r w:rsidRPr="00FB3E60">
              <w:rPr>
                <w:rFonts w:ascii="Verdana" w:eastAsia="Calibri" w:hAnsi="Verdana"/>
                <w:b/>
                <w:bCs/>
                <w:sz w:val="20"/>
                <w:szCs w:val="20"/>
                <w:bdr w:val="none" w:sz="0" w:space="0" w:color="auto"/>
                <w:lang w:val="lt-LT"/>
              </w:rPr>
              <w:t>Eil. Nr.</w:t>
            </w:r>
          </w:p>
        </w:tc>
        <w:tc>
          <w:tcPr>
            <w:tcW w:w="2811" w:type="pct"/>
            <w:tcBorders>
              <w:top w:val="single" w:sz="4" w:space="0" w:color="00000A"/>
              <w:left w:val="single" w:sz="4" w:space="0" w:color="00000A"/>
              <w:bottom w:val="single" w:sz="4" w:space="0" w:color="00000A"/>
              <w:right w:val="single" w:sz="4" w:space="0" w:color="00000A"/>
            </w:tcBorders>
            <w:shd w:val="clear" w:color="auto" w:fill="D9D9D9"/>
            <w:vAlign w:val="center"/>
            <w:hideMark/>
          </w:tcPr>
          <w:p w:rsidR="00FB3E60" w:rsidRPr="00FB3E60" w:rsidRDefault="00FB3E60" w:rsidP="00FB3E60">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Calibri"/>
                <w:b/>
                <w:bCs/>
                <w:sz w:val="20"/>
                <w:szCs w:val="20"/>
                <w:bdr w:val="none" w:sz="0" w:space="0" w:color="auto"/>
                <w:lang w:val="lt-LT"/>
              </w:rPr>
            </w:pPr>
            <w:r w:rsidRPr="00FB3E60">
              <w:rPr>
                <w:rFonts w:eastAsia="Calibri"/>
                <w:b/>
                <w:bCs/>
                <w:sz w:val="20"/>
                <w:szCs w:val="20"/>
                <w:bdr w:val="none" w:sz="0" w:space="0" w:color="auto"/>
                <w:lang w:val="lt-LT"/>
              </w:rPr>
              <w:t>Vertinimo kriterijai</w:t>
            </w:r>
          </w:p>
        </w:tc>
        <w:tc>
          <w:tcPr>
            <w:tcW w:w="881" w:type="pct"/>
            <w:tcBorders>
              <w:top w:val="single" w:sz="4" w:space="0" w:color="00000A"/>
              <w:left w:val="single" w:sz="4" w:space="0" w:color="00000A"/>
              <w:bottom w:val="single" w:sz="4" w:space="0" w:color="00000A"/>
              <w:right w:val="single" w:sz="4" w:space="0" w:color="00000A"/>
            </w:tcBorders>
            <w:shd w:val="clear" w:color="auto" w:fill="D9D9D9"/>
            <w:vAlign w:val="center"/>
            <w:hideMark/>
          </w:tcPr>
          <w:p w:rsidR="00FB3E60" w:rsidRPr="00FB3E60" w:rsidRDefault="00FB3E60" w:rsidP="00FB3E60">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ind w:hanging="7"/>
              <w:jc w:val="center"/>
              <w:rPr>
                <w:rFonts w:eastAsia="Calibri"/>
                <w:b/>
                <w:bCs/>
                <w:sz w:val="20"/>
                <w:szCs w:val="20"/>
                <w:bdr w:val="none" w:sz="0" w:space="0" w:color="auto"/>
                <w:lang w:val="lt-LT"/>
              </w:rPr>
            </w:pPr>
            <w:r w:rsidRPr="00FB3E60">
              <w:rPr>
                <w:rFonts w:eastAsia="Times New Roman"/>
                <w:b/>
                <w:sz w:val="20"/>
                <w:szCs w:val="20"/>
                <w:bdr w:val="none" w:sz="0" w:space="0" w:color="auto"/>
                <w:lang w:val="lt-LT"/>
              </w:rPr>
              <w:t>Kriterijaus funkcinio parametro lyginamasis svoris ir įverčio intervalas (Įvertinimas balais)</w:t>
            </w:r>
          </w:p>
        </w:tc>
        <w:tc>
          <w:tcPr>
            <w:tcW w:w="882" w:type="pct"/>
            <w:tcBorders>
              <w:top w:val="single" w:sz="4" w:space="0" w:color="00000A"/>
              <w:left w:val="single" w:sz="4" w:space="0" w:color="00000A"/>
              <w:bottom w:val="single" w:sz="4" w:space="0" w:color="00000A"/>
              <w:right w:val="single" w:sz="4" w:space="0" w:color="00000A"/>
            </w:tcBorders>
            <w:shd w:val="clear" w:color="auto" w:fill="D9D9D9"/>
            <w:hideMark/>
          </w:tcPr>
          <w:p w:rsidR="00FB3E60" w:rsidRPr="00FB3E60" w:rsidRDefault="00FB3E60" w:rsidP="00FB3E60">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ind w:hanging="7"/>
              <w:jc w:val="center"/>
              <w:rPr>
                <w:rFonts w:eastAsia="Calibri"/>
                <w:b/>
                <w:bCs/>
                <w:sz w:val="20"/>
                <w:szCs w:val="20"/>
                <w:bdr w:val="none" w:sz="0" w:space="0" w:color="auto"/>
                <w:lang w:val="lt-LT"/>
              </w:rPr>
            </w:pPr>
            <w:r w:rsidRPr="00FB3E60">
              <w:rPr>
                <w:rFonts w:eastAsia="Calibri"/>
                <w:b/>
                <w:bCs/>
                <w:sz w:val="20"/>
                <w:szCs w:val="20"/>
                <w:bdr w:val="none" w:sz="0" w:space="0" w:color="auto"/>
                <w:lang w:val="lt-LT"/>
              </w:rPr>
              <w:t>Lyginamasis svoris ekonominio naudingumo įvertinime</w:t>
            </w:r>
          </w:p>
        </w:tc>
      </w:tr>
      <w:tr w:rsidR="00FB3E60" w:rsidRPr="00FB3E60" w:rsidTr="00FB3E60">
        <w:tc>
          <w:tcPr>
            <w:tcW w:w="426" w:type="pct"/>
            <w:tcBorders>
              <w:top w:val="single" w:sz="4" w:space="0" w:color="00000A"/>
              <w:left w:val="single" w:sz="4" w:space="0" w:color="00000A"/>
              <w:bottom w:val="single" w:sz="4" w:space="0" w:color="00000A"/>
              <w:right w:val="single" w:sz="4" w:space="0" w:color="00000A"/>
            </w:tcBorders>
            <w:shd w:val="clear" w:color="auto" w:fill="F3F3F3"/>
            <w:hideMark/>
          </w:tcPr>
          <w:p w:rsidR="00FB3E60" w:rsidRPr="00FB3E60" w:rsidRDefault="00FB3E60" w:rsidP="00FB3E60">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ascii="Verdana" w:eastAsia="Calibri" w:hAnsi="Verdana"/>
                <w:bCs/>
                <w:i/>
                <w:sz w:val="18"/>
                <w:szCs w:val="18"/>
                <w:bdr w:val="none" w:sz="0" w:space="0" w:color="auto"/>
                <w:lang w:val="lt-LT"/>
              </w:rPr>
            </w:pPr>
            <w:r w:rsidRPr="00FB3E60">
              <w:rPr>
                <w:rFonts w:ascii="Verdana" w:eastAsia="Calibri" w:hAnsi="Verdana"/>
                <w:bCs/>
                <w:i/>
                <w:sz w:val="18"/>
                <w:szCs w:val="18"/>
                <w:bdr w:val="none" w:sz="0" w:space="0" w:color="auto"/>
                <w:lang w:val="lt-LT"/>
              </w:rPr>
              <w:t>1</w:t>
            </w:r>
          </w:p>
        </w:tc>
        <w:tc>
          <w:tcPr>
            <w:tcW w:w="2811" w:type="pct"/>
            <w:tcBorders>
              <w:top w:val="single" w:sz="4" w:space="0" w:color="00000A"/>
              <w:left w:val="single" w:sz="4" w:space="0" w:color="00000A"/>
              <w:bottom w:val="single" w:sz="4" w:space="0" w:color="00000A"/>
              <w:right w:val="single" w:sz="4" w:space="0" w:color="00000A"/>
            </w:tcBorders>
            <w:shd w:val="clear" w:color="auto" w:fill="F3F3F3"/>
            <w:hideMark/>
          </w:tcPr>
          <w:p w:rsidR="00FB3E60" w:rsidRPr="00FB3E60" w:rsidRDefault="00FB3E60" w:rsidP="00FB3E60">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Calibri"/>
                <w:i/>
                <w:sz w:val="18"/>
                <w:szCs w:val="18"/>
                <w:bdr w:val="none" w:sz="0" w:space="0" w:color="auto"/>
                <w:lang w:val="lt-LT"/>
              </w:rPr>
            </w:pPr>
            <w:r w:rsidRPr="00FB3E60">
              <w:rPr>
                <w:rFonts w:eastAsia="Calibri"/>
                <w:i/>
                <w:sz w:val="18"/>
                <w:szCs w:val="18"/>
                <w:bdr w:val="none" w:sz="0" w:space="0" w:color="auto"/>
                <w:lang w:val="lt-LT"/>
              </w:rPr>
              <w:t>2</w:t>
            </w:r>
          </w:p>
        </w:tc>
        <w:tc>
          <w:tcPr>
            <w:tcW w:w="881" w:type="pct"/>
            <w:tcBorders>
              <w:top w:val="single" w:sz="4" w:space="0" w:color="00000A"/>
              <w:left w:val="single" w:sz="4" w:space="0" w:color="00000A"/>
              <w:bottom w:val="single" w:sz="4" w:space="0" w:color="00000A"/>
              <w:right w:val="single" w:sz="4" w:space="0" w:color="00000A"/>
            </w:tcBorders>
            <w:shd w:val="clear" w:color="auto" w:fill="F3F3F3"/>
            <w:vAlign w:val="center"/>
            <w:hideMark/>
          </w:tcPr>
          <w:p w:rsidR="00FB3E60" w:rsidRPr="00FB3E60" w:rsidRDefault="00FB3E60" w:rsidP="00FB3E60">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Calibri"/>
                <w:i/>
                <w:sz w:val="18"/>
                <w:szCs w:val="18"/>
                <w:bdr w:val="none" w:sz="0" w:space="0" w:color="auto"/>
                <w:lang w:val="lt-LT"/>
              </w:rPr>
            </w:pPr>
            <w:r w:rsidRPr="00FB3E60">
              <w:rPr>
                <w:rFonts w:eastAsia="Calibri"/>
                <w:i/>
                <w:sz w:val="18"/>
                <w:szCs w:val="18"/>
                <w:bdr w:val="none" w:sz="0" w:space="0" w:color="auto"/>
                <w:lang w:val="lt-LT"/>
              </w:rPr>
              <w:t>3</w:t>
            </w:r>
          </w:p>
        </w:tc>
        <w:tc>
          <w:tcPr>
            <w:tcW w:w="882" w:type="pct"/>
            <w:tcBorders>
              <w:top w:val="single" w:sz="4" w:space="0" w:color="00000A"/>
              <w:left w:val="single" w:sz="4" w:space="0" w:color="00000A"/>
              <w:bottom w:val="single" w:sz="4" w:space="0" w:color="00000A"/>
              <w:right w:val="single" w:sz="4" w:space="0" w:color="00000A"/>
            </w:tcBorders>
            <w:shd w:val="clear" w:color="auto" w:fill="F3F3F3"/>
            <w:hideMark/>
          </w:tcPr>
          <w:p w:rsidR="00FB3E60" w:rsidRPr="00FB3E60" w:rsidRDefault="00FB3E60" w:rsidP="00FB3E60">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Calibri"/>
                <w:i/>
                <w:sz w:val="18"/>
                <w:szCs w:val="18"/>
                <w:bdr w:val="none" w:sz="0" w:space="0" w:color="auto"/>
                <w:lang w:val="lt-LT"/>
              </w:rPr>
            </w:pPr>
            <w:r w:rsidRPr="00FB3E60">
              <w:rPr>
                <w:rFonts w:eastAsia="Calibri"/>
                <w:i/>
                <w:sz w:val="18"/>
                <w:szCs w:val="18"/>
                <w:bdr w:val="none" w:sz="0" w:space="0" w:color="auto"/>
                <w:lang w:val="lt-LT"/>
              </w:rPr>
              <w:t>4</w:t>
            </w:r>
          </w:p>
        </w:tc>
      </w:tr>
      <w:tr w:rsidR="00FB3E60" w:rsidRPr="00FB3E60" w:rsidTr="00FB3E60">
        <w:tc>
          <w:tcPr>
            <w:tcW w:w="426" w:type="pct"/>
            <w:tcBorders>
              <w:top w:val="single" w:sz="4" w:space="0" w:color="00000A"/>
              <w:left w:val="single" w:sz="4" w:space="0" w:color="00000A"/>
              <w:bottom w:val="single" w:sz="4" w:space="0" w:color="00000A"/>
              <w:right w:val="single" w:sz="4" w:space="0" w:color="00000A"/>
            </w:tcBorders>
            <w:shd w:val="clear" w:color="auto" w:fill="F3F3F3"/>
            <w:hideMark/>
          </w:tcPr>
          <w:p w:rsidR="00FB3E60" w:rsidRPr="00FB3E60" w:rsidRDefault="00FB3E60" w:rsidP="00FB3E60">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ascii="Verdana" w:eastAsia="Calibri" w:hAnsi="Verdana"/>
                <w:b/>
                <w:bCs/>
                <w:sz w:val="20"/>
                <w:szCs w:val="20"/>
                <w:bdr w:val="none" w:sz="0" w:space="0" w:color="auto"/>
                <w:lang w:val="lt-LT"/>
              </w:rPr>
            </w:pPr>
            <w:r w:rsidRPr="00FB3E60">
              <w:rPr>
                <w:rFonts w:ascii="Verdana" w:eastAsia="Calibri" w:hAnsi="Verdana"/>
                <w:b/>
                <w:bCs/>
                <w:sz w:val="20"/>
                <w:szCs w:val="20"/>
                <w:bdr w:val="none" w:sz="0" w:space="0" w:color="auto"/>
                <w:lang w:val="lt-LT"/>
              </w:rPr>
              <w:t>1.</w:t>
            </w:r>
          </w:p>
        </w:tc>
        <w:tc>
          <w:tcPr>
            <w:tcW w:w="2811" w:type="pct"/>
            <w:tcBorders>
              <w:top w:val="single" w:sz="4" w:space="0" w:color="00000A"/>
              <w:left w:val="single" w:sz="4" w:space="0" w:color="00000A"/>
              <w:bottom w:val="single" w:sz="4" w:space="0" w:color="00000A"/>
              <w:right w:val="single" w:sz="4" w:space="0" w:color="00000A"/>
            </w:tcBorders>
            <w:shd w:val="clear" w:color="auto" w:fill="F3F3F3"/>
            <w:hideMark/>
          </w:tcPr>
          <w:p w:rsidR="00FB3E60" w:rsidRPr="00FB3E60" w:rsidRDefault="00FB3E60" w:rsidP="00FB3E60">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eastAsia="Calibri"/>
                <w:b/>
                <w:sz w:val="20"/>
                <w:szCs w:val="20"/>
                <w:bdr w:val="none" w:sz="0" w:space="0" w:color="auto"/>
                <w:lang w:val="lt-LT"/>
              </w:rPr>
            </w:pPr>
            <w:r w:rsidRPr="00953242">
              <w:rPr>
                <w:rFonts w:eastAsia="Calibri"/>
                <w:b/>
                <w:sz w:val="20"/>
                <w:szCs w:val="20"/>
                <w:bdr w:val="none" w:sz="0" w:space="0" w:color="auto"/>
                <w:lang w:val="lt-LT"/>
              </w:rPr>
              <w:t>P</w:t>
            </w:r>
            <w:r w:rsidRPr="00FB3E60">
              <w:rPr>
                <w:rFonts w:eastAsia="Calibri"/>
                <w:b/>
                <w:sz w:val="20"/>
                <w:szCs w:val="20"/>
                <w:bdr w:val="none" w:sz="0" w:space="0" w:color="auto"/>
                <w:lang w:val="lt-LT"/>
              </w:rPr>
              <w:t>aslaugų kaina (C)</w:t>
            </w:r>
          </w:p>
        </w:tc>
        <w:tc>
          <w:tcPr>
            <w:tcW w:w="881" w:type="pct"/>
            <w:tcBorders>
              <w:top w:val="single" w:sz="4" w:space="0" w:color="00000A"/>
              <w:left w:val="single" w:sz="4" w:space="0" w:color="00000A"/>
              <w:bottom w:val="single" w:sz="4" w:space="0" w:color="00000A"/>
              <w:right w:val="single" w:sz="4" w:space="0" w:color="00000A"/>
            </w:tcBorders>
            <w:shd w:val="clear" w:color="auto" w:fill="F3F3F3"/>
            <w:vAlign w:val="center"/>
            <w:hideMark/>
          </w:tcPr>
          <w:p w:rsidR="00FB3E60" w:rsidRPr="00FB3E60" w:rsidRDefault="00FB3E60" w:rsidP="00FB3E60">
            <w:pPr>
              <w:pBdr>
                <w:top w:val="none" w:sz="0" w:space="0" w:color="auto"/>
                <w:left w:val="none" w:sz="0" w:space="0" w:color="auto"/>
                <w:bottom w:val="none" w:sz="0" w:space="0" w:color="auto"/>
                <w:right w:val="none" w:sz="0" w:space="0" w:color="auto"/>
                <w:between w:val="none" w:sz="0" w:space="0" w:color="auto"/>
                <w:bar w:val="none" w:sz="0" w:color="auto"/>
              </w:pBdr>
              <w:ind w:left="-108" w:right="-108"/>
              <w:jc w:val="center"/>
              <w:rPr>
                <w:rFonts w:eastAsia="Calibri"/>
                <w:sz w:val="20"/>
                <w:szCs w:val="20"/>
                <w:bdr w:val="none" w:sz="0" w:space="0" w:color="auto"/>
                <w:lang w:val="lt-LT"/>
              </w:rPr>
            </w:pPr>
            <w:r w:rsidRPr="00FB3E60">
              <w:rPr>
                <w:rFonts w:eastAsia="Calibri"/>
                <w:sz w:val="20"/>
                <w:szCs w:val="20"/>
                <w:bdr w:val="none" w:sz="0" w:space="0" w:color="auto"/>
                <w:lang w:val="lt-LT"/>
              </w:rPr>
              <w:t>C</w:t>
            </w:r>
          </w:p>
        </w:tc>
        <w:tc>
          <w:tcPr>
            <w:tcW w:w="882" w:type="pct"/>
            <w:tcBorders>
              <w:top w:val="single" w:sz="4" w:space="0" w:color="00000A"/>
              <w:left w:val="single" w:sz="4" w:space="0" w:color="00000A"/>
              <w:bottom w:val="single" w:sz="4" w:space="0" w:color="00000A"/>
              <w:right w:val="single" w:sz="4" w:space="0" w:color="00000A"/>
            </w:tcBorders>
            <w:shd w:val="clear" w:color="auto" w:fill="F3F3F3"/>
            <w:hideMark/>
          </w:tcPr>
          <w:p w:rsidR="00FB3E60" w:rsidRPr="00FB3E60" w:rsidRDefault="00FB3E60" w:rsidP="00FB3E60">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Calibri"/>
                <w:b/>
                <w:bCs/>
                <w:sz w:val="20"/>
                <w:szCs w:val="20"/>
                <w:bdr w:val="none" w:sz="0" w:space="0" w:color="auto"/>
                <w:lang w:val="lt-LT"/>
              </w:rPr>
            </w:pPr>
            <w:r w:rsidRPr="00FB3E60">
              <w:rPr>
                <w:rFonts w:eastAsia="Calibri"/>
                <w:b/>
                <w:bCs/>
                <w:sz w:val="20"/>
                <w:szCs w:val="20"/>
                <w:bdr w:val="none" w:sz="0" w:space="0" w:color="auto"/>
                <w:lang w:val="lt-LT"/>
              </w:rPr>
              <w:t xml:space="preserve">X= </w:t>
            </w:r>
            <w:r w:rsidRPr="00953242">
              <w:rPr>
                <w:rFonts w:eastAsia="Calibri"/>
                <w:b/>
                <w:bCs/>
                <w:sz w:val="20"/>
                <w:szCs w:val="20"/>
                <w:bdr w:val="none" w:sz="0" w:space="0" w:color="auto"/>
                <w:lang w:val="lt-LT"/>
              </w:rPr>
              <w:t>9</w:t>
            </w:r>
            <w:r w:rsidRPr="00FB3E60">
              <w:rPr>
                <w:rFonts w:eastAsia="Calibri"/>
                <w:b/>
                <w:bCs/>
                <w:sz w:val="20"/>
                <w:szCs w:val="20"/>
                <w:bdr w:val="none" w:sz="0" w:space="0" w:color="auto"/>
                <w:lang w:val="lt-LT"/>
              </w:rPr>
              <w:t>0</w:t>
            </w:r>
          </w:p>
        </w:tc>
      </w:tr>
      <w:tr w:rsidR="00FB3E60" w:rsidRPr="00FB3E60" w:rsidTr="00FB3E60">
        <w:tc>
          <w:tcPr>
            <w:tcW w:w="426" w:type="pct"/>
            <w:tcBorders>
              <w:top w:val="single" w:sz="4" w:space="0" w:color="00000A"/>
              <w:left w:val="single" w:sz="4" w:space="0" w:color="00000A"/>
              <w:bottom w:val="single" w:sz="4" w:space="0" w:color="00000A"/>
              <w:right w:val="single" w:sz="4" w:space="0" w:color="00000A"/>
            </w:tcBorders>
            <w:shd w:val="clear" w:color="auto" w:fill="F3F3F3"/>
            <w:hideMark/>
          </w:tcPr>
          <w:p w:rsidR="00FB3E60" w:rsidRPr="00FB3E60" w:rsidRDefault="00FB3E60" w:rsidP="00FB3E60">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ascii="Verdana" w:eastAsia="Calibri" w:hAnsi="Verdana"/>
                <w:b/>
                <w:bCs/>
                <w:sz w:val="20"/>
                <w:szCs w:val="20"/>
                <w:bdr w:val="none" w:sz="0" w:space="0" w:color="auto"/>
                <w:lang w:val="lt-LT"/>
              </w:rPr>
            </w:pPr>
            <w:r w:rsidRPr="00FB3E60">
              <w:rPr>
                <w:rFonts w:ascii="Verdana" w:eastAsia="Calibri" w:hAnsi="Verdana" w:cs="Calibri"/>
                <w:b/>
                <w:bCs/>
                <w:sz w:val="20"/>
                <w:szCs w:val="20"/>
                <w:bdr w:val="none" w:sz="0" w:space="0" w:color="auto"/>
                <w:lang w:val="lt-LT"/>
              </w:rPr>
              <w:t>2.</w:t>
            </w:r>
          </w:p>
        </w:tc>
        <w:tc>
          <w:tcPr>
            <w:tcW w:w="2811" w:type="pct"/>
            <w:tcBorders>
              <w:top w:val="single" w:sz="4" w:space="0" w:color="00000A"/>
              <w:left w:val="single" w:sz="4" w:space="0" w:color="00000A"/>
              <w:bottom w:val="single" w:sz="4" w:space="0" w:color="00000A"/>
              <w:right w:val="single" w:sz="4" w:space="0" w:color="00000A"/>
            </w:tcBorders>
            <w:shd w:val="clear" w:color="auto" w:fill="F3F3F3"/>
            <w:hideMark/>
          </w:tcPr>
          <w:p w:rsidR="00FB3E60" w:rsidRPr="00FB3E60" w:rsidRDefault="00FB3E60" w:rsidP="00FB3E60">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jc w:val="both"/>
              <w:textAlignment w:val="baseline"/>
              <w:rPr>
                <w:rFonts w:eastAsia="Calibri"/>
                <w:b/>
                <w:bCs/>
                <w:color w:val="00000A"/>
                <w:sz w:val="20"/>
                <w:szCs w:val="20"/>
                <w:bdr w:val="none" w:sz="0" w:space="0" w:color="auto"/>
                <w:lang w:val="lt-LT"/>
              </w:rPr>
            </w:pPr>
            <w:r w:rsidRPr="00FB3E60">
              <w:rPr>
                <w:rFonts w:eastAsia="Calibri"/>
                <w:b/>
                <w:bCs/>
                <w:color w:val="00000A"/>
                <w:sz w:val="20"/>
                <w:szCs w:val="20"/>
                <w:bdr w:val="none" w:sz="0" w:space="0" w:color="auto"/>
                <w:lang w:val="lt-LT"/>
              </w:rPr>
              <w:t xml:space="preserve">Kokybės kriterijus (T): </w:t>
            </w:r>
          </w:p>
          <w:p w:rsidR="00FB3E60" w:rsidRPr="00FB3E60" w:rsidRDefault="00FB3E60" w:rsidP="00FB3E60">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eastAsia="Times New Roman"/>
                <w:b/>
                <w:bCs/>
                <w:sz w:val="20"/>
                <w:szCs w:val="20"/>
                <w:bdr w:val="none" w:sz="0" w:space="0" w:color="auto"/>
                <w:lang w:val="lt-LT"/>
              </w:rPr>
            </w:pPr>
            <w:r w:rsidRPr="00953242">
              <w:rPr>
                <w:rFonts w:eastAsia="Calibri"/>
                <w:color w:val="00000A"/>
                <w:sz w:val="20"/>
                <w:szCs w:val="20"/>
                <w:bdr w:val="none" w:sz="0" w:space="0" w:color="auto"/>
                <w:lang w:val="lt-LT"/>
              </w:rPr>
              <w:t>Paslaugos teikimo sutrikimo atveju, gedimų pašalinimo trukmė (val) mažesnė nei 1 priede. Techninė specifikacija 1.6 punkte nurodyta reikšmė</w:t>
            </w:r>
          </w:p>
        </w:tc>
        <w:tc>
          <w:tcPr>
            <w:tcW w:w="881" w:type="pct"/>
            <w:tcBorders>
              <w:top w:val="single" w:sz="4" w:space="0" w:color="00000A"/>
              <w:left w:val="single" w:sz="4" w:space="0" w:color="00000A"/>
              <w:bottom w:val="single" w:sz="4" w:space="0" w:color="00000A"/>
              <w:right w:val="single" w:sz="4" w:space="0" w:color="00000A"/>
            </w:tcBorders>
            <w:shd w:val="clear" w:color="auto" w:fill="F3F3F3"/>
            <w:vAlign w:val="center"/>
            <w:hideMark/>
          </w:tcPr>
          <w:p w:rsidR="00FB3E60" w:rsidRPr="00FB3E60" w:rsidRDefault="00FB3E60" w:rsidP="00FB3E60">
            <w:pPr>
              <w:pBdr>
                <w:top w:val="none" w:sz="0" w:space="0" w:color="auto"/>
                <w:left w:val="none" w:sz="0" w:space="0" w:color="auto"/>
                <w:bottom w:val="none" w:sz="0" w:space="0" w:color="auto"/>
                <w:right w:val="none" w:sz="0" w:space="0" w:color="auto"/>
                <w:between w:val="none" w:sz="0" w:space="0" w:color="auto"/>
                <w:bar w:val="none" w:sz="0" w:color="auto"/>
              </w:pBdr>
              <w:ind w:left="-108" w:right="-108"/>
              <w:jc w:val="center"/>
              <w:rPr>
                <w:rFonts w:eastAsia="Calibri"/>
                <w:sz w:val="18"/>
                <w:szCs w:val="18"/>
                <w:bdr w:val="none" w:sz="0" w:space="0" w:color="auto"/>
                <w:lang w:val="lt-LT" w:eastAsia="lt-LT"/>
              </w:rPr>
            </w:pPr>
            <w:r w:rsidRPr="00FB3E60">
              <w:rPr>
                <w:rFonts w:eastAsia="Calibri"/>
                <w:sz w:val="20"/>
                <w:szCs w:val="20"/>
                <w:bdr w:val="none" w:sz="0" w:space="0" w:color="auto"/>
                <w:lang w:val="lt-LT"/>
              </w:rPr>
              <w:t>T</w:t>
            </w:r>
          </w:p>
        </w:tc>
        <w:tc>
          <w:tcPr>
            <w:tcW w:w="882" w:type="pct"/>
            <w:tcBorders>
              <w:top w:val="single" w:sz="4" w:space="0" w:color="00000A"/>
              <w:left w:val="single" w:sz="4" w:space="0" w:color="00000A"/>
              <w:bottom w:val="single" w:sz="4" w:space="0" w:color="00000A"/>
              <w:right w:val="single" w:sz="4" w:space="0" w:color="00000A"/>
            </w:tcBorders>
            <w:shd w:val="clear" w:color="auto" w:fill="F3F3F3"/>
            <w:vAlign w:val="center"/>
            <w:hideMark/>
          </w:tcPr>
          <w:p w:rsidR="00FB3E60" w:rsidRPr="00FB3E60" w:rsidRDefault="00FB3E60" w:rsidP="00FB3E60">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Calibri"/>
                <w:sz w:val="20"/>
                <w:szCs w:val="20"/>
                <w:bdr w:val="none" w:sz="0" w:space="0" w:color="auto"/>
                <w:lang w:val="lt-LT"/>
              </w:rPr>
            </w:pPr>
            <w:r w:rsidRPr="00FB3E60">
              <w:rPr>
                <w:rFonts w:eastAsia="Calibri"/>
                <w:b/>
                <w:bCs/>
                <w:sz w:val="20"/>
                <w:szCs w:val="20"/>
                <w:bdr w:val="none" w:sz="0" w:space="0" w:color="auto"/>
                <w:lang w:val="lt-LT"/>
              </w:rPr>
              <w:t>Y =</w:t>
            </w:r>
            <w:r w:rsidRPr="00953242">
              <w:rPr>
                <w:rFonts w:eastAsia="Calibri"/>
                <w:b/>
                <w:bCs/>
                <w:sz w:val="20"/>
                <w:szCs w:val="20"/>
                <w:bdr w:val="none" w:sz="0" w:space="0" w:color="auto"/>
                <w:lang w:val="lt-LT"/>
              </w:rPr>
              <w:t>1</w:t>
            </w:r>
            <w:r w:rsidRPr="00FB3E60">
              <w:rPr>
                <w:rFonts w:eastAsia="Calibri"/>
                <w:b/>
                <w:bCs/>
                <w:sz w:val="20"/>
                <w:szCs w:val="20"/>
                <w:bdr w:val="none" w:sz="0" w:space="0" w:color="auto"/>
                <w:lang w:val="lt-LT"/>
              </w:rPr>
              <w:t>0</w:t>
            </w:r>
          </w:p>
        </w:tc>
      </w:tr>
    </w:tbl>
    <w:p w:rsidR="00900439" w:rsidRDefault="00900439" w:rsidP="008B7EDB">
      <w:pPr>
        <w:ind w:firstLine="567"/>
        <w:jc w:val="both"/>
        <w:rPr>
          <w:lang w:val="lt-LT"/>
        </w:rPr>
      </w:pPr>
    </w:p>
    <w:p w:rsidR="00900439" w:rsidRPr="00A13478" w:rsidRDefault="00CC6B68">
      <w:pPr>
        <w:pStyle w:val="Body2"/>
        <w:rPr>
          <w:lang w:val="lt-LT"/>
        </w:rPr>
      </w:pPr>
      <w:r w:rsidRPr="00A13478">
        <w:rPr>
          <w:lang w:val="lt-LT"/>
        </w:rPr>
        <w:tab/>
        <w:t xml:space="preserve">2.1. Nustatomas maksimalus bendras balų skaičius - 100 balų. Kriterijų tarpusavio santykis bendrame bale yra nustatomas pagal šiuos lyginamuosius svorius: </w:t>
      </w:r>
    </w:p>
    <w:p w:rsidR="00023212" w:rsidRDefault="00CC6B68">
      <w:pPr>
        <w:pStyle w:val="Body2"/>
        <w:rPr>
          <w:lang w:val="lt-LT"/>
        </w:rPr>
      </w:pPr>
      <w:r w:rsidRPr="00A13478">
        <w:rPr>
          <w:lang w:val="lt-LT"/>
        </w:rPr>
        <w:tab/>
        <w:t xml:space="preserve">2.1.1. Pirmas kriterijus - Kaina (C). Kriterijaus lyginamasis svoris ekonominio naudingumo įvertinime (X) yra </w:t>
      </w:r>
      <w:r w:rsidRPr="00A13478">
        <w:rPr>
          <w:color w:val="C03A2A"/>
          <w:lang w:val="lt-LT"/>
        </w:rPr>
        <w:t>[</w:t>
      </w:r>
      <w:r w:rsidR="009D3F28">
        <w:rPr>
          <w:color w:val="C03A2A"/>
          <w:lang w:val="lt-LT"/>
        </w:rPr>
        <w:t>9</w:t>
      </w:r>
      <w:r w:rsidRPr="00A13478">
        <w:rPr>
          <w:color w:val="C03A2A"/>
          <w:lang w:val="lt-LT"/>
        </w:rPr>
        <w:t>0]</w:t>
      </w:r>
      <w:r w:rsidR="00297FDD">
        <w:rPr>
          <w:lang w:val="lt-LT"/>
        </w:rPr>
        <w:t>,</w:t>
      </w:r>
    </w:p>
    <w:p w:rsidR="00023212" w:rsidRDefault="00CC6B68">
      <w:pPr>
        <w:pStyle w:val="Body2"/>
        <w:rPr>
          <w:lang w:val="lt-LT"/>
        </w:rPr>
      </w:pPr>
      <w:r w:rsidRPr="00A13478">
        <w:rPr>
          <w:lang w:val="lt-LT"/>
        </w:rPr>
        <w:tab/>
        <w:t>2.1.2. Antras kriterijus -</w:t>
      </w:r>
      <w:r w:rsidR="009D3F28" w:rsidRPr="009D3F28">
        <w:rPr>
          <w:b/>
          <w:bCs/>
          <w:color w:val="587A3C"/>
          <w:lang w:val="lt-LT"/>
        </w:rPr>
        <w:t xml:space="preserve"> </w:t>
      </w:r>
      <w:r w:rsidR="00023212" w:rsidRPr="00023212">
        <w:rPr>
          <w:bCs/>
          <w:color w:val="auto"/>
          <w:lang w:val="lt-LT"/>
        </w:rPr>
        <w:t>Paslaugos teikimo sutrikimo atvej</w:t>
      </w:r>
      <w:r w:rsidR="00023212">
        <w:rPr>
          <w:bCs/>
          <w:color w:val="auto"/>
          <w:lang w:val="lt-LT"/>
        </w:rPr>
        <w:t>u, gedimų pašalinimo trukmė(T1)</w:t>
      </w:r>
      <w:r w:rsidRPr="00A13478">
        <w:rPr>
          <w:lang w:val="lt-LT"/>
        </w:rPr>
        <w:t xml:space="preserve">. Kriterijaus lyginamasis svoris ekonominio naudingumo įvertinime (Y) yra </w:t>
      </w:r>
      <w:r w:rsidRPr="00A13478">
        <w:rPr>
          <w:color w:val="C03A2A"/>
          <w:lang w:val="lt-LT"/>
        </w:rPr>
        <w:t>[</w:t>
      </w:r>
      <w:r w:rsidR="009D3F28">
        <w:rPr>
          <w:color w:val="C03A2A"/>
          <w:lang w:val="lt-LT"/>
        </w:rPr>
        <w:t>10</w:t>
      </w:r>
      <w:r w:rsidRPr="00A13478">
        <w:rPr>
          <w:color w:val="C03A2A"/>
          <w:lang w:val="lt-LT"/>
        </w:rPr>
        <w:t>]</w:t>
      </w:r>
      <w:r w:rsidRPr="00A13478">
        <w:rPr>
          <w:lang w:val="lt-LT"/>
        </w:rPr>
        <w:t>.</w:t>
      </w:r>
    </w:p>
    <w:p w:rsidR="00E073FF" w:rsidRDefault="00E073FF">
      <w:pPr>
        <w:pStyle w:val="Body2"/>
        <w:rPr>
          <w:lang w:val="lt-LT"/>
        </w:rPr>
      </w:pPr>
    </w:p>
    <w:p w:rsidR="00E073FF" w:rsidRPr="001F6681" w:rsidRDefault="00CC6B68" w:rsidP="00E073FF">
      <w:pPr>
        <w:ind w:firstLine="567"/>
        <w:jc w:val="both"/>
        <w:rPr>
          <w:rFonts w:ascii="Verdana" w:eastAsia="Times New Roman" w:hAnsi="Verdana"/>
          <w:sz w:val="20"/>
          <w:szCs w:val="20"/>
        </w:rPr>
      </w:pPr>
      <w:r w:rsidRPr="00A13478">
        <w:rPr>
          <w:lang w:val="lt-LT"/>
        </w:rPr>
        <w:tab/>
      </w:r>
      <w:r w:rsidRPr="00A13478">
        <w:rPr>
          <w:color w:val="357CA2"/>
          <w:lang w:val="lt-LT"/>
        </w:rPr>
        <w:tab/>
      </w:r>
      <w:r w:rsidRPr="00A13478">
        <w:rPr>
          <w:color w:val="357CA2"/>
          <w:lang w:val="lt-LT"/>
        </w:rPr>
        <w:tab/>
      </w:r>
      <w:r w:rsidR="00E073FF" w:rsidRPr="001F6681">
        <w:rPr>
          <w:rFonts w:ascii="Verdana" w:eastAsia="Times New Roman" w:hAnsi="Verdana"/>
          <w:sz w:val="20"/>
          <w:szCs w:val="20"/>
        </w:rPr>
        <w:t xml:space="preserve"> </w:t>
      </w:r>
    </w:p>
    <w:p w:rsidR="00900439" w:rsidRPr="00A13478" w:rsidRDefault="00900439">
      <w:pPr>
        <w:pStyle w:val="Body2"/>
        <w:rPr>
          <w:lang w:val="lt-LT"/>
        </w:rPr>
      </w:pPr>
    </w:p>
    <w:p w:rsidR="00900439" w:rsidRPr="00A13478" w:rsidRDefault="00CC6B68">
      <w:pPr>
        <w:pStyle w:val="Heading"/>
        <w:rPr>
          <w:lang w:val="lt-LT"/>
        </w:rPr>
      </w:pPr>
      <w:r w:rsidRPr="00A13478">
        <w:rPr>
          <w:lang w:val="lt-LT"/>
        </w:rPr>
        <w:tab/>
        <w:t>3. BALŲ APSKAIČIAVIMAS</w:t>
      </w:r>
      <w:r w:rsidR="00D1021C">
        <w:rPr>
          <w:lang w:val="lt-LT"/>
        </w:rPr>
        <w:t xml:space="preserve"> </w:t>
      </w:r>
    </w:p>
    <w:p w:rsidR="00900439" w:rsidRPr="00A13478" w:rsidRDefault="00900439">
      <w:pPr>
        <w:pStyle w:val="Body2"/>
        <w:rPr>
          <w:lang w:val="lt-LT"/>
        </w:rPr>
      </w:pPr>
    </w:p>
    <w:p w:rsidR="00FB3E60" w:rsidRDefault="00CC6B68">
      <w:pPr>
        <w:pStyle w:val="Body2"/>
        <w:rPr>
          <w:lang w:val="lt-LT"/>
        </w:rPr>
      </w:pPr>
      <w:r w:rsidRPr="00A13478">
        <w:rPr>
          <w:lang w:val="lt-LT"/>
        </w:rPr>
        <w:tab/>
        <w:t>3.1.</w:t>
      </w:r>
      <w:r w:rsidR="00FB3E60">
        <w:rPr>
          <w:lang w:val="lt-LT"/>
        </w:rPr>
        <w:t xml:space="preserve"> </w:t>
      </w:r>
      <w:r w:rsidR="00FB3E60" w:rsidRPr="00FB3E60">
        <w:rPr>
          <w:lang w:val="lt-LT"/>
        </w:rPr>
        <w:t>Pasiūlymo ekonominis naudingumas (S) apskaičiuojamas sudedant Paslaugų teikėjo pasiūlymo kainos C ir kokybės kriterijų (T) balus:</w:t>
      </w:r>
    </w:p>
    <w:p w:rsidR="00FB3E60" w:rsidRPr="00FB3E60" w:rsidRDefault="00FB3E60" w:rsidP="00FB3E60">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284" w:firstLine="774"/>
        <w:jc w:val="center"/>
        <w:textAlignment w:val="baseline"/>
        <w:rPr>
          <w:rFonts w:ascii="Verdana" w:eastAsia="Times New Roman" w:hAnsi="Verdana"/>
          <w:sz w:val="20"/>
          <w:szCs w:val="20"/>
          <w:bdr w:val="none" w:sz="0" w:space="0" w:color="auto"/>
          <w:lang w:val="lt-LT"/>
        </w:rPr>
      </w:pPr>
      <m:oMathPara>
        <m:oMathParaPr>
          <m:jc m:val="center"/>
        </m:oMathParaPr>
        <m:oMath>
          <m:r>
            <w:rPr>
              <w:rFonts w:ascii="Cambria Math" w:eastAsia="Times New Roman" w:hAnsi="Cambria Math"/>
              <w:sz w:val="20"/>
              <w:szCs w:val="20"/>
              <w:bdr w:val="none" w:sz="0" w:space="0" w:color="auto"/>
              <w:lang w:val="lt-LT"/>
            </w:rPr>
            <m:t>S</m:t>
          </m:r>
          <m:r>
            <m:rPr>
              <m:sty m:val="p"/>
            </m:rPr>
            <w:rPr>
              <w:rFonts w:ascii="Cambria Math" w:eastAsia="Times New Roman" w:hAnsi="Cambria Math"/>
              <w:sz w:val="20"/>
              <w:szCs w:val="20"/>
              <w:bdr w:val="none" w:sz="0" w:space="0" w:color="auto"/>
              <w:lang w:val="lt-LT"/>
            </w:rPr>
            <m:t>=</m:t>
          </m:r>
          <m:r>
            <w:rPr>
              <w:rFonts w:ascii="Cambria Math" w:eastAsia="Times New Roman" w:hAnsi="Cambria Math"/>
              <w:sz w:val="20"/>
              <w:szCs w:val="20"/>
              <w:bdr w:val="none" w:sz="0" w:space="0" w:color="auto"/>
              <w:lang w:val="lt-LT"/>
            </w:rPr>
            <m:t>C</m:t>
          </m:r>
          <m:r>
            <m:rPr>
              <m:sty m:val="p"/>
            </m:rPr>
            <w:rPr>
              <w:rFonts w:ascii="Cambria Math" w:eastAsia="Times New Roman" w:hAnsi="Cambria Math"/>
              <w:sz w:val="20"/>
              <w:szCs w:val="20"/>
              <w:bdr w:val="none" w:sz="0" w:space="0" w:color="auto"/>
              <w:lang w:val="lt-LT"/>
            </w:rPr>
            <m:t>+</m:t>
          </m:r>
          <m:r>
            <w:rPr>
              <w:rFonts w:ascii="Cambria Math" w:eastAsia="Times New Roman" w:hAnsi="Cambria Math"/>
              <w:sz w:val="20"/>
              <w:szCs w:val="20"/>
              <w:bdr w:val="none" w:sz="0" w:space="0" w:color="auto"/>
              <w:lang w:val="lt-LT"/>
            </w:rPr>
            <m:t>T</m:t>
          </m:r>
        </m:oMath>
      </m:oMathPara>
    </w:p>
    <w:p w:rsidR="00FB3E60" w:rsidRPr="00FB3E60" w:rsidRDefault="00FB3E60" w:rsidP="00FB3E60">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284" w:firstLine="774"/>
        <w:jc w:val="center"/>
        <w:textAlignment w:val="baseline"/>
        <w:rPr>
          <w:rFonts w:ascii="Verdana" w:eastAsia="Times New Roman" w:hAnsi="Verdana"/>
          <w:sz w:val="20"/>
          <w:szCs w:val="20"/>
          <w:bdr w:val="none" w:sz="0" w:space="0" w:color="auto"/>
          <w:lang w:val="lt-LT"/>
        </w:rPr>
      </w:pPr>
    </w:p>
    <w:p w:rsidR="00FB3E60" w:rsidRDefault="00FB3E60">
      <w:pPr>
        <w:pStyle w:val="Body2"/>
        <w:rPr>
          <w:lang w:val="lt-LT"/>
        </w:rPr>
      </w:pPr>
      <w:r>
        <w:rPr>
          <w:lang w:val="lt-LT"/>
        </w:rPr>
        <w:tab/>
        <w:t xml:space="preserve">3.2. </w:t>
      </w:r>
      <w:r w:rsidR="00CC6B68" w:rsidRPr="00A13478">
        <w:rPr>
          <w:lang w:val="lt-LT"/>
        </w:rPr>
        <w:t>Kiekvieno tiekėjo pasiūlymo pirmo kriterijaus - pasiūlymo kainos (C) balas apskaičiuojamas mažiausios pasiūlytos kainos (Cmin) ir vertinamo pasiūlymo kainos (Cp) santykį padauginus iš kainos lyginamojo svorio (X). Pasiūlymo kainos balo apskaičiavimui taikoma formulė</w:t>
      </w:r>
    </w:p>
    <w:p w:rsidR="00FB3E60" w:rsidRDefault="00FB3E60" w:rsidP="00FB3E60">
      <w:pPr>
        <w:pStyle w:val="Body2"/>
        <w:jc w:val="center"/>
        <w:rPr>
          <w:lang w:val="lt-LT"/>
        </w:rPr>
      </w:pPr>
      <w:r w:rsidRPr="00FB3E60">
        <w:rPr>
          <w:rFonts w:ascii="Verdana" w:eastAsia="Times New Roman" w:hAnsi="Verdana" w:cs="Times New Roman"/>
          <w:noProof/>
          <w:color w:val="auto"/>
          <w:sz w:val="20"/>
          <w:szCs w:val="20"/>
          <w:bdr w:val="none" w:sz="0" w:space="0" w:color="auto"/>
        </w:rPr>
        <w:drawing>
          <wp:inline distT="0" distB="0" distL="0" distR="0" wp14:anchorId="54D16404" wp14:editId="7FF6E077">
            <wp:extent cx="828044" cy="448312"/>
            <wp:effectExtent l="0" t="0" r="0" b="8888"/>
            <wp:docPr id="4" name="Picture 1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rcRect/>
                    <a:stretch>
                      <a:fillRect/>
                    </a:stretch>
                  </pic:blipFill>
                  <pic:spPr>
                    <a:xfrm>
                      <a:off x="0" y="0"/>
                      <a:ext cx="828044" cy="448312"/>
                    </a:xfrm>
                    <a:prstGeom prst="rect">
                      <a:avLst/>
                    </a:prstGeom>
                    <a:noFill/>
                    <a:ln>
                      <a:noFill/>
                      <a:prstDash/>
                    </a:ln>
                  </pic:spPr>
                </pic:pic>
              </a:graphicData>
            </a:graphic>
          </wp:inline>
        </w:drawing>
      </w:r>
    </w:p>
    <w:p w:rsidR="00900439" w:rsidRPr="00A13478" w:rsidRDefault="00900439">
      <w:pPr>
        <w:pStyle w:val="Body2"/>
        <w:rPr>
          <w:lang w:val="lt-LT"/>
        </w:rPr>
      </w:pPr>
    </w:p>
    <w:p w:rsidR="00900439" w:rsidRPr="00D6369D" w:rsidRDefault="00CC6B68">
      <w:pPr>
        <w:pStyle w:val="Body2"/>
        <w:rPr>
          <w:lang w:val="lt-LT"/>
        </w:rPr>
      </w:pPr>
      <w:r w:rsidRPr="00A13478">
        <w:rPr>
          <w:lang w:val="lt-LT"/>
        </w:rPr>
        <w:tab/>
      </w:r>
      <w:r w:rsidRPr="00D6369D">
        <w:rPr>
          <w:lang w:val="lt-LT"/>
        </w:rPr>
        <w:t>3.</w:t>
      </w:r>
      <w:r w:rsidR="00FB3E60">
        <w:rPr>
          <w:lang w:val="lt-LT"/>
        </w:rPr>
        <w:t>3</w:t>
      </w:r>
      <w:r w:rsidRPr="00D6369D">
        <w:rPr>
          <w:lang w:val="lt-LT"/>
        </w:rPr>
        <w:t>. Kiekvieno tiekėjo pasiūlymo kokybės kriterij</w:t>
      </w:r>
      <w:r w:rsidR="009D3F28" w:rsidRPr="00D6369D">
        <w:rPr>
          <w:lang w:val="lt-LT"/>
        </w:rPr>
        <w:t>aus</w:t>
      </w:r>
      <w:r w:rsidRPr="00D6369D">
        <w:rPr>
          <w:lang w:val="lt-LT"/>
        </w:rPr>
        <w:t xml:space="preserve"> </w:t>
      </w:r>
      <w:r w:rsidR="001922F3" w:rsidRPr="00D6369D">
        <w:rPr>
          <w:lang w:val="lt-LT"/>
        </w:rPr>
        <w:t>T</w:t>
      </w:r>
      <w:r w:rsidRPr="00D6369D">
        <w:rPr>
          <w:lang w:val="lt-LT"/>
        </w:rPr>
        <w:t xml:space="preserve"> balai apskaičiuojami, šia tvarka:</w:t>
      </w:r>
    </w:p>
    <w:p w:rsidR="00105876" w:rsidRPr="008B7EDB" w:rsidRDefault="00CC6B68" w:rsidP="00105876">
      <w:pPr>
        <w:pStyle w:val="Body2"/>
        <w:ind w:firstLine="720"/>
      </w:pPr>
      <w:r w:rsidRPr="00DE2455">
        <w:rPr>
          <w:lang w:val="lt-LT"/>
        </w:rPr>
        <w:lastRenderedPageBreak/>
        <w:t>3.</w:t>
      </w:r>
      <w:r w:rsidR="00105876">
        <w:rPr>
          <w:lang w:val="lt-LT"/>
        </w:rPr>
        <w:t>3</w:t>
      </w:r>
      <w:r w:rsidRPr="00DE2455">
        <w:rPr>
          <w:lang w:val="lt-LT"/>
        </w:rPr>
        <w:t>.1. Pasiūlymo T</w:t>
      </w:r>
      <w:r w:rsidR="00023212">
        <w:rPr>
          <w:lang w:val="lt-LT"/>
        </w:rPr>
        <w:t>1</w:t>
      </w:r>
      <w:r w:rsidRPr="00DE2455">
        <w:rPr>
          <w:lang w:val="lt-LT"/>
        </w:rPr>
        <w:t xml:space="preserve"> reikšmė yra tiekėjo pasiūlyme nurodyta </w:t>
      </w:r>
      <w:r w:rsidR="00953242">
        <w:rPr>
          <w:lang w:val="lt-LT"/>
        </w:rPr>
        <w:t>t</w:t>
      </w:r>
      <w:r w:rsidR="009D3F28" w:rsidRPr="00DE2455">
        <w:rPr>
          <w:color w:val="auto"/>
          <w:lang w:val="lt-LT"/>
        </w:rPr>
        <w:t xml:space="preserve">iekėjo suteikiama </w:t>
      </w:r>
      <w:r w:rsidR="00023212" w:rsidRPr="00023212">
        <w:rPr>
          <w:color w:val="auto"/>
          <w:lang w:val="lt-LT"/>
        </w:rPr>
        <w:t>Paslaugos teikimo sutrikimo atveju, gedimų pašalinimo trukmė</w:t>
      </w:r>
      <w:r w:rsidR="00023212">
        <w:rPr>
          <w:color w:val="auto"/>
          <w:lang w:val="lt-LT"/>
        </w:rPr>
        <w:t xml:space="preserve"> </w:t>
      </w:r>
      <w:r w:rsidR="00023212" w:rsidRPr="00023212">
        <w:rPr>
          <w:color w:val="auto"/>
          <w:lang w:val="lt-LT"/>
        </w:rPr>
        <w:t>(T1)</w:t>
      </w:r>
      <w:r w:rsidR="009D3F28" w:rsidRPr="00DE2455">
        <w:rPr>
          <w:color w:val="auto"/>
          <w:lang w:val="lt-LT"/>
        </w:rPr>
        <w:t xml:space="preserve">: </w:t>
      </w:r>
      <w:r w:rsidRPr="00DE2455">
        <w:rPr>
          <w:color w:val="auto"/>
          <w:lang w:val="lt-LT"/>
        </w:rPr>
        <w:t xml:space="preserve"> </w:t>
      </w:r>
      <w:r w:rsidRPr="00DE2455">
        <w:rPr>
          <w:color w:val="C03A2A"/>
          <w:lang w:val="lt-LT"/>
        </w:rPr>
        <w:t>matavimo vieneta</w:t>
      </w:r>
      <w:r w:rsidR="009D3F28" w:rsidRPr="00DE2455">
        <w:rPr>
          <w:color w:val="C03A2A"/>
          <w:lang w:val="lt-LT"/>
        </w:rPr>
        <w:t xml:space="preserve">s- </w:t>
      </w:r>
      <w:r w:rsidRPr="00DE2455">
        <w:rPr>
          <w:color w:val="C03A2A"/>
          <w:lang w:val="lt-LT"/>
        </w:rPr>
        <w:t xml:space="preserve"> </w:t>
      </w:r>
      <w:r w:rsidR="00023212">
        <w:rPr>
          <w:color w:val="C03A2A"/>
          <w:lang w:val="lt-LT"/>
        </w:rPr>
        <w:t>gedimų pašalinimo trukmė</w:t>
      </w:r>
      <w:r w:rsidRPr="00DE2455">
        <w:rPr>
          <w:color w:val="C03A2A"/>
          <w:lang w:val="lt-LT"/>
        </w:rPr>
        <w:t xml:space="preserve">s </w:t>
      </w:r>
      <w:r w:rsidR="00023212">
        <w:rPr>
          <w:color w:val="C03A2A"/>
          <w:lang w:val="lt-LT"/>
        </w:rPr>
        <w:t>valandomis</w:t>
      </w:r>
      <w:r w:rsidR="008B7EDB">
        <w:rPr>
          <w:lang w:val="lt-LT"/>
        </w:rPr>
        <w:t xml:space="preserve"> reikšmė, nustatoma pagal </w:t>
      </w:r>
      <w:r w:rsidR="00953242">
        <w:rPr>
          <w:lang w:val="lt-LT"/>
        </w:rPr>
        <w:t>t</w:t>
      </w:r>
      <w:r w:rsidRPr="00DE2455">
        <w:rPr>
          <w:lang w:val="lt-LT"/>
        </w:rPr>
        <w:t xml:space="preserve">iekėjo su pasiūlymu pateiktą </w:t>
      </w:r>
      <w:r w:rsidR="009D3F28" w:rsidRPr="00DE2455">
        <w:rPr>
          <w:lang w:val="lt-LT"/>
        </w:rPr>
        <w:t>(</w:t>
      </w:r>
      <w:r w:rsidR="009D3F28" w:rsidRPr="00DE2455">
        <w:rPr>
          <w:color w:val="C03A2A"/>
          <w:lang w:val="lt-LT"/>
        </w:rPr>
        <w:t>užpildytą pasiūlym</w:t>
      </w:r>
      <w:r w:rsidR="00DE2455" w:rsidRPr="00DE2455">
        <w:rPr>
          <w:color w:val="C03A2A"/>
          <w:lang w:val="lt-LT"/>
        </w:rPr>
        <w:t>o formoje eilutę</w:t>
      </w:r>
      <w:r w:rsidR="009D3F28" w:rsidRPr="00DE2455">
        <w:rPr>
          <w:color w:val="C03A2A"/>
          <w:lang w:val="lt-LT"/>
        </w:rPr>
        <w:t xml:space="preserve"> </w:t>
      </w:r>
      <w:r w:rsidR="00DE2455" w:rsidRPr="00DE2455">
        <w:rPr>
          <w:color w:val="C03A2A"/>
          <w:lang w:val="lt-LT"/>
        </w:rPr>
        <w:t>„</w:t>
      </w:r>
      <w:r w:rsidR="00023212" w:rsidRPr="00023212">
        <w:rPr>
          <w:b/>
          <w:lang w:val="lt-LT"/>
        </w:rPr>
        <w:t>Paslaugos teikimo sutrikimo atveju, gedimų pašalinimo trukmė</w:t>
      </w:r>
      <w:r w:rsidR="00BE3621">
        <w:rPr>
          <w:b/>
          <w:lang w:val="lt-LT"/>
        </w:rPr>
        <w:t xml:space="preserve"> </w:t>
      </w:r>
      <w:r w:rsidR="00023212" w:rsidRPr="00023212">
        <w:rPr>
          <w:b/>
          <w:lang w:val="lt-LT"/>
        </w:rPr>
        <w:t>(T1)</w:t>
      </w:r>
      <w:r w:rsidR="00F7134E">
        <w:rPr>
          <w:b/>
          <w:lang w:val="lt-LT"/>
        </w:rPr>
        <w:t xml:space="preserve"> </w:t>
      </w:r>
      <w:r w:rsidR="00023212">
        <w:rPr>
          <w:b/>
          <w:lang w:val="lt-LT"/>
        </w:rPr>
        <w:t xml:space="preserve">val </w:t>
      </w:r>
      <w:r w:rsidR="00DE2455" w:rsidRPr="00DE2455">
        <w:rPr>
          <w:b/>
          <w:szCs w:val="24"/>
          <w:lang w:val="lt-LT"/>
        </w:rPr>
        <w:t>”</w:t>
      </w:r>
      <w:r w:rsidR="009D3F28" w:rsidRPr="008B7EDB">
        <w:rPr>
          <w:color w:val="auto"/>
          <w:lang w:val="lt-LT"/>
        </w:rPr>
        <w:t>)</w:t>
      </w:r>
      <w:r w:rsidRPr="00DE2455">
        <w:rPr>
          <w:lang w:val="lt-LT"/>
        </w:rPr>
        <w:t xml:space="preserve">. </w:t>
      </w:r>
      <w:r w:rsidR="00DE2455" w:rsidRPr="00DE2455">
        <w:rPr>
          <w:lang w:val="lt-LT"/>
        </w:rPr>
        <w:t xml:space="preserve">Minimali reikalaujama reikšmė </w:t>
      </w:r>
      <w:r w:rsidR="00023212">
        <w:rPr>
          <w:lang w:val="lt-LT"/>
        </w:rPr>
        <w:t xml:space="preserve">pagal 1 priedo Techninė specifikacija 1.6 p. reikalavimus </w:t>
      </w:r>
      <w:r w:rsidR="006313FE">
        <w:rPr>
          <w:lang w:val="lt-LT"/>
        </w:rPr>
        <w:t>(</w:t>
      </w:r>
      <w:r w:rsidR="00023212">
        <w:rPr>
          <w:color w:val="C03A2A"/>
          <w:lang w:val="lt-LT"/>
        </w:rPr>
        <w:t>gedimų pašalinimo trukmė 12</w:t>
      </w:r>
      <w:r w:rsidR="006313FE" w:rsidRPr="00105876">
        <w:rPr>
          <w:color w:val="auto"/>
          <w:lang w:val="lt-LT"/>
        </w:rPr>
        <w:t>)</w:t>
      </w:r>
      <w:r w:rsidR="00DE2455" w:rsidRPr="00DE2455">
        <w:rPr>
          <w:lang w:val="lt-LT"/>
        </w:rPr>
        <w:t xml:space="preserve">. Maksimali vertinama reikšmė </w:t>
      </w:r>
      <w:r w:rsidR="006313FE">
        <w:rPr>
          <w:lang w:val="lt-LT"/>
        </w:rPr>
        <w:t>(</w:t>
      </w:r>
      <w:r w:rsidR="00023212">
        <w:rPr>
          <w:color w:val="C03A2A"/>
          <w:lang w:val="lt-LT"/>
        </w:rPr>
        <w:t>gedimų pašalinimo trukmė</w:t>
      </w:r>
      <w:r w:rsidR="008B7EDB">
        <w:rPr>
          <w:color w:val="C03A2A"/>
          <w:lang w:val="lt-LT"/>
        </w:rPr>
        <w:t xml:space="preserve"> 8 </w:t>
      </w:r>
      <w:r w:rsidR="006313FE" w:rsidRPr="00105876">
        <w:rPr>
          <w:color w:val="auto"/>
          <w:lang w:val="lt-LT"/>
        </w:rPr>
        <w:t>)</w:t>
      </w:r>
      <w:r w:rsidR="00105876">
        <w:rPr>
          <w:lang w:val="lt-LT"/>
        </w:rPr>
        <w:t xml:space="preserve"> t.y. </w:t>
      </w:r>
      <w:r w:rsidR="00105876" w:rsidRPr="008B7EDB">
        <w:t xml:space="preserve">vertinamas </w:t>
      </w:r>
      <w:r w:rsidR="00953242">
        <w:t>t</w:t>
      </w:r>
      <w:r w:rsidR="00105876" w:rsidRPr="008B7EDB">
        <w:t>iekėjo siūlomas paslaugos teikimo sutrikimo atveju gedimų pašalinimo trukmės (val) skaičius, viršijantis nurodytą minimalų skaičių (</w:t>
      </w:r>
      <w:r w:rsidR="00105876" w:rsidRPr="008B7EDB">
        <w:rPr>
          <w:lang w:val="lt-LT"/>
        </w:rPr>
        <w:t>1 priede. Techninė specifikacija 1.6 punkte nurodyta reikšmė val</w:t>
      </w:r>
      <w:r w:rsidR="00105876" w:rsidRPr="008B7EDB">
        <w:t xml:space="preserve">) </w:t>
      </w:r>
      <w:r w:rsidR="00105876" w:rsidRPr="008B7EDB">
        <w:rPr>
          <w:lang w:val="lt-LT"/>
        </w:rPr>
        <w:t>12.</w:t>
      </w:r>
    </w:p>
    <w:p w:rsidR="00D6369D" w:rsidRDefault="00D6369D" w:rsidP="009D3F28">
      <w:pPr>
        <w:pStyle w:val="Body2"/>
        <w:ind w:firstLine="720"/>
        <w:rPr>
          <w:lang w:val="lt-LT"/>
        </w:rPr>
      </w:pPr>
    </w:p>
    <w:p w:rsidR="008265D7" w:rsidRDefault="008265D7" w:rsidP="009D3F28">
      <w:pPr>
        <w:pStyle w:val="Body2"/>
        <w:ind w:firstLine="720"/>
        <w:rPr>
          <w:lang w:val="lt-LT"/>
        </w:rPr>
      </w:pPr>
      <w:r w:rsidRPr="008265D7">
        <w:rPr>
          <w:lang w:val="lt-LT"/>
        </w:rPr>
        <w:t>3.</w:t>
      </w:r>
      <w:r w:rsidR="00105876">
        <w:rPr>
          <w:lang w:val="lt-LT"/>
        </w:rPr>
        <w:t>3</w:t>
      </w:r>
      <w:r w:rsidRPr="008265D7">
        <w:rPr>
          <w:lang w:val="lt-LT"/>
        </w:rPr>
        <w:t xml:space="preserve">.2. Perkančioji organizacija nustato tokias </w:t>
      </w:r>
      <w:r w:rsidR="00953242">
        <w:rPr>
          <w:lang w:val="lt-LT"/>
        </w:rPr>
        <w:t>gedimų šalinimo</w:t>
      </w:r>
      <w:r w:rsidRPr="008265D7">
        <w:rPr>
          <w:lang w:val="lt-LT"/>
        </w:rPr>
        <w:t xml:space="preserve"> trukmės minimalias ir maksimalias reikšmes</w:t>
      </w:r>
      <w:r>
        <w:rPr>
          <w:lang w:val="lt-LT"/>
        </w:rPr>
        <w:t>:</w:t>
      </w:r>
    </w:p>
    <w:tbl>
      <w:tblPr>
        <w:tblW w:w="5000" w:type="pct"/>
        <w:tblBorders>
          <w:top w:val="single" w:sz="8" w:space="0" w:color="000000"/>
          <w:left w:val="single" w:sz="8" w:space="0" w:color="000000"/>
          <w:bottom w:val="single" w:sz="8" w:space="0" w:color="000000"/>
          <w:right w:val="single" w:sz="8" w:space="0" w:color="000000"/>
        </w:tblBorders>
        <w:tblLook w:val="0000" w:firstRow="0" w:lastRow="0" w:firstColumn="0" w:lastColumn="0" w:noHBand="0" w:noVBand="0"/>
      </w:tblPr>
      <w:tblGrid>
        <w:gridCol w:w="4983"/>
        <w:gridCol w:w="4912"/>
      </w:tblGrid>
      <w:tr w:rsidR="008265D7" w:rsidRPr="00BA3D3D" w:rsidTr="008B7EDB">
        <w:trPr>
          <w:trHeight w:val="20"/>
        </w:trPr>
        <w:tc>
          <w:tcPr>
            <w:tcW w:w="2518" w:type="pct"/>
            <w:tcBorders>
              <w:top w:val="single" w:sz="8" w:space="0" w:color="000000"/>
              <w:bottom w:val="single" w:sz="8" w:space="0" w:color="000000"/>
              <w:right w:val="single" w:sz="8" w:space="0" w:color="000000"/>
            </w:tcBorders>
            <w:vAlign w:val="center"/>
          </w:tcPr>
          <w:p w:rsidR="008265D7" w:rsidRPr="00953242" w:rsidRDefault="008265D7" w:rsidP="00301F2B">
            <w:pPr>
              <w:jc w:val="center"/>
              <w:rPr>
                <w:b/>
                <w:sz w:val="22"/>
                <w:szCs w:val="22"/>
                <w:lang w:val="lt-LT"/>
              </w:rPr>
            </w:pPr>
            <w:r w:rsidRPr="00953242">
              <w:rPr>
                <w:b/>
                <w:sz w:val="22"/>
                <w:szCs w:val="22"/>
                <w:lang w:val="lt-LT"/>
              </w:rPr>
              <w:t>Minimali vertinama reikšmė</w:t>
            </w:r>
          </w:p>
          <w:p w:rsidR="008265D7" w:rsidRPr="00953242" w:rsidRDefault="008265D7" w:rsidP="008265D7">
            <w:pPr>
              <w:jc w:val="center"/>
              <w:rPr>
                <w:b/>
                <w:sz w:val="22"/>
                <w:szCs w:val="22"/>
                <w:lang w:val="lt-LT"/>
              </w:rPr>
            </w:pPr>
            <w:r w:rsidRPr="00953242">
              <w:rPr>
                <w:b/>
                <w:sz w:val="22"/>
                <w:szCs w:val="22"/>
                <w:lang w:val="lt-LT"/>
              </w:rPr>
              <w:t>(reikalaujama gedimų pašalinimo trukmė)</w:t>
            </w:r>
          </w:p>
        </w:tc>
        <w:tc>
          <w:tcPr>
            <w:tcW w:w="2482" w:type="pct"/>
            <w:tcBorders>
              <w:top w:val="single" w:sz="8" w:space="0" w:color="000000"/>
              <w:left w:val="single" w:sz="8" w:space="0" w:color="000000"/>
              <w:bottom w:val="single" w:sz="8" w:space="0" w:color="000000"/>
              <w:right w:val="single" w:sz="8" w:space="0" w:color="000000"/>
            </w:tcBorders>
            <w:vAlign w:val="center"/>
          </w:tcPr>
          <w:p w:rsidR="008265D7" w:rsidRPr="00953242" w:rsidRDefault="008265D7" w:rsidP="008265D7">
            <w:pPr>
              <w:jc w:val="center"/>
              <w:rPr>
                <w:b/>
                <w:sz w:val="22"/>
                <w:szCs w:val="22"/>
                <w:lang w:val="lt-LT"/>
              </w:rPr>
            </w:pPr>
            <w:r w:rsidRPr="00953242">
              <w:rPr>
                <w:b/>
                <w:sz w:val="22"/>
                <w:szCs w:val="22"/>
                <w:lang w:val="lt-LT"/>
              </w:rPr>
              <w:t>Maksimali vertinama reikšmė (suteikiama Tiekėjo)</w:t>
            </w:r>
          </w:p>
        </w:tc>
      </w:tr>
      <w:tr w:rsidR="008265D7" w:rsidRPr="0013668F" w:rsidTr="008B7EDB">
        <w:trPr>
          <w:trHeight w:val="20"/>
        </w:trPr>
        <w:tc>
          <w:tcPr>
            <w:tcW w:w="2518" w:type="pct"/>
            <w:tcBorders>
              <w:top w:val="single" w:sz="8" w:space="0" w:color="000000"/>
              <w:bottom w:val="single" w:sz="8" w:space="0" w:color="000000"/>
              <w:right w:val="single" w:sz="8" w:space="0" w:color="000000"/>
            </w:tcBorders>
          </w:tcPr>
          <w:p w:rsidR="008265D7" w:rsidRPr="00953242" w:rsidRDefault="008265D7" w:rsidP="008265D7">
            <w:pPr>
              <w:jc w:val="center"/>
              <w:rPr>
                <w:b/>
                <w:iCs/>
                <w:sz w:val="22"/>
                <w:szCs w:val="22"/>
                <w:lang w:val="lt-LT"/>
              </w:rPr>
            </w:pPr>
            <w:r w:rsidRPr="00953242">
              <w:rPr>
                <w:b/>
                <w:iCs/>
                <w:sz w:val="22"/>
                <w:szCs w:val="22"/>
                <w:lang w:val="lt-LT"/>
              </w:rPr>
              <w:t>12</w:t>
            </w:r>
          </w:p>
        </w:tc>
        <w:tc>
          <w:tcPr>
            <w:tcW w:w="2482" w:type="pct"/>
            <w:tcBorders>
              <w:left w:val="single" w:sz="8" w:space="0" w:color="000000"/>
              <w:right w:val="single" w:sz="8" w:space="0" w:color="000000"/>
            </w:tcBorders>
          </w:tcPr>
          <w:p w:rsidR="008265D7" w:rsidRPr="00953242" w:rsidRDefault="008265D7" w:rsidP="008265D7">
            <w:pPr>
              <w:jc w:val="center"/>
              <w:rPr>
                <w:b/>
                <w:iCs/>
                <w:sz w:val="22"/>
                <w:szCs w:val="22"/>
                <w:lang w:val="lt-LT"/>
              </w:rPr>
            </w:pPr>
            <w:r w:rsidRPr="00953242">
              <w:rPr>
                <w:b/>
                <w:iCs/>
                <w:sz w:val="22"/>
                <w:szCs w:val="22"/>
                <w:lang w:val="lt-LT"/>
              </w:rPr>
              <w:t>8</w:t>
            </w:r>
          </w:p>
        </w:tc>
      </w:tr>
    </w:tbl>
    <w:p w:rsidR="008B7EDB" w:rsidRPr="008B7EDB" w:rsidRDefault="008B7EDB" w:rsidP="008B7EDB">
      <w:pPr>
        <w:pStyle w:val="Body2"/>
        <w:ind w:firstLine="720"/>
      </w:pPr>
      <w:r w:rsidRPr="008B7EDB">
        <w:t>3.</w:t>
      </w:r>
      <w:r w:rsidR="00105876">
        <w:t>3</w:t>
      </w:r>
      <w:r w:rsidRPr="008B7EDB">
        <w:t>.</w:t>
      </w:r>
      <w:r w:rsidR="00105876">
        <w:t xml:space="preserve">3. </w:t>
      </w:r>
      <w:r w:rsidRPr="008B7EDB">
        <w:t>Jei Tiekėjo siūloma gedimų šalinimo trukmė atitinka tik minimalų reikalavimą (12 val), jam skiriama 0 balų (už 12 val skiriama 0 balų).</w:t>
      </w:r>
    </w:p>
    <w:p w:rsidR="008B7EDB" w:rsidRPr="008B7EDB" w:rsidRDefault="008B7EDB" w:rsidP="008B7EDB">
      <w:pPr>
        <w:pStyle w:val="Body2"/>
        <w:ind w:firstLine="720"/>
        <w:rPr>
          <w:lang w:val="lt-LT"/>
        </w:rPr>
      </w:pPr>
      <w:r w:rsidRPr="008B7EDB">
        <w:t>3.3.</w:t>
      </w:r>
      <w:r w:rsidR="00105876">
        <w:t xml:space="preserve">4. </w:t>
      </w:r>
      <w:r w:rsidR="00105876">
        <w:rPr>
          <w:lang w:val="lt-LT"/>
        </w:rPr>
        <w:t>Jei T</w:t>
      </w:r>
      <w:r w:rsidRPr="008B7EDB">
        <w:rPr>
          <w:lang w:val="lt-LT"/>
        </w:rPr>
        <w:t>iekėjo pasiūlyta reikšmė yra didesnė nei maksimali vertinama reikšmė, T balo apskaičiavimui imama  maksimali vertinama reikšmė</w:t>
      </w:r>
      <w:r w:rsidR="00953242">
        <w:rPr>
          <w:lang w:val="lt-LT"/>
        </w:rPr>
        <w:t xml:space="preserve"> (8)</w:t>
      </w:r>
      <w:r w:rsidRPr="008B7EDB">
        <w:rPr>
          <w:lang w:val="lt-LT"/>
        </w:rPr>
        <w:t>.</w:t>
      </w:r>
    </w:p>
    <w:p w:rsidR="00DE6F7E" w:rsidRDefault="00CC6B68" w:rsidP="00060A45">
      <w:pPr>
        <w:pStyle w:val="Body2"/>
        <w:ind w:firstLine="720"/>
        <w:rPr>
          <w:lang w:val="lt-LT"/>
        </w:rPr>
      </w:pPr>
      <w:r w:rsidRPr="00A13478">
        <w:rPr>
          <w:lang w:val="lt-LT"/>
        </w:rPr>
        <w:t>3.</w:t>
      </w:r>
      <w:r w:rsidR="00105876">
        <w:rPr>
          <w:lang w:val="lt-LT"/>
        </w:rPr>
        <w:t>3</w:t>
      </w:r>
      <w:r w:rsidRPr="00A13478">
        <w:rPr>
          <w:lang w:val="lt-LT"/>
        </w:rPr>
        <w:t>.</w:t>
      </w:r>
      <w:r w:rsidR="00105876">
        <w:rPr>
          <w:lang w:val="lt-LT"/>
        </w:rPr>
        <w:t>5</w:t>
      </w:r>
      <w:r w:rsidRPr="00A13478">
        <w:rPr>
          <w:lang w:val="lt-LT"/>
        </w:rPr>
        <w:t>. Pasiūlymo T balas apskaičiuojamas</w:t>
      </w:r>
      <w:r w:rsidR="00DE6F7E">
        <w:rPr>
          <w:lang w:val="lt-LT"/>
        </w:rPr>
        <w:t>:</w:t>
      </w:r>
    </w:p>
    <w:p w:rsidR="00900439" w:rsidRDefault="00DE6F7E" w:rsidP="00060A45">
      <w:pPr>
        <w:pStyle w:val="Body2"/>
        <w:ind w:firstLine="720"/>
        <w:rPr>
          <w:lang w:val="lt-LT"/>
        </w:rPr>
      </w:pPr>
      <w:r>
        <w:rPr>
          <w:lang w:val="lt-LT"/>
        </w:rPr>
        <w:t>3.</w:t>
      </w:r>
      <w:r w:rsidR="00105876">
        <w:rPr>
          <w:lang w:val="lt-LT"/>
        </w:rPr>
        <w:t>3</w:t>
      </w:r>
      <w:r>
        <w:rPr>
          <w:lang w:val="lt-LT"/>
        </w:rPr>
        <w:t>.</w:t>
      </w:r>
      <w:r w:rsidR="00105876">
        <w:rPr>
          <w:lang w:val="lt-LT"/>
        </w:rPr>
        <w:t>5</w:t>
      </w:r>
      <w:r>
        <w:rPr>
          <w:lang w:val="lt-LT"/>
        </w:rPr>
        <w:t xml:space="preserve">.1. iš </w:t>
      </w:r>
      <w:r w:rsidR="00066966">
        <w:rPr>
          <w:lang w:val="lt-LT"/>
        </w:rPr>
        <w:t xml:space="preserve">minimalios gedimų šalinimo trukmės valandomis </w:t>
      </w:r>
      <w:r w:rsidR="00953242">
        <w:rPr>
          <w:lang w:val="lt-LT"/>
        </w:rPr>
        <w:t>(</w:t>
      </w:r>
      <w:r w:rsidR="003372ED">
        <w:rPr>
          <w:lang w:val="lt-LT"/>
        </w:rPr>
        <w:t>12</w:t>
      </w:r>
      <w:r w:rsidR="00953242">
        <w:rPr>
          <w:lang w:val="lt-LT"/>
        </w:rPr>
        <w:t>)</w:t>
      </w:r>
      <w:r w:rsidR="00066966">
        <w:rPr>
          <w:lang w:val="lt-LT"/>
        </w:rPr>
        <w:t xml:space="preserve"> atimti T1 reikšmę (</w:t>
      </w:r>
      <w:r w:rsidR="00CC6B68" w:rsidRPr="00A13478">
        <w:rPr>
          <w:lang w:val="lt-LT"/>
        </w:rPr>
        <w:t>vertinamo pasiūlymo</w:t>
      </w:r>
      <w:r>
        <w:rPr>
          <w:lang w:val="lt-LT"/>
        </w:rPr>
        <w:t xml:space="preserve"> </w:t>
      </w:r>
      <w:r w:rsidR="00953242">
        <w:rPr>
          <w:lang w:val="lt-LT"/>
        </w:rPr>
        <w:t>t</w:t>
      </w:r>
      <w:r w:rsidR="003372ED">
        <w:rPr>
          <w:lang w:val="lt-LT"/>
        </w:rPr>
        <w:t xml:space="preserve">iekėjų </w:t>
      </w:r>
      <w:r w:rsidR="00066966">
        <w:rPr>
          <w:lang w:val="lt-LT"/>
        </w:rPr>
        <w:t xml:space="preserve">siūloma </w:t>
      </w:r>
      <w:r w:rsidR="00221326">
        <w:rPr>
          <w:lang w:val="lt-LT"/>
        </w:rPr>
        <w:t>gedimų šalinimo</w:t>
      </w:r>
      <w:r w:rsidR="00C4307F">
        <w:rPr>
          <w:lang w:val="lt-LT"/>
        </w:rPr>
        <w:t xml:space="preserve"> trukmė </w:t>
      </w:r>
      <w:r w:rsidR="00066966">
        <w:rPr>
          <w:lang w:val="lt-LT"/>
        </w:rPr>
        <w:t xml:space="preserve">valandomis), </w:t>
      </w:r>
      <w:r w:rsidR="003938C5">
        <w:rPr>
          <w:lang w:val="lt-LT"/>
        </w:rPr>
        <w:t>tuomet</w:t>
      </w:r>
      <w:r w:rsidR="00C4307F">
        <w:rPr>
          <w:lang w:val="lt-LT"/>
        </w:rPr>
        <w:t xml:space="preserve"> gautą skaičių</w:t>
      </w:r>
      <w:r w:rsidR="00B4479E">
        <w:rPr>
          <w:lang w:val="lt-LT"/>
        </w:rPr>
        <w:t xml:space="preserve"> </w:t>
      </w:r>
      <w:r w:rsidR="00C4307F">
        <w:rPr>
          <w:lang w:val="lt-LT"/>
        </w:rPr>
        <w:t xml:space="preserve">padalinti iš </w:t>
      </w:r>
      <w:r>
        <w:rPr>
          <w:lang w:val="lt-LT"/>
        </w:rPr>
        <w:t>(</w:t>
      </w:r>
      <w:r w:rsidR="00066966">
        <w:rPr>
          <w:lang w:val="lt-LT"/>
        </w:rPr>
        <w:t>minimalios reikalaujamos gedimų šalinimo trukmės 12 a</w:t>
      </w:r>
      <w:r w:rsidR="003372ED">
        <w:rPr>
          <w:lang w:val="lt-LT"/>
        </w:rPr>
        <w:t xml:space="preserve">tėmus maksimalią vertinamą reikšmę 8) gauto skaičiaus </w:t>
      </w:r>
      <w:r w:rsidR="00B4479E" w:rsidRPr="00A13478">
        <w:rPr>
          <w:lang w:val="lt-LT"/>
        </w:rPr>
        <w:t>ir padaugin</w:t>
      </w:r>
      <w:r w:rsidR="00C4307F">
        <w:rPr>
          <w:lang w:val="lt-LT"/>
        </w:rPr>
        <w:t>ti</w:t>
      </w:r>
      <w:r w:rsidR="00B4479E" w:rsidRPr="00A13478">
        <w:rPr>
          <w:lang w:val="lt-LT"/>
        </w:rPr>
        <w:t xml:space="preserve"> iš vertinamo kriterijaus lyginamojo svorio Y.</w:t>
      </w:r>
      <w:r w:rsidR="00CC6B68" w:rsidRPr="00A13478">
        <w:rPr>
          <w:lang w:val="lt-LT"/>
        </w:rPr>
        <w:t xml:space="preserve"> Balo apskaičiavimui taikoma formulė</w:t>
      </w:r>
      <w:r w:rsidR="00C4307F">
        <w:rPr>
          <w:lang w:val="lt-LT"/>
        </w:rPr>
        <w:t>: T</w:t>
      </w:r>
      <w:r w:rsidR="00C4307F" w:rsidRPr="00A13478">
        <w:rPr>
          <w:lang w:val="lt-LT"/>
        </w:rPr>
        <w:t>=</w:t>
      </w:r>
      <w:r w:rsidR="00C4307F">
        <w:rPr>
          <w:lang w:val="lt-LT"/>
        </w:rPr>
        <w:t>(</w:t>
      </w:r>
      <w:r w:rsidR="00E349B8">
        <w:rPr>
          <w:lang w:val="lt-LT"/>
        </w:rPr>
        <w:t>12</w:t>
      </w:r>
      <w:r w:rsidR="00C4307F">
        <w:rPr>
          <w:lang w:val="lt-LT"/>
        </w:rPr>
        <w:t xml:space="preserve"> </w:t>
      </w:r>
      <w:r w:rsidR="00E349B8">
        <w:rPr>
          <w:lang w:val="lt-LT"/>
        </w:rPr>
        <w:t>–T1</w:t>
      </w:r>
      <w:r w:rsidR="00953242">
        <w:rPr>
          <w:lang w:val="lt-LT"/>
        </w:rPr>
        <w:t>(</w:t>
      </w:r>
      <w:r w:rsidR="00E349B8">
        <w:rPr>
          <w:lang w:val="lt-LT"/>
        </w:rPr>
        <w:t>vertinamo pasiūlymo reikšmė)/(12-</w:t>
      </w:r>
      <w:r w:rsidR="008265D7">
        <w:rPr>
          <w:lang w:val="lt-LT"/>
        </w:rPr>
        <w:t>8)</w:t>
      </w:r>
      <w:r w:rsidR="00C4307F">
        <w:rPr>
          <w:lang w:val="lt-LT"/>
        </w:rPr>
        <w:t>)*Y.</w:t>
      </w:r>
    </w:p>
    <w:p w:rsidR="00900439" w:rsidRPr="00A13478" w:rsidRDefault="00CC6B68">
      <w:pPr>
        <w:pStyle w:val="Body2"/>
        <w:rPr>
          <w:lang w:val="lt-LT"/>
        </w:rPr>
      </w:pPr>
      <w:r w:rsidRPr="00A13478">
        <w:rPr>
          <w:lang w:val="lt-LT"/>
        </w:rPr>
        <w:tab/>
      </w:r>
    </w:p>
    <w:p w:rsidR="007C03DB" w:rsidRDefault="00CC6B68">
      <w:pPr>
        <w:pStyle w:val="Heading"/>
        <w:rPr>
          <w:lang w:val="lt-LT"/>
        </w:rPr>
      </w:pPr>
      <w:r w:rsidRPr="00A13478">
        <w:rPr>
          <w:lang w:val="lt-LT"/>
        </w:rPr>
        <w:tab/>
      </w:r>
    </w:p>
    <w:p w:rsidR="00900439" w:rsidRPr="00A13478" w:rsidRDefault="00BE3621">
      <w:pPr>
        <w:pStyle w:val="Heading"/>
        <w:rPr>
          <w:lang w:val="lt-LT"/>
        </w:rPr>
      </w:pPr>
      <w:r>
        <w:rPr>
          <w:lang w:val="lt-LT"/>
        </w:rPr>
        <w:tab/>
      </w:r>
      <w:bookmarkStart w:id="0" w:name="_GoBack"/>
      <w:bookmarkEnd w:id="0"/>
      <w:r w:rsidR="00CC6B68" w:rsidRPr="00A13478">
        <w:rPr>
          <w:lang w:val="lt-LT"/>
        </w:rPr>
        <w:t xml:space="preserve">4. Informavimas APIE VERTINIMO REZULTATUS </w:t>
      </w:r>
    </w:p>
    <w:p w:rsidR="00900439" w:rsidRPr="00A13478" w:rsidRDefault="00900439">
      <w:pPr>
        <w:pStyle w:val="Heading"/>
        <w:rPr>
          <w:lang w:val="lt-LT"/>
        </w:rPr>
      </w:pPr>
    </w:p>
    <w:p w:rsidR="00900439" w:rsidRDefault="00CC6B68">
      <w:pPr>
        <w:pStyle w:val="Body2"/>
        <w:rPr>
          <w:lang w:val="lt-LT"/>
        </w:rPr>
      </w:pPr>
      <w:r w:rsidRPr="00A13478">
        <w:rPr>
          <w:lang w:val="lt-LT"/>
        </w:rPr>
        <w:tab/>
        <w:t>4.1. Perkančioji organizacija pranešime apie sudarytą pasiūlymų eilę ir laimėjusį pasiūlymą nurodo kiekvieno pasiūlymo kokybės kriterijų (T) balus, kainą, pasiūlymo kainos balą (C) ir bendrą pasiūlymo ekonominio naudingumo balą (S). Pasiūlymų eilė sudaroma ekonominio naudingumo balo (S) mažėjimo tvarka.</w:t>
      </w:r>
    </w:p>
    <w:p w:rsidR="00D27564" w:rsidRPr="00A13478" w:rsidRDefault="00D27564">
      <w:pPr>
        <w:pStyle w:val="Body2"/>
        <w:rPr>
          <w:lang w:val="lt-LT"/>
        </w:rPr>
      </w:pPr>
      <w:r>
        <w:rPr>
          <w:lang w:val="lt-LT"/>
        </w:rPr>
        <w:tab/>
        <w:t xml:space="preserve">4.2. </w:t>
      </w:r>
      <w:r w:rsidRPr="00D27564">
        <w:rPr>
          <w:lang w:val="lt-LT"/>
        </w:rPr>
        <w:t>Jeigu apskaičiavus balus ir sudarius pasiūlymų eilę vienas iš tiekėjų pasitraukia ar yra pašalinamas iš pirkimo, balai yra perskaičiuojami.</w:t>
      </w:r>
    </w:p>
    <w:p w:rsidR="00900439" w:rsidRPr="00A13478" w:rsidRDefault="00CC6B68" w:rsidP="00F60253">
      <w:pPr>
        <w:pStyle w:val="Body2"/>
        <w:rPr>
          <w:lang w:val="lt-LT"/>
        </w:rPr>
      </w:pPr>
      <w:r w:rsidRPr="00A13478">
        <w:rPr>
          <w:lang w:val="lt-LT"/>
        </w:rPr>
        <w:tab/>
      </w:r>
      <w:r w:rsidR="00906CB4">
        <w:rPr>
          <w:lang w:val="lt-LT"/>
        </w:rPr>
        <w:t>4.</w:t>
      </w:r>
      <w:r w:rsidR="00D27564">
        <w:rPr>
          <w:lang w:val="lt-LT"/>
        </w:rPr>
        <w:t>3</w:t>
      </w:r>
      <w:r w:rsidR="00906CB4">
        <w:rPr>
          <w:lang w:val="lt-LT"/>
        </w:rPr>
        <w:t xml:space="preserve">. </w:t>
      </w:r>
      <w:r w:rsidR="00906CB4" w:rsidRPr="00906CB4">
        <w:rPr>
          <w:lang w:val="lt-LT"/>
        </w:rPr>
        <w:t>Jeigu pirkime dalyvauja tik vienas dalyvis ekonominio naudingumo balai gali būti neskaičiuojami ir ši pasiūlymų vertinimo stadija praleidžiama. Ekonominio naudingumo balai gali būti neskaičiuojami ir ši pasiūlymų vertinimo stadija gali būti praleidžiama, kai pirkime (pirkimo objekto dalyje) dalyvauja keli tiekėjai, bet atmetus tiekėjų pasiūlymus, pirkime lieka dalyvauti tik vienas tiekėjas (situacijose, jeigu atmesti tiekėjai skundžia sprendimus dėl atmetimo ir jie grąžinami į Pirkimo procedūrą, ekonominio naudingumo balai turi būti skaičiuojami).</w:t>
      </w:r>
    </w:p>
    <w:sectPr w:rsidR="00900439" w:rsidRPr="00A13478" w:rsidSect="00023212">
      <w:pgSz w:w="11900" w:h="16840"/>
      <w:pgMar w:top="851" w:right="851"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1EF3" w:rsidRDefault="00031EF3">
      <w:r>
        <w:separator/>
      </w:r>
    </w:p>
  </w:endnote>
  <w:endnote w:type="continuationSeparator" w:id="0">
    <w:p w:rsidR="00031EF3" w:rsidRDefault="00031E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Helvetica Neue Medium">
    <w:altName w:val="Arial"/>
    <w:charset w:val="00"/>
    <w:family w:val="swiss"/>
    <w:pitch w:val="variable"/>
    <w:sig w:usb0="A00002FF" w:usb1="5000205B" w:usb2="00000002" w:usb3="00000000" w:csb0="0000009B" w:csb1="00000000"/>
  </w:font>
  <w:font w:name="Helvetica Neue Light">
    <w:altName w:val="Corbel"/>
    <w:charset w:val="00"/>
    <w:family w:val="auto"/>
    <w:pitch w:val="variable"/>
    <w:sig w:usb0="A00002FF" w:usb1="5000205B" w:usb2="00000002" w:usb3="00000000" w:csb0="00000007"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0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Helvetica Neue UltraLight">
    <w:altName w:val="Franklin Gothic Medium Cond"/>
    <w:charset w:val="00"/>
    <w:family w:val="auto"/>
    <w:pitch w:val="variable"/>
    <w:sig w:usb0="A00002FF" w:usb1="5000205B" w:usb2="00000002"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1EF3" w:rsidRDefault="00031EF3">
      <w:r>
        <w:separator/>
      </w:r>
    </w:p>
  </w:footnote>
  <w:footnote w:type="continuationSeparator" w:id="0">
    <w:p w:rsidR="00031EF3" w:rsidRDefault="00031E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439"/>
    <w:rsid w:val="00023212"/>
    <w:rsid w:val="00031EF3"/>
    <w:rsid w:val="00060A45"/>
    <w:rsid w:val="00066966"/>
    <w:rsid w:val="00105876"/>
    <w:rsid w:val="0013559F"/>
    <w:rsid w:val="0013668F"/>
    <w:rsid w:val="00185C01"/>
    <w:rsid w:val="001922F3"/>
    <w:rsid w:val="00212D01"/>
    <w:rsid w:val="00221326"/>
    <w:rsid w:val="002537EC"/>
    <w:rsid w:val="00286DFC"/>
    <w:rsid w:val="00297FDD"/>
    <w:rsid w:val="002C641D"/>
    <w:rsid w:val="002D33A8"/>
    <w:rsid w:val="0030386B"/>
    <w:rsid w:val="003227E8"/>
    <w:rsid w:val="003372ED"/>
    <w:rsid w:val="003938C5"/>
    <w:rsid w:val="00441FCE"/>
    <w:rsid w:val="00452D6E"/>
    <w:rsid w:val="004845E4"/>
    <w:rsid w:val="004A281B"/>
    <w:rsid w:val="004D78C9"/>
    <w:rsid w:val="00545583"/>
    <w:rsid w:val="005C4D55"/>
    <w:rsid w:val="00602DCC"/>
    <w:rsid w:val="006313FE"/>
    <w:rsid w:val="00647D08"/>
    <w:rsid w:val="006720D7"/>
    <w:rsid w:val="00673D76"/>
    <w:rsid w:val="006F2F10"/>
    <w:rsid w:val="00711156"/>
    <w:rsid w:val="00746993"/>
    <w:rsid w:val="007537B6"/>
    <w:rsid w:val="007605F8"/>
    <w:rsid w:val="007C03DB"/>
    <w:rsid w:val="008265D7"/>
    <w:rsid w:val="008643BF"/>
    <w:rsid w:val="00873B13"/>
    <w:rsid w:val="008B7EDB"/>
    <w:rsid w:val="00900439"/>
    <w:rsid w:val="00906CB4"/>
    <w:rsid w:val="00953242"/>
    <w:rsid w:val="009C4C02"/>
    <w:rsid w:val="009D3F28"/>
    <w:rsid w:val="00A13478"/>
    <w:rsid w:val="00AB099D"/>
    <w:rsid w:val="00AB655F"/>
    <w:rsid w:val="00AD0EE8"/>
    <w:rsid w:val="00AD2ADE"/>
    <w:rsid w:val="00AF7626"/>
    <w:rsid w:val="00B4479E"/>
    <w:rsid w:val="00B75660"/>
    <w:rsid w:val="00BA3D3D"/>
    <w:rsid w:val="00BE3621"/>
    <w:rsid w:val="00C377D7"/>
    <w:rsid w:val="00C4307F"/>
    <w:rsid w:val="00C46493"/>
    <w:rsid w:val="00C87142"/>
    <w:rsid w:val="00CC6B68"/>
    <w:rsid w:val="00D1021C"/>
    <w:rsid w:val="00D27564"/>
    <w:rsid w:val="00D31EDC"/>
    <w:rsid w:val="00D6369D"/>
    <w:rsid w:val="00D70E0B"/>
    <w:rsid w:val="00D836FF"/>
    <w:rsid w:val="00DE2455"/>
    <w:rsid w:val="00DE6F7E"/>
    <w:rsid w:val="00E073FF"/>
    <w:rsid w:val="00E32404"/>
    <w:rsid w:val="00E349B8"/>
    <w:rsid w:val="00E70507"/>
    <w:rsid w:val="00EA11BB"/>
    <w:rsid w:val="00EC3296"/>
    <w:rsid w:val="00EE0F31"/>
    <w:rsid w:val="00F026FE"/>
    <w:rsid w:val="00F60253"/>
    <w:rsid w:val="00F7134E"/>
    <w:rsid w:val="00FB3E60"/>
    <w:rsid w:val="00FC3689"/>
    <w:rsid w:val="00FF32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19F97"/>
  <w15:docId w15:val="{3854C674-148E-432D-ACF6-F3A197431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customStyle="1" w:styleId="Heading">
    <w:name w:val="Heading"/>
    <w:next w:val="Body2"/>
    <w:pPr>
      <w:outlineLvl w:val="0"/>
    </w:pPr>
    <w:rPr>
      <w:rFonts w:cs="Arial Unicode MS"/>
      <w:b/>
      <w:bCs/>
      <w:caps/>
      <w:color w:val="434343"/>
      <w:spacing w:val="4"/>
      <w:sz w:val="22"/>
      <w:szCs w:val="22"/>
    </w:rPr>
  </w:style>
  <w:style w:type="paragraph" w:customStyle="1" w:styleId="Body2">
    <w:name w:val="Body 2"/>
    <w:pPr>
      <w:suppressAutoHyphens/>
      <w:spacing w:after="40"/>
      <w:jc w:val="both"/>
    </w:pPr>
    <w:rPr>
      <w:rFonts w:cs="Arial Unicode MS"/>
      <w:color w:val="000000"/>
      <w:sz w:val="22"/>
      <w:szCs w:val="22"/>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styleId="Header">
    <w:name w:val="header"/>
    <w:basedOn w:val="Normal"/>
    <w:link w:val="HeaderChar"/>
    <w:uiPriority w:val="99"/>
    <w:unhideWhenUsed/>
    <w:rsid w:val="007605F8"/>
    <w:pPr>
      <w:tabs>
        <w:tab w:val="center" w:pos="4819"/>
        <w:tab w:val="right" w:pos="9638"/>
      </w:tabs>
    </w:pPr>
  </w:style>
  <w:style w:type="character" w:customStyle="1" w:styleId="HeaderChar">
    <w:name w:val="Header Char"/>
    <w:basedOn w:val="DefaultParagraphFont"/>
    <w:link w:val="Header"/>
    <w:uiPriority w:val="99"/>
    <w:rsid w:val="007605F8"/>
    <w:rPr>
      <w:sz w:val="24"/>
      <w:szCs w:val="24"/>
    </w:rPr>
  </w:style>
  <w:style w:type="paragraph" w:styleId="Footer">
    <w:name w:val="footer"/>
    <w:basedOn w:val="Normal"/>
    <w:link w:val="FooterChar"/>
    <w:uiPriority w:val="99"/>
    <w:unhideWhenUsed/>
    <w:rsid w:val="007605F8"/>
    <w:pPr>
      <w:tabs>
        <w:tab w:val="center" w:pos="4819"/>
        <w:tab w:val="right" w:pos="9638"/>
      </w:tabs>
    </w:pPr>
  </w:style>
  <w:style w:type="character" w:customStyle="1" w:styleId="FooterChar">
    <w:name w:val="Footer Char"/>
    <w:basedOn w:val="DefaultParagraphFont"/>
    <w:link w:val="Footer"/>
    <w:uiPriority w:val="99"/>
    <w:rsid w:val="007605F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04440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1571</TotalTime>
  <Pages>2</Pages>
  <Words>709</Words>
  <Characters>4045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KAM</Company>
  <LinksUpToDate>false</LinksUpToDate>
  <CharactersWithSpaces>4745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 Kazlauskienė</dc:creator>
  <cp:lastModifiedBy>Rūta Kuchalskienė</cp:lastModifiedBy>
  <cp:revision>32</cp:revision>
  <dcterms:created xsi:type="dcterms:W3CDTF">2025-06-16T11:41:00Z</dcterms:created>
  <dcterms:modified xsi:type="dcterms:W3CDTF">2025-11-18T12:15:00Z</dcterms:modified>
</cp:coreProperties>
</file>