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759BF2C4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FD52B0">
        <w:rPr>
          <w:rFonts w:asciiTheme="minorHAnsi" w:hAnsiTheme="minorHAnsi" w:cstheme="minorHAnsi"/>
          <w:b/>
          <w:szCs w:val="24"/>
        </w:rPr>
        <w:t>ŠALDYTŲ VAISIŲ IR DARŽOVIŲ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47790021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FD52B0">
        <w:rPr>
          <w:rFonts w:asciiTheme="minorHAnsi" w:hAnsiTheme="minorHAnsi" w:cstheme="minorHAnsi"/>
        </w:rPr>
        <w:t>šaldytų vaisių ir daržovių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06FA3EE0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11</w:t>
      </w:r>
      <w:r w:rsidR="009F2E69" w:rsidRPr="00194C25">
        <w:rPr>
          <w:rFonts w:asciiTheme="minorHAnsi" w:hAnsiTheme="minorHAnsi" w:cstheme="minorHAnsi"/>
          <w:b/>
        </w:rPr>
        <w:t>-</w:t>
      </w:r>
      <w:r w:rsidR="001A0E4B">
        <w:rPr>
          <w:rFonts w:asciiTheme="minorHAnsi" w:hAnsiTheme="minorHAnsi" w:cstheme="minorHAnsi"/>
          <w:b/>
        </w:rPr>
        <w:t>2</w:t>
      </w:r>
      <w:r w:rsidR="00FD52B0">
        <w:rPr>
          <w:rFonts w:asciiTheme="minorHAnsi" w:hAnsiTheme="minorHAnsi" w:cstheme="minorHAnsi"/>
          <w:b/>
        </w:rPr>
        <w:t>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1A0E4B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3874E942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FD52B0">
              <w:rPr>
                <w:rFonts w:asciiTheme="minorHAnsi" w:hAnsiTheme="minorHAnsi" w:cstheme="minorHAnsi"/>
              </w:rPr>
              <w:t>šaldytus vaisius ir daržoves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46C6B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D52B0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21</cp:revision>
  <cp:lastPrinted>2025-11-21T07:53:00Z</cp:lastPrinted>
  <dcterms:created xsi:type="dcterms:W3CDTF">2023-05-09T10:27:00Z</dcterms:created>
  <dcterms:modified xsi:type="dcterms:W3CDTF">2025-11-21T07:55:00Z</dcterms:modified>
</cp:coreProperties>
</file>