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7AD5" w14:textId="123C2243" w:rsidR="00834E66" w:rsidRPr="007807E2" w:rsidRDefault="00834E66" w:rsidP="006A667F">
      <w:pPr>
        <w:pStyle w:val="Antrat2"/>
        <w:ind w:left="510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r w:rsidRPr="007807E2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sąlygų 2 priedas </w:t>
      </w:r>
      <w:bookmarkEnd w:id="0"/>
      <w:bookmarkEnd w:id="1"/>
      <w:bookmarkEnd w:id="2"/>
      <w:bookmarkEnd w:id="3"/>
    </w:p>
    <w:p w14:paraId="7DD91F4F" w14:textId="77777777" w:rsidR="00834E66" w:rsidRPr="007807E2" w:rsidRDefault="00834E66" w:rsidP="00834E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3030D" w14:textId="77777777" w:rsidR="00834E66" w:rsidRPr="007807E2" w:rsidRDefault="00834E66" w:rsidP="00834E66">
      <w:pPr>
        <w:pStyle w:val="Paantrat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7E2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BE8CC2F" w14:textId="5AE75179" w:rsidR="00834E66" w:rsidRPr="007807E2" w:rsidRDefault="00834E66" w:rsidP="006A667F">
      <w:pPr>
        <w:pStyle w:val="Sraopastraipa"/>
        <w:numPr>
          <w:ilvl w:val="0"/>
          <w:numId w:val="1"/>
        </w:numPr>
        <w:tabs>
          <w:tab w:val="left" w:pos="426"/>
          <w:tab w:val="left" w:pos="99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7E2">
        <w:rPr>
          <w:rFonts w:ascii="Times New Roman" w:eastAsia="Calibri" w:hAnsi="Times New Roman" w:cs="Times New Roman"/>
          <w:sz w:val="24"/>
          <w:szCs w:val="24"/>
        </w:rPr>
        <w:t xml:space="preserve">Pirkimo objektas – </w:t>
      </w:r>
      <w:r w:rsidR="001E6C20">
        <w:rPr>
          <w:rFonts w:ascii="Times New Roman" w:eastAsia="Calibri" w:hAnsi="Times New Roman" w:cs="Times New Roman"/>
          <w:sz w:val="24"/>
          <w:szCs w:val="24"/>
        </w:rPr>
        <w:t>n</w:t>
      </w:r>
      <w:r w:rsidRPr="007807E2">
        <w:rPr>
          <w:rFonts w:ascii="Times New Roman" w:eastAsia="Calibri" w:hAnsi="Times New Roman" w:cs="Times New Roman"/>
          <w:sz w:val="24"/>
          <w:szCs w:val="24"/>
        </w:rPr>
        <w:t xml:space="preserve">audotas krovininis automobilis N3 klasės </w:t>
      </w:r>
      <w:r w:rsidR="001E6C20">
        <w:rPr>
          <w:rFonts w:ascii="Times New Roman" w:eastAsia="Calibri" w:hAnsi="Times New Roman" w:cs="Times New Roman"/>
          <w:sz w:val="24"/>
          <w:szCs w:val="24"/>
        </w:rPr>
        <w:t>(</w:t>
      </w:r>
      <w:r w:rsidRPr="007807E2">
        <w:rPr>
          <w:rFonts w:ascii="Times New Roman" w:eastAsia="Calibri" w:hAnsi="Times New Roman" w:cs="Times New Roman"/>
          <w:sz w:val="24"/>
          <w:szCs w:val="24"/>
        </w:rPr>
        <w:t>1 vnt.</w:t>
      </w:r>
      <w:r w:rsidR="001E6C20">
        <w:rPr>
          <w:rFonts w:ascii="Times New Roman" w:eastAsia="Calibri" w:hAnsi="Times New Roman" w:cs="Times New Roman"/>
          <w:sz w:val="24"/>
          <w:szCs w:val="24"/>
        </w:rPr>
        <w:t>)</w:t>
      </w:r>
      <w:r w:rsidR="004A5FC6" w:rsidRPr="007807E2">
        <w:rPr>
          <w:rFonts w:ascii="Times New Roman" w:eastAsia="Calibri" w:hAnsi="Times New Roman" w:cs="Times New Roman"/>
          <w:sz w:val="24"/>
          <w:szCs w:val="24"/>
        </w:rPr>
        <w:t>, kuris bus skirtas C kategorijos vairuotojų mokymui</w:t>
      </w:r>
      <w:r w:rsidR="00465690" w:rsidRPr="007807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EE0556" w14:textId="77777777" w:rsidR="00834E66" w:rsidRPr="007807E2" w:rsidRDefault="00834E66" w:rsidP="00834E66">
      <w:pPr>
        <w:pStyle w:val="Sraopastraipa"/>
        <w:numPr>
          <w:ilvl w:val="0"/>
          <w:numId w:val="1"/>
        </w:numPr>
        <w:tabs>
          <w:tab w:val="left" w:pos="426"/>
          <w:tab w:val="left" w:pos="990"/>
        </w:tabs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7807E2">
        <w:rPr>
          <w:rFonts w:ascii="Times New Roman" w:eastAsia="Calibri" w:hAnsi="Times New Roman" w:cs="Times New Roman"/>
          <w:sz w:val="24"/>
          <w:szCs w:val="24"/>
        </w:rPr>
        <w:t>Pristatymo terminas ir pristatymo vieta:</w:t>
      </w:r>
    </w:p>
    <w:p w14:paraId="224F7B0D" w14:textId="2165CA97" w:rsidR="00834E66" w:rsidRPr="007807E2" w:rsidRDefault="00834E66" w:rsidP="00097F80">
      <w:pPr>
        <w:pStyle w:val="Sraopastraipa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07E2">
        <w:rPr>
          <w:rFonts w:ascii="Times New Roman" w:eastAsia="Calibri" w:hAnsi="Times New Roman" w:cs="Times New Roman"/>
          <w:sz w:val="24"/>
          <w:szCs w:val="24"/>
        </w:rPr>
        <w:t xml:space="preserve">Tiekėjas krovininį automobilį įsipareigoja pristatyti ne vėliau kaip per </w:t>
      </w:r>
      <w:r w:rsidR="006571D6" w:rsidRPr="007807E2">
        <w:rPr>
          <w:rFonts w:ascii="Times New Roman" w:hAnsi="Times New Roman" w:cs="Times New Roman"/>
          <w:sz w:val="24"/>
          <w:szCs w:val="24"/>
        </w:rPr>
        <w:t>2</w:t>
      </w:r>
      <w:r w:rsidRPr="007807E2">
        <w:rPr>
          <w:rFonts w:ascii="Times New Roman" w:hAnsi="Times New Roman" w:cs="Times New Roman"/>
          <w:sz w:val="24"/>
          <w:szCs w:val="24"/>
        </w:rPr>
        <w:t xml:space="preserve"> mėnesi</w:t>
      </w:r>
      <w:r w:rsidR="006571D6" w:rsidRPr="007807E2">
        <w:rPr>
          <w:rFonts w:ascii="Times New Roman" w:hAnsi="Times New Roman" w:cs="Times New Roman"/>
          <w:sz w:val="24"/>
          <w:szCs w:val="24"/>
        </w:rPr>
        <w:t>us</w:t>
      </w:r>
      <w:r w:rsidRPr="007807E2">
        <w:rPr>
          <w:rFonts w:ascii="Times New Roman" w:hAnsi="Times New Roman" w:cs="Times New Roman"/>
          <w:sz w:val="24"/>
          <w:szCs w:val="24"/>
        </w:rPr>
        <w:t xml:space="preserve"> įsigaliojus pirkimo – pardavimo sutarčiai, iš anksto suderintu su </w:t>
      </w:r>
      <w:r w:rsidRPr="007807E2">
        <w:rPr>
          <w:rFonts w:ascii="Times New Roman" w:hAnsi="Times New Roman" w:cs="Times New Roman"/>
          <w:sz w:val="24"/>
          <w:szCs w:val="24"/>
          <w:u w:color="000000"/>
        </w:rPr>
        <w:t>perkančiąja organizacija laiku,</w:t>
      </w:r>
      <w:r w:rsidRPr="007807E2">
        <w:rPr>
          <w:rFonts w:ascii="Times New Roman" w:hAnsi="Times New Roman" w:cs="Times New Roman"/>
          <w:sz w:val="24"/>
          <w:szCs w:val="24"/>
        </w:rPr>
        <w:t xml:space="preserve"> be papildomo mokesčio, adresu </w:t>
      </w:r>
      <w:r w:rsidR="000D463E" w:rsidRPr="007807E2">
        <w:rPr>
          <w:rFonts w:ascii="Times New Roman" w:hAnsi="Times New Roman" w:cs="Times New Roman"/>
          <w:sz w:val="24"/>
          <w:szCs w:val="24"/>
        </w:rPr>
        <w:t>Dvaro g. 144A,</w:t>
      </w:r>
      <w:r w:rsidR="000309B4">
        <w:rPr>
          <w:rFonts w:ascii="Times New Roman" w:hAnsi="Times New Roman" w:cs="Times New Roman"/>
          <w:sz w:val="24"/>
          <w:szCs w:val="24"/>
        </w:rPr>
        <w:t xml:space="preserve"> LT-76199</w:t>
      </w:r>
      <w:r w:rsidR="000D463E" w:rsidRPr="007807E2">
        <w:rPr>
          <w:rFonts w:ascii="Times New Roman" w:hAnsi="Times New Roman" w:cs="Times New Roman"/>
          <w:sz w:val="24"/>
          <w:szCs w:val="24"/>
        </w:rPr>
        <w:t xml:space="preserve"> Šiauliai</w:t>
      </w:r>
      <w:r w:rsidRPr="007807E2">
        <w:rPr>
          <w:rFonts w:ascii="Times New Roman" w:hAnsi="Times New Roman" w:cs="Times New Roman"/>
          <w:sz w:val="24"/>
          <w:szCs w:val="24"/>
        </w:rPr>
        <w:t>.</w:t>
      </w:r>
    </w:p>
    <w:p w14:paraId="5E306E26" w14:textId="5DA7CF58" w:rsidR="00834E66" w:rsidRPr="007807E2" w:rsidRDefault="00834E66" w:rsidP="000309B4">
      <w:pPr>
        <w:pStyle w:val="Sraopastraipa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07E2">
        <w:rPr>
          <w:rFonts w:ascii="Times New Roman" w:hAnsi="Times New Roman" w:cs="Times New Roman"/>
          <w:sz w:val="24"/>
          <w:szCs w:val="24"/>
        </w:rPr>
        <w:t>Esant nenumatytoms, ne nuo tiekėjo kaltės atsiradusioms aplinkybėms, perkančiajai organizacijai sutikus ir šalims raštu susitarus,</w:t>
      </w:r>
      <w:r w:rsidRPr="007807E2">
        <w:rPr>
          <w:rFonts w:ascii="Times New Roman" w:eastAsia="Calibri" w:hAnsi="Times New Roman" w:cs="Times New Roman"/>
          <w:sz w:val="24"/>
          <w:szCs w:val="24"/>
        </w:rPr>
        <w:t xml:space="preserve"> krovininio automobilio </w:t>
      </w:r>
      <w:r w:rsidRPr="007807E2">
        <w:rPr>
          <w:rFonts w:ascii="Times New Roman" w:hAnsi="Times New Roman" w:cs="Times New Roman"/>
          <w:sz w:val="24"/>
          <w:szCs w:val="24"/>
        </w:rPr>
        <w:t xml:space="preserve"> pristatymo terminas gali būti pratęsiamas vieną kartą, bet ne ilgiau kaip </w:t>
      </w:r>
      <w:r w:rsidR="002B0698">
        <w:rPr>
          <w:rFonts w:ascii="Times New Roman" w:hAnsi="Times New Roman" w:cs="Times New Roman"/>
          <w:sz w:val="24"/>
          <w:szCs w:val="24"/>
        </w:rPr>
        <w:t>20</w:t>
      </w:r>
      <w:r w:rsidRPr="007807E2">
        <w:rPr>
          <w:rFonts w:ascii="Times New Roman" w:hAnsi="Times New Roman" w:cs="Times New Roman"/>
          <w:sz w:val="24"/>
          <w:szCs w:val="24"/>
        </w:rPr>
        <w:t xml:space="preserve"> (</w:t>
      </w:r>
      <w:r w:rsidR="002B0698">
        <w:rPr>
          <w:rFonts w:ascii="Times New Roman" w:hAnsi="Times New Roman" w:cs="Times New Roman"/>
          <w:sz w:val="24"/>
          <w:szCs w:val="24"/>
        </w:rPr>
        <w:t>dvidešimt</w:t>
      </w:r>
      <w:r w:rsidRPr="007807E2">
        <w:rPr>
          <w:rFonts w:ascii="Times New Roman" w:hAnsi="Times New Roman" w:cs="Times New Roman"/>
          <w:sz w:val="24"/>
          <w:szCs w:val="24"/>
        </w:rPr>
        <w:t>) kalendorinių dienų.</w:t>
      </w:r>
    </w:p>
    <w:p w14:paraId="02FE8C23" w14:textId="77777777" w:rsidR="00834E66" w:rsidRPr="007807E2" w:rsidRDefault="00834E66" w:rsidP="002B0698">
      <w:pPr>
        <w:pStyle w:val="Sraopastraipa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07E2">
        <w:rPr>
          <w:rFonts w:ascii="Times New Roman" w:hAnsi="Times New Roman" w:cs="Times New Roman"/>
          <w:sz w:val="24"/>
          <w:szCs w:val="24"/>
        </w:rPr>
        <w:t xml:space="preserve">Pirkimui taikomi aplinkos apsaugos kriterijai nurodyti Lietuvos Respublikos aplinkos ministro 2011 m. birželio 28 d. įsakymo Nr. D1-508 </w:t>
      </w:r>
      <w:hyperlink r:id="rId6" w:history="1">
        <w:r w:rsidRPr="007807E2">
          <w:rPr>
            <w:rStyle w:val="Hipersaitas"/>
            <w:rFonts w:ascii="Times New Roman" w:hAnsi="Times New Roman" w:cs="Times New Roman"/>
            <w:sz w:val="24"/>
            <w:szCs w:val="24"/>
          </w:rPr>
          <w:t>:</w:t>
        </w:r>
      </w:hyperlink>
    </w:p>
    <w:p w14:paraId="7A52D681" w14:textId="77777777" w:rsidR="00834E66" w:rsidRPr="007807E2" w:rsidRDefault="00834E66" w:rsidP="00834E66">
      <w:pPr>
        <w:tabs>
          <w:tab w:val="left" w:pos="426"/>
          <w:tab w:val="left" w:pos="9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4379"/>
        <w:gridCol w:w="5249"/>
      </w:tblGrid>
      <w:tr w:rsidR="00834E66" w:rsidRPr="007807E2" w14:paraId="1ACDC95D" w14:textId="77777777" w:rsidTr="00D6218A">
        <w:trPr>
          <w:trHeight w:val="70"/>
        </w:trPr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C111E" w14:textId="175115B0" w:rsidR="00834E66" w:rsidRPr="007807E2" w:rsidRDefault="004454C1" w:rsidP="00D6218A">
            <w:pPr>
              <w:rPr>
                <w:bCs/>
                <w:sz w:val="24"/>
                <w:szCs w:val="24"/>
                <w:highlight w:val="yellow"/>
              </w:rPr>
            </w:pPr>
            <w:r w:rsidRPr="007807E2">
              <w:rPr>
                <w:rFonts w:eastAsia="Calibri"/>
                <w:sz w:val="24"/>
                <w:szCs w:val="24"/>
              </w:rPr>
              <w:t>K</w:t>
            </w:r>
            <w:r w:rsidR="00834E66" w:rsidRPr="007807E2">
              <w:rPr>
                <w:rFonts w:eastAsia="Calibri"/>
                <w:sz w:val="24"/>
                <w:szCs w:val="24"/>
              </w:rPr>
              <w:t xml:space="preserve">rovininiam automobiliui </w:t>
            </w:r>
            <w:r w:rsidR="00834E66" w:rsidRPr="007807E2">
              <w:rPr>
                <w:bCs/>
                <w:sz w:val="24"/>
                <w:szCs w:val="24"/>
              </w:rPr>
              <w:t xml:space="preserve"> taikomas (-</w:t>
            </w:r>
            <w:proofErr w:type="spellStart"/>
            <w:r w:rsidR="00834E66" w:rsidRPr="007807E2">
              <w:rPr>
                <w:bCs/>
                <w:sz w:val="24"/>
                <w:szCs w:val="24"/>
              </w:rPr>
              <w:t>omi</w:t>
            </w:r>
            <w:proofErr w:type="spellEnd"/>
            <w:r w:rsidR="00834E66" w:rsidRPr="007807E2">
              <w:rPr>
                <w:bCs/>
                <w:sz w:val="24"/>
                <w:szCs w:val="24"/>
              </w:rPr>
              <w:t>) aplinkos apsaugos kriterijus (-ai)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9F37" w14:textId="1CDD8614" w:rsidR="00834E66" w:rsidRPr="007807E2" w:rsidRDefault="004454C1" w:rsidP="00D6218A">
            <w:pPr>
              <w:rPr>
                <w:color w:val="7030A0"/>
                <w:sz w:val="24"/>
                <w:szCs w:val="24"/>
              </w:rPr>
            </w:pPr>
            <w:bookmarkStart w:id="4" w:name="part_18ef865fcabf41e988041f2ec6f4e99c"/>
            <w:bookmarkEnd w:id="4"/>
            <w:r w:rsidRPr="007807E2">
              <w:rPr>
                <w:sz w:val="24"/>
                <w:szCs w:val="24"/>
              </w:rPr>
              <w:t>T</w:t>
            </w:r>
            <w:r w:rsidR="00834E66" w:rsidRPr="007807E2">
              <w:rPr>
                <w:sz w:val="24"/>
                <w:szCs w:val="24"/>
              </w:rPr>
              <w:t>uri atitikti ne mažesnį kaip „Euro 6“ teršalų išmetimo standartą.</w:t>
            </w:r>
          </w:p>
        </w:tc>
      </w:tr>
    </w:tbl>
    <w:p w14:paraId="63B2BA18" w14:textId="77777777" w:rsidR="00834E66" w:rsidRPr="007807E2" w:rsidRDefault="00834E66" w:rsidP="00834E66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977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2"/>
        <w:gridCol w:w="6076"/>
        <w:gridCol w:w="2835"/>
      </w:tblGrid>
      <w:tr w:rsidR="00834E66" w:rsidRPr="007807E2" w14:paraId="61C79275" w14:textId="29BA37B0" w:rsidTr="00834E66">
        <w:trPr>
          <w:trHeight w:val="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A053B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bCs/>
                <w:sz w:val="24"/>
                <w:szCs w:val="24"/>
              </w:rPr>
              <w:t>TECHNINIAI REIKALAVIMAI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F72DCE" w14:textId="410F78A7" w:rsidR="00834E66" w:rsidRPr="007807E2" w:rsidRDefault="00834E66" w:rsidP="00D621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bCs/>
                <w:sz w:val="24"/>
                <w:szCs w:val="24"/>
              </w:rPr>
              <w:t>Atitikimas techniniams reikalavimams (pažymėti taip/ne/būtina detalizuoti, išvardinti reikalingus parametrus)</w:t>
            </w:r>
          </w:p>
        </w:tc>
      </w:tr>
      <w:tr w:rsidR="008D2B29" w:rsidRPr="007807E2" w14:paraId="30DFFFA8" w14:textId="77777777" w:rsidTr="00834E66">
        <w:trPr>
          <w:trHeight w:val="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F8103" w14:textId="58007358" w:rsidR="008D2B29" w:rsidRPr="00AC5DEF" w:rsidRDefault="00931AA1" w:rsidP="00931A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AC5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2B29" w:rsidRPr="00AC5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Naudotas </w:t>
            </w:r>
            <w:r w:rsidRPr="00AC5DEF">
              <w:rPr>
                <w:rFonts w:ascii="Times New Roman" w:hAnsi="Times New Roman" w:cs="Times New Roman"/>
                <w:b/>
                <w:sz w:val="24"/>
                <w:szCs w:val="24"/>
              </w:rPr>
              <w:t>krovininis automobilis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E5183F" w14:textId="0179701B" w:rsidR="008D2B29" w:rsidRPr="007807E2" w:rsidRDefault="00931AA1" w:rsidP="00D621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Markė/modelis</w:t>
            </w:r>
          </w:p>
        </w:tc>
      </w:tr>
      <w:tr w:rsidR="00834E66" w:rsidRPr="007807E2" w14:paraId="4E978298" w14:textId="208898A2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F22C5" w14:textId="65C48C23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158B8D" w14:textId="0F12787D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Tipas – N3 klasės  krovininis automobilis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5438D9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0FE6E34C" w14:textId="4115A6F0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9DEBB" w14:textId="4041191F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6279C9" w14:textId="144F14C5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Automobilis </w:t>
            </w:r>
            <w:r w:rsidR="004454C1" w:rsidRPr="007807E2">
              <w:rPr>
                <w:rFonts w:ascii="Times New Roman" w:hAnsi="Times New Roman" w:cs="Times New Roman"/>
                <w:sz w:val="24"/>
                <w:szCs w:val="24"/>
              </w:rPr>
              <w:t>naudotas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, pagamintas ne anksčiau kaip </w:t>
            </w:r>
            <w:r w:rsidR="004454C1" w:rsidRPr="007807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1B4F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4454C1" w:rsidRPr="007807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B21150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73812CF3" w14:textId="5B1FD980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96448" w14:textId="1C6D7E26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08DFDE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Ratų formulė 4x2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E7E9ED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</w:tr>
      <w:tr w:rsidR="00834E66" w:rsidRPr="007807E2" w14:paraId="688259EF" w14:textId="2F060E8D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6564C" w14:textId="2F8D4103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496A5E" w14:textId="3F08A7C1" w:rsidR="00834E66" w:rsidRPr="007807E2" w:rsidRDefault="00834E66" w:rsidP="00BB5E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Didžiausia leidžiamoji masė – ne mažiau kaip </w:t>
            </w:r>
            <w:r w:rsidR="006571D6"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1</w:t>
            </w:r>
            <w:r w:rsidR="00BB5E78"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8</w:t>
            </w:r>
            <w:r w:rsidR="0030392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6571D6"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000</w:t>
            </w:r>
            <w:r w:rsidR="00BB5E78"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kg.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690EF7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</w:tr>
      <w:tr w:rsidR="00834E66" w:rsidRPr="007807E2" w14:paraId="769D8C73" w14:textId="576FE81B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11218" w14:textId="5903D553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E00E9D" w14:textId="3DFC9405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Ilgis – ne mažesnis kaip 8,00 m</w:t>
            </w:r>
            <w:r w:rsidR="0027426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, bet ne didesnis kaip </w:t>
            </w:r>
            <w:r w:rsidR="00040323"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10</w:t>
            </w: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,00 m</w:t>
            </w:r>
            <w:r w:rsidR="00CB002B"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282D7F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</w:tr>
      <w:tr w:rsidR="00834E66" w:rsidRPr="007807E2" w14:paraId="5C9F881D" w14:textId="4F664B3C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21BCE" w14:textId="031BA4B4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916369" w14:textId="17C6D936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Plotis – ne mažesnis kaip 2,40 m</w:t>
            </w:r>
            <w:r w:rsidR="00CB002B"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611E6E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</w:tr>
      <w:tr w:rsidR="00834E66" w:rsidRPr="007807E2" w14:paraId="78C37F57" w14:textId="02D92F71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5999F" w14:textId="568A2ECF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5367D6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Turi išvystyti ne mažesnį kaip 80 km/h greitį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FDAE7B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</w:tr>
      <w:tr w:rsidR="00834E66" w:rsidRPr="007807E2" w14:paraId="1D904784" w14:textId="30A544A0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50CA8" w14:textId="0E32957E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23340A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Degalų rūšis – dyzelinas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467A67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18F85C07" w14:textId="5DD297CF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44B60" w14:textId="459DC888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9C7318" w14:textId="49DE4C59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Variklio galingumas - ne mažiau </w:t>
            </w:r>
            <w:r w:rsidR="00BB5E78" w:rsidRPr="007807E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AG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16CA98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D6" w:rsidRPr="007807E2" w14:paraId="1D84E64D" w14:textId="77777777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21FFD" w14:textId="77777777" w:rsidR="006571D6" w:rsidRPr="007807E2" w:rsidRDefault="006571D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322CA9" w14:textId="7C4D5D7E" w:rsidR="006571D6" w:rsidRPr="007807E2" w:rsidRDefault="006571D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Rida ne d</w:t>
            </w:r>
            <w:r w:rsidR="00D37DF5" w:rsidRPr="007807E2">
              <w:rPr>
                <w:rFonts w:ascii="Times New Roman" w:hAnsi="Times New Roman" w:cs="Times New Roman"/>
                <w:sz w:val="24"/>
                <w:szCs w:val="24"/>
              </w:rPr>
              <w:t>idesnė kaip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92A">
              <w:rPr>
                <w:rFonts w:ascii="Times New Roman" w:hAnsi="Times New Roman" w:cs="Times New Roman"/>
                <w:sz w:val="24"/>
                <w:szCs w:val="24"/>
              </w:rPr>
              <w:t xml:space="preserve">280 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000 km.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E843FC" w14:textId="77777777" w:rsidR="006571D6" w:rsidRPr="007807E2" w:rsidRDefault="006571D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40419A8E" w14:textId="4C6726B9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F3936" w14:textId="5122E75E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7276BB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Turi atitikti ne mažesnį kaip EURO 6 teršalų išmetimo standartą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456AA3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834E66" w:rsidRPr="007807E2" w14:paraId="4434A7FD" w14:textId="1A659ADE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F7FEC" w14:textId="44203C53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6B3747" w14:textId="2BA91E96" w:rsidR="00834E66" w:rsidRPr="007807E2" w:rsidRDefault="008D4333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Automatinė pavarų dėžė (m</w:t>
            </w:r>
            <w:r w:rsidR="003149F6" w:rsidRPr="007807E2">
              <w:rPr>
                <w:rFonts w:ascii="Times New Roman" w:hAnsi="Times New Roman" w:cs="Times New Roman"/>
                <w:sz w:val="24"/>
                <w:szCs w:val="24"/>
              </w:rPr>
              <w:t>echaninė pavarų dėžė su</w:t>
            </w:r>
            <w:r w:rsidR="003149F6" w:rsidRPr="0078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49F6" w:rsidRPr="007807E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elektroniniu ir </w:t>
            </w:r>
            <w:r w:rsidR="00BB5E78" w:rsidRPr="007807E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r w:rsidR="003149F6" w:rsidRPr="007807E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ar pneumatiniu valdymu</w:t>
            </w:r>
            <w:r w:rsidR="00BB5E78" w:rsidRPr="007807E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F2EC99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41A490CE" w14:textId="706B7B07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D5EDE" w14:textId="23B71EFC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CD28D8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Automobilyje privalo būti galinės ašies diferencialo blokavimas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5BA664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5EC11496" w14:textId="650B2510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3FA5D" w14:textId="432C736D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B89F38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Stabdžių sistema suspausto oro, diskinė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99D5BD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595DF1D1" w14:textId="63A9A852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FB867" w14:textId="1B54FA30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20F34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Galinė ašis su pneumatine pakaba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AB4AF2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</w:tr>
      <w:tr w:rsidR="00834E66" w:rsidRPr="007807E2" w14:paraId="65D843A7" w14:textId="0C671B1B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2B40C" w14:textId="260EB1E5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91F105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Vairo mechanizmas su stiprintuvu, vairaračio padėtis reguliuojama ne mažiau kaip 2-iem kryptim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879194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6A6E7B5A" w14:textId="6DE8D280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83AA8" w14:textId="1CCB6959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DF0278" w14:textId="5F161F43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Automobilio ratai ne mažesni kaip R22,5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E05C62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E09" w:rsidRPr="007807E2" w14:paraId="12FA24BD" w14:textId="77777777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8F700" w14:textId="77777777" w:rsidR="002B3E09" w:rsidRPr="007807E2" w:rsidRDefault="002B3E09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A8845C" w14:textId="54954B4E" w:rsidR="002B3E09" w:rsidRPr="007807E2" w:rsidRDefault="002B3E09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Padang</w:t>
            </w:r>
            <w:r w:rsidR="00BB5E78" w:rsidRPr="007807E2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likutinė vertė ne mažiau 60</w:t>
            </w:r>
            <w:r w:rsidRPr="00780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EA6A3B" w14:textId="77777777" w:rsidR="002B3E09" w:rsidRPr="007807E2" w:rsidRDefault="002B3E09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81" w:rsidRPr="007807E2" w14:paraId="7FE5EAF0" w14:textId="77777777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BC619" w14:textId="77777777" w:rsidR="009F0081" w:rsidRPr="007807E2" w:rsidRDefault="009F0081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CB7AD1" w14:textId="3C8EA3F2" w:rsidR="009F0081" w:rsidRPr="007807E2" w:rsidRDefault="009F0081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Dvi ratų atsparos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33A24B" w14:textId="77777777" w:rsidR="009F0081" w:rsidRPr="007807E2" w:rsidRDefault="009F0081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DDD" w:rsidRPr="007807E2" w14:paraId="787037D6" w14:textId="27D0345D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DCA6D" w14:textId="429535ED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4B9A6E" w14:textId="1E304230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Reguliuojamos vairuotojo ir </w:t>
            </w:r>
            <w:r w:rsidR="00CB002B" w:rsidRPr="007807E2">
              <w:rPr>
                <w:rFonts w:ascii="Times New Roman" w:hAnsi="Times New Roman" w:cs="Times New Roman"/>
                <w:sz w:val="24"/>
                <w:szCs w:val="24"/>
              </w:rPr>
              <w:t>instruktoriaus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sėdynės su pneumatine pakaba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75945F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4E66" w:rsidRPr="007807E2" w14:paraId="7101719A" w14:textId="688BEB43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5A05C" w14:textId="24176C04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959EFE" w14:textId="4B619184" w:rsidR="00834E66" w:rsidRPr="007807E2" w:rsidRDefault="005B371F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Kondicionierius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CD54DC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14813275" w14:textId="123D6EDD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0208C" w14:textId="3197A0E8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9D8195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Priekiniai šoniniai langai valdomi elektra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D2E030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5E522115" w14:textId="09EF6B5B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979C3" w14:textId="2104BAC0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40FDB7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Guminiai kabinos grindų kilimėliai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F63456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3C7FA9E8" w14:textId="4BF54C08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7168A" w14:textId="54AB1922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0853B2" w14:textId="744D4FA3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Radijo imtuvas</w:t>
            </w:r>
            <w:r w:rsidR="002F53D9" w:rsidRPr="007807E2">
              <w:rPr>
                <w:rFonts w:ascii="Times New Roman" w:hAnsi="Times New Roman" w:cs="Times New Roman"/>
                <w:sz w:val="24"/>
                <w:szCs w:val="24"/>
              </w:rPr>
              <w:t>, navigacij</w:t>
            </w:r>
            <w:r w:rsidR="00040323" w:rsidRPr="007807E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72ACA5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81" w:rsidRPr="007807E2" w14:paraId="49E25676" w14:textId="77777777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5F5DA" w14:textId="77777777" w:rsidR="003E6581" w:rsidRPr="007807E2" w:rsidRDefault="003E6581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1592B2" w14:textId="7F703514" w:rsidR="003E6581" w:rsidRPr="007807E2" w:rsidRDefault="003E6581" w:rsidP="003E65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Kabinos vidinis aukštis nemažesnis kaip </w:t>
            </w:r>
            <w:r w:rsidR="005B371F" w:rsidRPr="007807E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05A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B371F"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m (nuo kabinos centrinės dalies grindų iki stogo)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A9A316" w14:textId="77777777" w:rsidR="003E6581" w:rsidRPr="007807E2" w:rsidRDefault="003E6581" w:rsidP="003E65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333C5D63" w14:textId="7655F255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605BF" w14:textId="42F01115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372968" w14:textId="338132FA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Kabinoje turi būti įrengtos nemažiau kaip </w:t>
            </w:r>
            <w:r w:rsidR="00E1624C" w:rsidRPr="007807E2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papildom</w:t>
            </w:r>
            <w:r w:rsidR="00E1624C" w:rsidRPr="007807E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viet</w:t>
            </w:r>
            <w:r w:rsidR="00E1624C" w:rsidRPr="007807E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keleivi</w:t>
            </w:r>
            <w:r w:rsidR="005B371F" w:rsidRPr="007807E2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sėdėti. J</w:t>
            </w:r>
            <w:r w:rsidR="005B371F" w:rsidRPr="007807E2">
              <w:rPr>
                <w:rFonts w:ascii="Times New Roman" w:hAnsi="Times New Roman" w:cs="Times New Roman"/>
                <w:sz w:val="24"/>
                <w:szCs w:val="24"/>
              </w:rPr>
              <w:t>i/jos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turi atitikti visus saugumo reikalavimus (turi būti sumontuoti saugos diržai). Registracijos liudijime turi būti nurodytos ne mažiau kaip </w:t>
            </w:r>
            <w:r w:rsidR="00E1624C" w:rsidRPr="00780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sėdimos vietos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3E9027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F3" w:rsidRPr="007807E2" w14:paraId="0E9DDFD4" w14:textId="77777777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1A6F6" w14:textId="77777777" w:rsidR="00AC50F3" w:rsidRPr="007807E2" w:rsidRDefault="00AC50F3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3EDCBF" w14:textId="59A08C93" w:rsidR="00AC50F3" w:rsidRPr="007807E2" w:rsidRDefault="00AC50F3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Vairavimo instruktoriaus vietoje turi būti įrengti sertifikuoti papildomas stabdžių pedalas ir pedalas, leidžiantis 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sumažinti variklio sūkius iki minimalių nepriklausomai nuo mokinio veiksmų arba papildomas dvipusio veikimo akceleratoriaus pedalas</w:t>
            </w:r>
            <w:r w:rsidRPr="007807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Sertifikuoti papildomi pedalai turi atitikti „Dėl mokomųjų transporto priemonių reikalavimų patvirtinimo“ 2003 m. rugsėjo 10 d. Nr. 2B-293 reikalavimus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A770C5" w14:textId="77777777" w:rsidR="00AC50F3" w:rsidRPr="007807E2" w:rsidRDefault="00AC50F3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4E66" w:rsidRPr="007807E2" w14:paraId="1C8F4DD9" w14:textId="3B4C72DB" w:rsidTr="00A86068">
        <w:trPr>
          <w:trHeight w:val="719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3CBAF" w14:textId="4876F8EA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29A443" w14:textId="12BE99F2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Automobilio gamintojo Bluetooth sąsaja skambučiams su laisvų rankų įranga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DF0B21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695B81EF" w14:textId="4DBAED72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A3774" w14:textId="17380253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1E2AC4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Autonominis kabinos šildytuvas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33FD04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39335ABC" w14:textId="5B802E74" w:rsidTr="00834E66">
        <w:trPr>
          <w:trHeight w:val="344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5757F" w14:textId="43E31905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E96778" w14:textId="516D9DA3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Prietaisų skydelyje informacija turi būti pateikiama</w:t>
            </w:r>
            <w:r w:rsidR="000A7AB9"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bent viena iš Europinių kalbų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C3B" w:rsidRPr="007807E2">
              <w:rPr>
                <w:rFonts w:ascii="Times New Roman" w:hAnsi="Times New Roman" w:cs="Times New Roman"/>
                <w:sz w:val="24"/>
                <w:szCs w:val="24"/>
              </w:rPr>
              <w:t>(pageidautina</w:t>
            </w:r>
            <w:r w:rsidR="000A7AB9"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 lietuvių kalba</w:t>
            </w:r>
            <w:r w:rsidR="00673C3B" w:rsidRPr="007807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83016A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447BA6FD" w14:textId="5E119745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000B9" w14:textId="7A43A06A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98943C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Priekinio bamperio dešinio kampo ,,aklos zonos“ veidrodis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E527A1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14544974" w14:textId="692E251A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20A55" w14:textId="0F6E0D47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133139" w14:textId="682E1470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Elektra šildomi bei valdomi galinio vaizdo </w:t>
            </w:r>
            <w:r w:rsidR="000F3AA6"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ir plataus kampo 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veidrodžiai kairėje ir dešinėje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523994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6CE8A46E" w14:textId="30A30E2C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5209C" w14:textId="7BC75E5A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40ED9F" w14:textId="54F51DDE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AdBlue</w:t>
            </w:r>
            <w:proofErr w:type="spellEnd"/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“ bako talpa ne mažesnė kaip </w:t>
            </w:r>
            <w:r w:rsidR="009E5340" w:rsidRPr="007807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A66595" w:rsidRPr="00780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636B0C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5E55E850" w14:textId="530EACFC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90E98" w14:textId="2A7BA5BF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4B1A6B8" w14:textId="69687624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Vienas degalų bakas, kurio talpa nemažesnė kaip 2</w:t>
            </w:r>
            <w:r w:rsidR="00707985" w:rsidRPr="00780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0 l</w:t>
            </w:r>
            <w:r w:rsidR="00E1624C"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ir nedidesnė kaip 500</w:t>
            </w:r>
            <w:r w:rsidR="00040323"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24C" w:rsidRPr="007807E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50F22AD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127A6482" w14:textId="60B22C99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E2E7D" w14:textId="64925E63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B0A3AB1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Išorinis skydelis nuo saulės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E65DD33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75C521ED" w14:textId="4F663276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1BCCC" w14:textId="39076BB0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294E941" w14:textId="42AD4E3F" w:rsidR="00834E66" w:rsidRPr="007807E2" w:rsidRDefault="00707985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Sukabinimo su priekaba mechanizmas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EAAB4CE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</w:tr>
      <w:tr w:rsidR="00834E66" w:rsidRPr="007807E2" w14:paraId="2AC99797" w14:textId="6EA7E6CF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72215" w14:textId="6CBB1EB2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FC384C7" w14:textId="6943A533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Krovini</w:t>
            </w:r>
            <w:r w:rsidR="00707985"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ų</w:t>
            </w: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skyrius turi būti</w:t>
            </w:r>
            <w:r w:rsidR="00497B7D"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707985"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konteinerinis BDF tipo,</w:t>
            </w: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kurios plotis ir aukštis yra ne mažesni už atitinkamus automobilio kabinos matmenis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A4E95CD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</w:tr>
      <w:tr w:rsidR="00834E66" w:rsidRPr="007807E2" w14:paraId="47306126" w14:textId="06940525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23526" w14:textId="619571BF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FFDD063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Stabdžių antiblokavimo sistema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7961289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34E66" w:rsidRPr="007807E2" w14:paraId="6668D4DA" w14:textId="53521784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BB9F6" w14:textId="3D39998F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AE9CCF6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Elektroninė </w:t>
            </w:r>
            <w:proofErr w:type="spellStart"/>
            <w:r w:rsidRPr="007807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anti</w:t>
            </w:r>
            <w:proofErr w:type="spellEnd"/>
            <w:r w:rsidRPr="007807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-praslydimo sistema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F5D05A3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34E66" w:rsidRPr="007807E2" w14:paraId="1478A819" w14:textId="7EADFA27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AA714" w14:textId="65C4CF60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9A89C15" w14:textId="23C6D49D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Pagalbinė stabdžių sistema (</w:t>
            </w:r>
            <w:proofErr w:type="spellStart"/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retarderis</w:t>
            </w:r>
            <w:proofErr w:type="spellEnd"/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r w:rsidR="00040323" w:rsidRPr="007807E2">
              <w:rPr>
                <w:rFonts w:ascii="Times New Roman" w:hAnsi="Times New Roman" w:cs="Times New Roman"/>
                <w:sz w:val="24"/>
                <w:szCs w:val="24"/>
              </w:rPr>
              <w:t>variklinis stabdis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362B65B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61FC3BD1" w14:textId="2CFABB91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D59215" w14:textId="4A547A34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3522903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Stabilumo kontrolės sistema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9FA82EB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34E66" w:rsidRPr="007807E2" w14:paraId="499F8003" w14:textId="0A7D31AA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FB810" w14:textId="25E0FF0C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895104F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Traukos kontrolės sistema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FE6F463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34E66" w:rsidRPr="007807E2" w14:paraId="29C266A1" w14:textId="3633448C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D7CE8" w14:textId="2CE05C53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4ADC744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Avarinio sustojimo ženklas, pirmos pagalbos rinkinys, ryškiaspalvė liemenė su šviesą atspindinčiais elementais, tinkamos talpos sausų miltelių gesintuvas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7D97C8F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336B752E" w14:textId="4E169FE0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3832B" w14:textId="3642B6BE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1CBD306" w14:textId="006DE08B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Naudojimosi instrukcija </w:t>
            </w:r>
            <w:r w:rsidR="00386076" w:rsidRPr="007807E2">
              <w:rPr>
                <w:rFonts w:ascii="Times New Roman" w:hAnsi="Times New Roman" w:cs="Times New Roman"/>
                <w:sz w:val="24"/>
                <w:szCs w:val="24"/>
              </w:rPr>
              <w:t>(pageidautina</w:t>
            </w:r>
            <w:r w:rsidR="00AE2716"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 Lietuvių kalba</w:t>
            </w:r>
            <w:r w:rsidR="00386076" w:rsidRPr="007807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50038B4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66" w:rsidRPr="007807E2" w14:paraId="54385D05" w14:textId="048C338D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B440C" w14:textId="386961A7" w:rsidR="00834E66" w:rsidRPr="007807E2" w:rsidRDefault="00834E6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FEE4E22" w14:textId="506C911E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Išmanusis skaitmeninis </w:t>
            </w:r>
            <w:proofErr w:type="spellStart"/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tachografas</w:t>
            </w:r>
            <w:proofErr w:type="spellEnd"/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atitinkantis ES normas</w:t>
            </w:r>
            <w:r w:rsidR="00EC0BBB"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(su galiojančia patikra)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1A259C1" w14:textId="77777777" w:rsidR="00834E66" w:rsidRPr="007807E2" w:rsidRDefault="00834E66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BB" w:rsidRPr="007807E2" w14:paraId="75FDA32B" w14:textId="77777777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9A3E1" w14:textId="77777777" w:rsidR="00EC0BBB" w:rsidRPr="007807E2" w:rsidRDefault="00EC0BBB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4B0CCA0" w14:textId="5BDEBEFA" w:rsidR="00EC0BBB" w:rsidRPr="007807E2" w:rsidRDefault="00EC0BBB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Elektroninis greičio ribotuvas (su galiojančia patikra)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DA6E075" w14:textId="77777777" w:rsidR="00EC0BBB" w:rsidRPr="007807E2" w:rsidRDefault="00EC0BBB" w:rsidP="00D621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04D" w:rsidRPr="007807E2" w14:paraId="6376F555" w14:textId="77777777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1F5B1" w14:textId="77777777" w:rsidR="00A8304D" w:rsidRPr="007807E2" w:rsidRDefault="00A8304D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F1B4D22" w14:textId="37E17288" w:rsidR="00A8304D" w:rsidRPr="007807E2" w:rsidRDefault="00A8304D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Atsargini</w:t>
            </w:r>
            <w:r w:rsidR="00B144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 rata</w:t>
            </w:r>
            <w:r w:rsidR="00B144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: automobiliui (įmontuotas ratų bazėje)  bei įranga jiems pakeisti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56AF648" w14:textId="77777777" w:rsidR="00A8304D" w:rsidRPr="007807E2" w:rsidRDefault="00A8304D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04D" w:rsidRPr="007807E2" w14:paraId="46132543" w14:textId="77777777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2C6C3" w14:textId="77777777" w:rsidR="00A8304D" w:rsidRPr="007807E2" w:rsidRDefault="00A8304D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D2462DE" w14:textId="3A9F38B0" w:rsidR="00A8304D" w:rsidRPr="007807E2" w:rsidRDefault="00A8304D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Kabinoje turi būti įrengtas spalvotas ekranas, kuriame tik instruktorius galėtų stebėti vaizdą iš kamerų, kurios sumontuotos atskirai sunkvežimio gale ir ant sunkvežimio kairiojo galinio vaizdo veidrodžio</w:t>
            </w:r>
          </w:p>
          <w:p w14:paraId="7F1FFA15" w14:textId="47F18EFA" w:rsidR="00A8304D" w:rsidRPr="007807E2" w:rsidRDefault="00A8304D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Sistema turi būti įdiegta kartu su kameromis. Vaizdas transliuojamas laidiniu ryšiu (negalimas WI-FI ar Bluetooth ryšis)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8C9F044" w14:textId="77777777" w:rsidR="00A8304D" w:rsidRPr="007807E2" w:rsidRDefault="00A8304D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46" w:rsidRPr="007807E2" w14:paraId="57061A62" w14:textId="77777777" w:rsidTr="008A3A32">
        <w:trPr>
          <w:trHeight w:val="20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95CE5" w14:textId="77777777" w:rsidR="006D6446" w:rsidRPr="007807E2" w:rsidRDefault="006D644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BBDAA11" w14:textId="50F064B4" w:rsidR="006D6446" w:rsidRPr="007807E2" w:rsidRDefault="006D6446" w:rsidP="006D64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Kėbulas bei važiuoklės dalys neturi turėti reikšmingų pažeidimų ar korozijos požymių, galinčių turėti įtakos saugumui, eksploatacijai ar transporto priemonės ilgaamžiškumui: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631FEBA" w14:textId="77777777" w:rsidR="006D6446" w:rsidRPr="007807E2" w:rsidRDefault="006D6446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46" w:rsidRPr="007807E2" w14:paraId="61CBEF42" w14:textId="77777777" w:rsidTr="008A3A32">
        <w:trPr>
          <w:trHeight w:val="20"/>
        </w:trPr>
        <w:tc>
          <w:tcPr>
            <w:tcW w:w="8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F0243" w14:textId="77777777" w:rsidR="006D6446" w:rsidRPr="007807E2" w:rsidRDefault="006D6446" w:rsidP="00B14457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67683F4" w14:textId="219FEFE8" w:rsidR="006D6446" w:rsidRPr="007807E2" w:rsidRDefault="002D115A" w:rsidP="00EE4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E44A8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9.1. </w:t>
            </w:r>
            <w:r w:rsidR="006D6446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Ant matomų kėbulo, rėmo ar važiuoklės dalių neturi</w:t>
            </w:r>
            <w:r w:rsidR="00EE44A8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6446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būti prakiurusių korozijos vietų ar konstrukcinių elementų pažeidimų dėl rūdžių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BB109A5" w14:textId="77777777" w:rsidR="006D6446" w:rsidRPr="007807E2" w:rsidRDefault="006D6446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46" w:rsidRPr="007807E2" w14:paraId="7D7524AD" w14:textId="77777777" w:rsidTr="005E3BF7">
        <w:trPr>
          <w:trHeight w:val="20"/>
        </w:trPr>
        <w:tc>
          <w:tcPr>
            <w:tcW w:w="8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69B87" w14:textId="77777777" w:rsidR="006D6446" w:rsidRPr="007807E2" w:rsidRDefault="006D6446" w:rsidP="00B14457">
            <w:pPr>
              <w:pStyle w:val="Sraopastraipa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8D22104" w14:textId="10498CEC" w:rsidR="00CF5EE7" w:rsidRPr="007807E2" w:rsidRDefault="002D115A" w:rsidP="007807E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E44A8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9.2. </w:t>
            </w:r>
            <w:r w:rsidR="006D6446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Leidžiami tik paviršiniai rūdžių židiniai, kurie:</w:t>
            </w:r>
          </w:p>
          <w:p w14:paraId="17177D8B" w14:textId="77777777" w:rsidR="006D6446" w:rsidRPr="007807E2" w:rsidRDefault="006D6446" w:rsidP="007807E2">
            <w:pPr>
              <w:pStyle w:val="Betarp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neviršija 5cm. Skersmens vienoje vietoje;</w:t>
            </w:r>
          </w:p>
          <w:p w14:paraId="7B380DAB" w14:textId="24DF809D" w:rsidR="006D6446" w:rsidRPr="007807E2" w:rsidRDefault="006D6446" w:rsidP="007807E2">
            <w:pPr>
              <w:pStyle w:val="Betarp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neapima daugiau nei 5 % viso kėbulo paviršiaus</w:t>
            </w:r>
          </w:p>
          <w:p w14:paraId="7DA9811A" w14:textId="2D55E05A" w:rsidR="006D6446" w:rsidRPr="007807E2" w:rsidRDefault="006D6446" w:rsidP="007807E2">
            <w:pPr>
              <w:pStyle w:val="Betarp"/>
              <w:numPr>
                <w:ilvl w:val="0"/>
                <w:numId w:val="14"/>
              </w:numPr>
              <w:rPr>
                <w:rFonts w:eastAsia="Times New Roman"/>
              </w:rPr>
            </w:pPr>
            <w:r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nėra ant laikančiųjų konstrukcijų, stabdžių, vairo ar pakabos elementų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ACAB456" w14:textId="77777777" w:rsidR="006D6446" w:rsidRPr="007807E2" w:rsidRDefault="006D6446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46" w:rsidRPr="007807E2" w14:paraId="021EDFA7" w14:textId="77777777" w:rsidTr="005E3BF7">
        <w:trPr>
          <w:trHeight w:val="20"/>
        </w:trPr>
        <w:tc>
          <w:tcPr>
            <w:tcW w:w="8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CEE2C" w14:textId="77777777" w:rsidR="006D6446" w:rsidRPr="007807E2" w:rsidRDefault="006D6446" w:rsidP="00B14457">
            <w:pPr>
              <w:pStyle w:val="Sraopastraipa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956A1B8" w14:textId="1D584BF4" w:rsidR="006D6446" w:rsidRPr="007807E2" w:rsidRDefault="002D115A" w:rsidP="007807E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E44A8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  <w:r w:rsidR="006D6446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Leidžiami smulkūs įbrėžimai ar dažų pažeidimai, kurie:</w:t>
            </w:r>
          </w:p>
          <w:p w14:paraId="3B871059" w14:textId="7C02B8A9" w:rsidR="006D6446" w:rsidRPr="007807E2" w:rsidRDefault="007807E2" w:rsidP="007807E2">
            <w:pPr>
              <w:pStyle w:val="Betarp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6D6446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eviršija 10 cm. ilgio vienoje vietoje</w:t>
            </w:r>
          </w:p>
          <w:p w14:paraId="1519C210" w14:textId="1D98B938" w:rsidR="006D6446" w:rsidRPr="007807E2" w:rsidRDefault="007807E2" w:rsidP="007807E2">
            <w:pPr>
              <w:pStyle w:val="Betarp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6D6446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epažeidžia metalo (</w:t>
            </w:r>
            <w:proofErr w:type="spellStart"/>
            <w:r w:rsidR="006D6446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t.y</w:t>
            </w:r>
            <w:proofErr w:type="spellEnd"/>
            <w:r w:rsidR="006D6446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. nėra atsivėrusio metalo paviršiaus)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8369C82" w14:textId="77777777" w:rsidR="006D6446" w:rsidRPr="007807E2" w:rsidRDefault="006D6446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46" w:rsidRPr="007807E2" w14:paraId="0EED464E" w14:textId="77777777" w:rsidTr="005E3BF7">
        <w:trPr>
          <w:trHeight w:val="20"/>
        </w:trPr>
        <w:tc>
          <w:tcPr>
            <w:tcW w:w="8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6B486" w14:textId="77777777" w:rsidR="006D6446" w:rsidRPr="007807E2" w:rsidRDefault="006D6446" w:rsidP="00B14457">
            <w:pPr>
              <w:pStyle w:val="Sraopastraipa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5F874FC" w14:textId="45D714A8" w:rsidR="006D6446" w:rsidRPr="007807E2" w:rsidRDefault="002D115A" w:rsidP="002D11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49.4.</w:t>
            </w:r>
            <w:r w:rsidR="006D6446" w:rsidRPr="007807E2">
              <w:rPr>
                <w:rFonts w:ascii="Times New Roman" w:eastAsia="Times New Roman" w:hAnsi="Times New Roman" w:cs="Times New Roman"/>
                <w:sz w:val="24"/>
                <w:szCs w:val="24"/>
              </w:rPr>
              <w:t>Leidžiamas kėbulo dažymas ar kiti estetiniai remonto darbai, tačiau spalva turi būti vientisa, be matomų spalvos skirtumų (pagal vizualinį vertinimą dienos šviesoje)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7ACE581" w14:textId="77777777" w:rsidR="006D6446" w:rsidRPr="007807E2" w:rsidRDefault="006D6446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44" w:rsidRPr="007807E2" w14:paraId="3B23AA90" w14:textId="77777777" w:rsidTr="000D7BF0">
        <w:trPr>
          <w:trHeight w:val="20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ED9E7" w14:textId="1CF3575C" w:rsidR="00F53D44" w:rsidRPr="007807E2" w:rsidRDefault="002D115A" w:rsidP="00B144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B440A" w:rsidRPr="00780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1EA5C45" w14:textId="2D8F0CDF" w:rsidR="00F53D44" w:rsidRPr="007807E2" w:rsidRDefault="00F53D44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Transporto priemonės interjeras turi būti tvarkingas, švarus, be esminių pažeidimų, kurie mažintų naudojimo komfortą ar trukdytų eksploatacijai: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6E28562" w14:textId="77777777" w:rsidR="00F53D44" w:rsidRPr="007807E2" w:rsidRDefault="00F53D44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44" w:rsidRPr="007807E2" w14:paraId="68A38729" w14:textId="77777777" w:rsidTr="000D7BF0">
        <w:trPr>
          <w:trHeight w:val="20"/>
        </w:trPr>
        <w:tc>
          <w:tcPr>
            <w:tcW w:w="8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3255C" w14:textId="77777777" w:rsidR="00F53D44" w:rsidRPr="007807E2" w:rsidRDefault="00F53D44" w:rsidP="00B14457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ACD2C77" w14:textId="2F5AEEE4" w:rsidR="00F53D44" w:rsidRPr="007807E2" w:rsidRDefault="002D115A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D44" w:rsidRPr="007807E2">
              <w:rPr>
                <w:rFonts w:ascii="Times New Roman" w:hAnsi="Times New Roman" w:cs="Times New Roman"/>
                <w:sz w:val="24"/>
                <w:szCs w:val="24"/>
              </w:rPr>
              <w:t>0.1.  Visos salono dalys (sėdynės, prietaisų skydelis, grindys, lubos, durų apmušalai ir pan.) turi būti be mechaninių pažeidimų, įtrūkimų ar praradusios tvirtinimo funkciją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C2F963E" w14:textId="77777777" w:rsidR="00F53D44" w:rsidRPr="007807E2" w:rsidRDefault="00F53D44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44" w:rsidRPr="007807E2" w14:paraId="54EF04ED" w14:textId="1C59F710" w:rsidTr="00657E90">
        <w:trPr>
          <w:trHeight w:val="20"/>
        </w:trPr>
        <w:tc>
          <w:tcPr>
            <w:tcW w:w="8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56D86" w14:textId="3DD41A36" w:rsidR="00F53D44" w:rsidRPr="007807E2" w:rsidRDefault="00F53D44" w:rsidP="00B14457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55765F4" w14:textId="53B2148C" w:rsidR="00F53D44" w:rsidRPr="007807E2" w:rsidRDefault="002D115A" w:rsidP="00F53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D44" w:rsidRPr="007807E2">
              <w:rPr>
                <w:rFonts w:ascii="Times New Roman" w:hAnsi="Times New Roman" w:cs="Times New Roman"/>
                <w:sz w:val="24"/>
                <w:szCs w:val="24"/>
              </w:rPr>
              <w:t>0.2.  Sėdynių konstrukcija turi būti tvirta, be deformacijų, sėdynės reguliavimo mechanizmai turi veikti</w:t>
            </w:r>
            <w:r w:rsidR="00F53D44" w:rsidRPr="00780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Leidžiamas tik įprastas nusidėvėjimas (pvz., medžiagos ar odos paviršiaus blizgėjimas, spalvos tonų skirtumai)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267F242" w14:textId="77777777" w:rsidR="00F53D44" w:rsidRPr="007807E2" w:rsidRDefault="00F53D44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44" w:rsidRPr="007807E2" w14:paraId="55F78FF8" w14:textId="28C5B8D3" w:rsidTr="00657E90">
        <w:trPr>
          <w:trHeight w:val="20"/>
        </w:trPr>
        <w:tc>
          <w:tcPr>
            <w:tcW w:w="8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CD648" w14:textId="0CFE5B98" w:rsidR="00F53D44" w:rsidRPr="007807E2" w:rsidRDefault="00F53D44" w:rsidP="00B14457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BD56E5C" w14:textId="1A4B1C80" w:rsidR="00F53D44" w:rsidRPr="007807E2" w:rsidRDefault="002D115A" w:rsidP="0085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446" w:rsidRPr="007807E2">
              <w:rPr>
                <w:rFonts w:ascii="Times New Roman" w:hAnsi="Times New Roman" w:cs="Times New Roman"/>
                <w:sz w:val="24"/>
                <w:szCs w:val="24"/>
              </w:rPr>
              <w:t>0.3.  Montuojant papildomą(</w:t>
            </w:r>
            <w:proofErr w:type="spellStart"/>
            <w:r w:rsidR="00854446" w:rsidRPr="007807E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="00854446" w:rsidRPr="007807E2">
              <w:rPr>
                <w:rFonts w:ascii="Times New Roman" w:hAnsi="Times New Roman" w:cs="Times New Roman"/>
                <w:sz w:val="24"/>
                <w:szCs w:val="24"/>
              </w:rPr>
              <w:t>) sėdynę ar keičiant kita jos turi būti panašaus atspalvio, jei neįmanoma parinkti tokios pat medžiagos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450513E" w14:textId="77777777" w:rsidR="00F53D44" w:rsidRPr="007807E2" w:rsidRDefault="00F53D44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44" w:rsidRPr="007807E2" w14:paraId="40DB844A" w14:textId="1C4B9CBD" w:rsidTr="00657E90">
        <w:trPr>
          <w:trHeight w:val="20"/>
        </w:trPr>
        <w:tc>
          <w:tcPr>
            <w:tcW w:w="8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C65E0" w14:textId="150C7EC2" w:rsidR="00F53D44" w:rsidRPr="007807E2" w:rsidRDefault="00F53D44" w:rsidP="00B14457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3424847" w14:textId="2F367175" w:rsidR="00F53D44" w:rsidRPr="007807E2" w:rsidRDefault="002D115A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446" w:rsidRPr="007807E2">
              <w:rPr>
                <w:rFonts w:ascii="Times New Roman" w:hAnsi="Times New Roman" w:cs="Times New Roman"/>
                <w:sz w:val="24"/>
                <w:szCs w:val="24"/>
              </w:rPr>
              <w:t>0.4. . Prietaisų skydelis, vairas, pedalai, jungikliai ir valdymo mygtukai turi būti nepažeisti ir funkcionuoti pagal paskirtį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BC8BCE3" w14:textId="77777777" w:rsidR="00F53D44" w:rsidRPr="007807E2" w:rsidRDefault="00F53D44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44" w:rsidRPr="007807E2" w14:paraId="0D72A72B" w14:textId="77777777" w:rsidTr="00657E90">
        <w:trPr>
          <w:trHeight w:val="20"/>
        </w:trPr>
        <w:tc>
          <w:tcPr>
            <w:tcW w:w="8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B687C" w14:textId="77777777" w:rsidR="00F53D44" w:rsidRPr="007807E2" w:rsidRDefault="00F53D44" w:rsidP="00B14457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C2434CA" w14:textId="07F2AAA1" w:rsidR="00F53D44" w:rsidRPr="007807E2" w:rsidRDefault="002D115A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446" w:rsidRPr="007807E2">
              <w:rPr>
                <w:rFonts w:ascii="Times New Roman" w:hAnsi="Times New Roman" w:cs="Times New Roman"/>
                <w:sz w:val="24"/>
                <w:szCs w:val="24"/>
              </w:rPr>
              <w:t>0.5.  Lubų, grindų ir durų apmušalai turi būti be įtrūkimų, praradusių sukibimą ar atšokusių vietų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409F7C3" w14:textId="77777777" w:rsidR="00F53D44" w:rsidRPr="007807E2" w:rsidRDefault="00F53D44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44" w:rsidRPr="007807E2" w14:paraId="599EE717" w14:textId="77777777" w:rsidTr="00657E90">
        <w:trPr>
          <w:trHeight w:val="20"/>
        </w:trPr>
        <w:tc>
          <w:tcPr>
            <w:tcW w:w="8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E05C" w14:textId="77777777" w:rsidR="00F53D44" w:rsidRPr="007807E2" w:rsidRDefault="00F53D44" w:rsidP="00B14457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842E4B1" w14:textId="2B5DE5DA" w:rsidR="00F53D44" w:rsidRPr="007807E2" w:rsidRDefault="002D115A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446" w:rsidRPr="007807E2">
              <w:rPr>
                <w:rFonts w:ascii="Times New Roman" w:hAnsi="Times New Roman" w:cs="Times New Roman"/>
                <w:sz w:val="24"/>
                <w:szCs w:val="24"/>
              </w:rPr>
              <w:t xml:space="preserve">0.6.  Plastikinės ir guminės detalės (pvz., rankenos, apdailos elementai) gali turėti tik </w:t>
            </w:r>
            <w:r w:rsidR="00854446" w:rsidRPr="007807E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smulkių paviršinių įbrėžimų</w:t>
            </w:r>
            <w:r w:rsidR="00854446" w:rsidRPr="0078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54446" w:rsidRPr="007807E2">
              <w:rPr>
                <w:rFonts w:ascii="Times New Roman" w:hAnsi="Times New Roman" w:cs="Times New Roman"/>
                <w:sz w:val="24"/>
                <w:szCs w:val="24"/>
              </w:rPr>
              <w:t>nepažeidžiančių estetinės išvaizdos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94C27C7" w14:textId="77777777" w:rsidR="00F53D44" w:rsidRPr="007807E2" w:rsidRDefault="00F53D44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44" w:rsidRPr="007807E2" w14:paraId="5CA3D10D" w14:textId="77777777" w:rsidTr="00657E90">
        <w:trPr>
          <w:trHeight w:val="20"/>
        </w:trPr>
        <w:tc>
          <w:tcPr>
            <w:tcW w:w="8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4497A" w14:textId="77777777" w:rsidR="00F53D44" w:rsidRPr="007807E2" w:rsidRDefault="00F53D44" w:rsidP="00B14457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553AB47" w14:textId="71BE3B60" w:rsidR="00F53D44" w:rsidRPr="007807E2" w:rsidRDefault="002D115A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446" w:rsidRPr="007807E2">
              <w:rPr>
                <w:rFonts w:ascii="Times New Roman" w:hAnsi="Times New Roman" w:cs="Times New Roman"/>
                <w:sz w:val="24"/>
                <w:szCs w:val="24"/>
              </w:rPr>
              <w:t>0.7.  Transporto priemonės salonas turi būti be pašalinių kvapų (pelėsio, degalų, alyvos ir pan.)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5DEBA74" w14:textId="77777777" w:rsidR="00F53D44" w:rsidRPr="007807E2" w:rsidRDefault="00F53D44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5A" w:rsidRPr="007807E2" w14:paraId="07179CF9" w14:textId="77777777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10669" w14:textId="5725AE35" w:rsidR="002D115A" w:rsidRPr="007807E2" w:rsidRDefault="002D115A" w:rsidP="00B144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82D7FC" w14:textId="77777777" w:rsidR="00F74849" w:rsidRPr="00F74849" w:rsidRDefault="00BD389B" w:rsidP="00F74849">
            <w:pPr>
              <w:pStyle w:val="Betarp"/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74849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Garantijos reikalavimas:</w:t>
            </w:r>
            <w:r w:rsidR="00694FB1" w:rsidRPr="00F74849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  <w:p w14:paraId="2B59D798" w14:textId="69AB8E66" w:rsidR="00694FB1" w:rsidRPr="00F74849" w:rsidRDefault="00694FB1" w:rsidP="00F748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7484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D389B" w:rsidRPr="00F74849">
              <w:rPr>
                <w:rFonts w:ascii="Times New Roman" w:hAnsi="Times New Roman" w:cs="Times New Roman"/>
                <w:sz w:val="24"/>
                <w:szCs w:val="24"/>
              </w:rPr>
              <w:t>iekėjas privalo suteikti ne trumpesnę kaip</w:t>
            </w:r>
            <w:r w:rsidR="00BD389B" w:rsidRPr="00F74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389B" w:rsidRPr="00F74849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 (trijų) mėnesių garantiją</w:t>
            </w:r>
            <w:r w:rsidR="00BD389B" w:rsidRPr="00F74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389B" w:rsidRPr="00F74849">
              <w:rPr>
                <w:rFonts w:ascii="Times New Roman" w:hAnsi="Times New Roman" w:cs="Times New Roman"/>
                <w:sz w:val="24"/>
                <w:szCs w:val="24"/>
              </w:rPr>
              <w:t>nuo sunkvežimio perdavimo perkančiajai org</w:t>
            </w:r>
            <w:r w:rsidRPr="00F748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D389B" w:rsidRPr="00F74849">
              <w:rPr>
                <w:rFonts w:ascii="Times New Roman" w:hAnsi="Times New Roman" w:cs="Times New Roman"/>
                <w:sz w:val="24"/>
                <w:szCs w:val="24"/>
              </w:rPr>
              <w:t>nizacijai dienos. Garantijos laikotarpiu tiekėjas įsipareigoja savo lėšomis pašalinti visus transporto priemonės defektus, atsiradusius ne dėl perkančiosios organizacijos kaltės, arba, jeigu defekto pašalinti neįmanoma, pakeisti sugadintas dalis tinkamomis.</w:t>
            </w:r>
          </w:p>
          <w:p w14:paraId="0B170128" w14:textId="2BB43E81" w:rsidR="00BD389B" w:rsidRPr="00E2024A" w:rsidRDefault="00BD389B" w:rsidP="00E2024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2024A">
              <w:rPr>
                <w:rFonts w:ascii="Times New Roman" w:hAnsi="Times New Roman" w:cs="Times New Roman"/>
                <w:sz w:val="24"/>
                <w:szCs w:val="24"/>
              </w:rPr>
              <w:t>Garantija turi apimti šias dalis ir sistemas:</w:t>
            </w:r>
          </w:p>
          <w:p w14:paraId="0C941348" w14:textId="77777777" w:rsidR="00BD389B" w:rsidRPr="00E2024A" w:rsidRDefault="00BD389B" w:rsidP="00E2024A">
            <w:pPr>
              <w:pStyle w:val="Betarp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024A">
              <w:rPr>
                <w:rFonts w:ascii="Times New Roman" w:hAnsi="Times New Roman" w:cs="Times New Roman"/>
                <w:sz w:val="24"/>
                <w:szCs w:val="24"/>
              </w:rPr>
              <w:t>variklį ir pavarų dėžę;</w:t>
            </w:r>
          </w:p>
          <w:p w14:paraId="27B46A07" w14:textId="77777777" w:rsidR="00BD389B" w:rsidRPr="00E2024A" w:rsidRDefault="00BD389B" w:rsidP="00E2024A">
            <w:pPr>
              <w:pStyle w:val="Betarp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024A">
              <w:rPr>
                <w:rFonts w:ascii="Times New Roman" w:hAnsi="Times New Roman" w:cs="Times New Roman"/>
                <w:sz w:val="24"/>
                <w:szCs w:val="24"/>
              </w:rPr>
              <w:t>transmisiją;</w:t>
            </w:r>
          </w:p>
          <w:p w14:paraId="4F546336" w14:textId="77777777" w:rsidR="00BD389B" w:rsidRPr="00E2024A" w:rsidRDefault="00BD389B" w:rsidP="00E2024A">
            <w:pPr>
              <w:pStyle w:val="Betarp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024A">
              <w:rPr>
                <w:rFonts w:ascii="Times New Roman" w:hAnsi="Times New Roman" w:cs="Times New Roman"/>
                <w:sz w:val="24"/>
                <w:szCs w:val="24"/>
              </w:rPr>
              <w:t>stabdžių sistemą;</w:t>
            </w:r>
          </w:p>
          <w:p w14:paraId="736EF232" w14:textId="77777777" w:rsidR="00BD389B" w:rsidRPr="00E2024A" w:rsidRDefault="00BD389B" w:rsidP="00E2024A">
            <w:pPr>
              <w:pStyle w:val="Betarp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024A">
              <w:rPr>
                <w:rFonts w:ascii="Times New Roman" w:hAnsi="Times New Roman" w:cs="Times New Roman"/>
                <w:sz w:val="24"/>
                <w:szCs w:val="24"/>
              </w:rPr>
              <w:t>vairo mechanizmą;</w:t>
            </w:r>
          </w:p>
          <w:p w14:paraId="043FEACD" w14:textId="16959F48" w:rsidR="002D115A" w:rsidRPr="007807E2" w:rsidRDefault="00BD389B" w:rsidP="00E2024A">
            <w:pPr>
              <w:pStyle w:val="Betarp"/>
              <w:numPr>
                <w:ilvl w:val="0"/>
                <w:numId w:val="16"/>
              </w:numPr>
            </w:pPr>
            <w:r w:rsidRPr="00E2024A">
              <w:rPr>
                <w:rFonts w:ascii="Times New Roman" w:hAnsi="Times New Roman" w:cs="Times New Roman"/>
                <w:sz w:val="24"/>
                <w:szCs w:val="24"/>
              </w:rPr>
              <w:t>elektros sistemą;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1F694E" w14:textId="77777777" w:rsidR="002D115A" w:rsidRPr="007807E2" w:rsidRDefault="002D115A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</w:tr>
      <w:tr w:rsidR="00A8304D" w:rsidRPr="007807E2" w14:paraId="14BC9D89" w14:textId="7F0320D2" w:rsidTr="00834E66">
        <w:trPr>
          <w:trHeight w:val="2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EE313" w14:textId="1772AB67" w:rsidR="00A8304D" w:rsidRPr="007807E2" w:rsidRDefault="002D115A" w:rsidP="00B144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0A21B9" w14:textId="690C0A90" w:rsidR="00A8304D" w:rsidRPr="007807E2" w:rsidRDefault="00A8304D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Krovininis automobilis</w:t>
            </w:r>
            <w:r w:rsidR="00B20E8E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7807E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turi būti pateikiamas registruotas Lietuvoje pirkėjo vardu</w:t>
            </w:r>
            <w:r w:rsidR="00DC38F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kaip mokomoji transporto priemonė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0F245E" w14:textId="77777777" w:rsidR="00A8304D" w:rsidRPr="007807E2" w:rsidRDefault="00A8304D" w:rsidP="00A830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</w:tr>
    </w:tbl>
    <w:p w14:paraId="40F18BEB" w14:textId="0D918D37" w:rsidR="00EE44A8" w:rsidRPr="007807E2" w:rsidRDefault="00EE44A8">
      <w:pPr>
        <w:rPr>
          <w:rFonts w:ascii="Times New Roman" w:hAnsi="Times New Roman" w:cs="Times New Roman"/>
          <w:sz w:val="24"/>
          <w:szCs w:val="24"/>
        </w:rPr>
      </w:pPr>
    </w:p>
    <w:p w14:paraId="5FE019A5" w14:textId="676EFB5B" w:rsidR="00EE44A8" w:rsidRPr="007807E2" w:rsidRDefault="00EE44A8" w:rsidP="0018272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7E2">
        <w:rPr>
          <w:rFonts w:ascii="Times New Roman" w:eastAsia="Times New Roman" w:hAnsi="Times New Roman" w:cs="Times New Roman"/>
          <w:sz w:val="24"/>
          <w:szCs w:val="24"/>
        </w:rPr>
        <w:t>Išorės ir vidaus interjero būklė vertinama vizualiai apžiūrint transporto priemonę dienos šviesoje. Vertinimą atlieka perkančiosios organizacijos atstovai pagal šioje specifikacijoje nurodytus kriterijus.</w:t>
      </w:r>
    </w:p>
    <w:p w14:paraId="23E33E77" w14:textId="77777777" w:rsidR="00EE44A8" w:rsidRPr="007807E2" w:rsidRDefault="00EE44A8">
      <w:pPr>
        <w:rPr>
          <w:rFonts w:ascii="Times New Roman" w:hAnsi="Times New Roman" w:cs="Times New Roman"/>
          <w:sz w:val="24"/>
          <w:szCs w:val="24"/>
        </w:rPr>
      </w:pPr>
    </w:p>
    <w:sectPr w:rsidR="00EE44A8" w:rsidRPr="007807E2" w:rsidSect="00B40746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42A4"/>
    <w:multiLevelType w:val="hybridMultilevel"/>
    <w:tmpl w:val="B9AC89EC"/>
    <w:lvl w:ilvl="0" w:tplc="22E651E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305F56"/>
    <w:multiLevelType w:val="hybridMultilevel"/>
    <w:tmpl w:val="26E8E212"/>
    <w:lvl w:ilvl="0" w:tplc="0427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" w15:restartNumberingAfterBreak="0">
    <w:nsid w:val="168B10F6"/>
    <w:multiLevelType w:val="multilevel"/>
    <w:tmpl w:val="E0B88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EE43976"/>
    <w:multiLevelType w:val="multilevel"/>
    <w:tmpl w:val="36F2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62769"/>
    <w:multiLevelType w:val="multilevel"/>
    <w:tmpl w:val="6370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76AB6"/>
    <w:multiLevelType w:val="multilevel"/>
    <w:tmpl w:val="36B4F728"/>
    <w:lvl w:ilvl="0">
      <w:start w:val="5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B87AB6"/>
    <w:multiLevelType w:val="multilevel"/>
    <w:tmpl w:val="F0ACB308"/>
    <w:lvl w:ilvl="0">
      <w:start w:val="5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BF296E"/>
    <w:multiLevelType w:val="hybridMultilevel"/>
    <w:tmpl w:val="3BA6A8E0"/>
    <w:lvl w:ilvl="0" w:tplc="22E65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03D0C"/>
    <w:multiLevelType w:val="multilevel"/>
    <w:tmpl w:val="4B08C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920357"/>
    <w:multiLevelType w:val="multilevel"/>
    <w:tmpl w:val="B0761988"/>
    <w:lvl w:ilvl="0">
      <w:start w:val="5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9B487F"/>
    <w:multiLevelType w:val="hybridMultilevel"/>
    <w:tmpl w:val="1EE6A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40E2E"/>
    <w:multiLevelType w:val="hybridMultilevel"/>
    <w:tmpl w:val="9FA2A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B63AB"/>
    <w:multiLevelType w:val="multilevel"/>
    <w:tmpl w:val="E3A82C6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F97F2E"/>
    <w:multiLevelType w:val="hybridMultilevel"/>
    <w:tmpl w:val="7D188F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37255"/>
    <w:multiLevelType w:val="hybridMultilevel"/>
    <w:tmpl w:val="06984CA6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7EBA0B2E"/>
    <w:multiLevelType w:val="hybridMultilevel"/>
    <w:tmpl w:val="0B26F2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0"/>
  </w:num>
  <w:num w:numId="5">
    <w:abstractNumId w:val="12"/>
  </w:num>
  <w:num w:numId="6">
    <w:abstractNumId w:val="4"/>
  </w:num>
  <w:num w:numId="7">
    <w:abstractNumId w:val="1"/>
  </w:num>
  <w:num w:numId="8">
    <w:abstractNumId w:val="14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  <w:num w:numId="13">
    <w:abstractNumId w:val="3"/>
  </w:num>
  <w:num w:numId="14">
    <w:abstractNumId w:val="11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66"/>
    <w:rsid w:val="00000EBD"/>
    <w:rsid w:val="00003552"/>
    <w:rsid w:val="000309B4"/>
    <w:rsid w:val="00032374"/>
    <w:rsid w:val="00040323"/>
    <w:rsid w:val="00097F80"/>
    <w:rsid w:val="000A7AB9"/>
    <w:rsid w:val="000D36E6"/>
    <w:rsid w:val="000D463E"/>
    <w:rsid w:val="000F3AA6"/>
    <w:rsid w:val="00107332"/>
    <w:rsid w:val="00172841"/>
    <w:rsid w:val="00182725"/>
    <w:rsid w:val="001A1CCC"/>
    <w:rsid w:val="001E6C20"/>
    <w:rsid w:val="00205A28"/>
    <w:rsid w:val="0023066D"/>
    <w:rsid w:val="002579E3"/>
    <w:rsid w:val="0027426D"/>
    <w:rsid w:val="002B0698"/>
    <w:rsid w:val="002B3E09"/>
    <w:rsid w:val="002D115A"/>
    <w:rsid w:val="002D64A3"/>
    <w:rsid w:val="002F53D9"/>
    <w:rsid w:val="003011FD"/>
    <w:rsid w:val="0030164C"/>
    <w:rsid w:val="0030392A"/>
    <w:rsid w:val="003149F6"/>
    <w:rsid w:val="00355CE5"/>
    <w:rsid w:val="00386076"/>
    <w:rsid w:val="003908A1"/>
    <w:rsid w:val="003C6001"/>
    <w:rsid w:val="003E6581"/>
    <w:rsid w:val="004212F6"/>
    <w:rsid w:val="004454C1"/>
    <w:rsid w:val="00465690"/>
    <w:rsid w:val="00497B7D"/>
    <w:rsid w:val="004A5FC6"/>
    <w:rsid w:val="005908B3"/>
    <w:rsid w:val="005B371F"/>
    <w:rsid w:val="005F3D19"/>
    <w:rsid w:val="006571D6"/>
    <w:rsid w:val="00673C3B"/>
    <w:rsid w:val="00694FB1"/>
    <w:rsid w:val="006A667F"/>
    <w:rsid w:val="006D6446"/>
    <w:rsid w:val="006E32B6"/>
    <w:rsid w:val="00707985"/>
    <w:rsid w:val="00725161"/>
    <w:rsid w:val="007807E2"/>
    <w:rsid w:val="007B487E"/>
    <w:rsid w:val="007D7AE8"/>
    <w:rsid w:val="00834E66"/>
    <w:rsid w:val="00854446"/>
    <w:rsid w:val="008D2B29"/>
    <w:rsid w:val="008D4333"/>
    <w:rsid w:val="00902DDD"/>
    <w:rsid w:val="00931AA1"/>
    <w:rsid w:val="00937821"/>
    <w:rsid w:val="009B440A"/>
    <w:rsid w:val="009B7053"/>
    <w:rsid w:val="009E5340"/>
    <w:rsid w:val="009F0081"/>
    <w:rsid w:val="00A44D30"/>
    <w:rsid w:val="00A5080E"/>
    <w:rsid w:val="00A66595"/>
    <w:rsid w:val="00A8304D"/>
    <w:rsid w:val="00A86068"/>
    <w:rsid w:val="00AC50F3"/>
    <w:rsid w:val="00AC5DEF"/>
    <w:rsid w:val="00AE2716"/>
    <w:rsid w:val="00B14457"/>
    <w:rsid w:val="00B15014"/>
    <w:rsid w:val="00B20E8E"/>
    <w:rsid w:val="00B34C6D"/>
    <w:rsid w:val="00B40746"/>
    <w:rsid w:val="00B41A93"/>
    <w:rsid w:val="00B67D53"/>
    <w:rsid w:val="00BB5E78"/>
    <w:rsid w:val="00BD389B"/>
    <w:rsid w:val="00BF1B4F"/>
    <w:rsid w:val="00C571DE"/>
    <w:rsid w:val="00C7441C"/>
    <w:rsid w:val="00C93B80"/>
    <w:rsid w:val="00CB002B"/>
    <w:rsid w:val="00CF5EE7"/>
    <w:rsid w:val="00D37DF5"/>
    <w:rsid w:val="00D73929"/>
    <w:rsid w:val="00DC38F8"/>
    <w:rsid w:val="00E1624C"/>
    <w:rsid w:val="00E2024A"/>
    <w:rsid w:val="00E3023D"/>
    <w:rsid w:val="00EC0BBB"/>
    <w:rsid w:val="00EE44A8"/>
    <w:rsid w:val="00F37047"/>
    <w:rsid w:val="00F53D44"/>
    <w:rsid w:val="00F7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E5D0"/>
  <w15:chartTrackingRefBased/>
  <w15:docId w15:val="{6F521587-3A0A-4EEC-B4BB-C959188E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4E66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4E6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4E66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34E66"/>
    <w:rPr>
      <w:strike w:val="0"/>
      <w:dstrike w:val="0"/>
      <w:color w:val="auto"/>
      <w:u w:val="none"/>
      <w:effect w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4E6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4E66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34E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834E66"/>
    <w:pPr>
      <w:ind w:left="720"/>
      <w:contextualSpacing/>
    </w:pPr>
    <w:rPr>
      <w:rFonts w:eastAsiaTheme="minorHAnsi"/>
      <w:sz w:val="22"/>
      <w:szCs w:val="22"/>
      <w:lang w:eastAsia="en-US"/>
    </w:rPr>
  </w:style>
  <w:style w:type="table" w:customStyle="1" w:styleId="TableGrid1">
    <w:name w:val="Table Grid1"/>
    <w:basedOn w:val="prastojilentel"/>
    <w:uiPriority w:val="99"/>
    <w:rsid w:val="0083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rietas">
    <w:name w:val="Strong"/>
    <w:basedOn w:val="Numatytasispastraiposriftas"/>
    <w:uiPriority w:val="22"/>
    <w:qFormat/>
    <w:rsid w:val="003149F6"/>
    <w:rPr>
      <w:b/>
      <w:bCs/>
    </w:rPr>
  </w:style>
  <w:style w:type="paragraph" w:styleId="prastasiniatinklio">
    <w:name w:val="Normal (Web)"/>
    <w:basedOn w:val="prastasis"/>
    <w:uiPriority w:val="99"/>
    <w:unhideWhenUsed/>
    <w:rsid w:val="00BD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807E2"/>
    <w:pPr>
      <w:spacing w:after="0" w:line="240" w:lineRule="auto"/>
    </w:pPr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4B60A8C9678B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A99A-D81D-4D1F-8AA0-185D8D4D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4</Pages>
  <Words>4982</Words>
  <Characters>2841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Baskevicius</dc:creator>
  <cp:keywords/>
  <dc:description/>
  <cp:lastModifiedBy>Audrius Adomaitis</cp:lastModifiedBy>
  <cp:revision>32</cp:revision>
  <cp:lastPrinted>2025-11-06T10:29:00Z</cp:lastPrinted>
  <dcterms:created xsi:type="dcterms:W3CDTF">2025-11-19T11:26:00Z</dcterms:created>
  <dcterms:modified xsi:type="dcterms:W3CDTF">2025-11-21T06:08:00Z</dcterms:modified>
</cp:coreProperties>
</file>