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00304B" w:rsidRDefault="000F17D6" w:rsidP="000F17D6">
      <w:pPr>
        <w:jc w:val="right"/>
        <w:rPr>
          <w:rFonts w:ascii="Jost" w:hAnsi="Jost"/>
          <w:sz w:val="22"/>
          <w:szCs w:val="22"/>
        </w:rPr>
      </w:pPr>
    </w:p>
    <w:p w14:paraId="058888F4" w14:textId="77777777" w:rsidR="000F17D6" w:rsidRPr="0000304B" w:rsidRDefault="000F17D6" w:rsidP="000F17D6">
      <w:pPr>
        <w:rPr>
          <w:rFonts w:ascii="Jost" w:hAnsi="Jost"/>
          <w:sz w:val="22"/>
          <w:szCs w:val="22"/>
        </w:rPr>
      </w:pPr>
    </w:p>
    <w:p w14:paraId="61FAB302" w14:textId="77777777" w:rsidR="000F17D6" w:rsidRPr="0000304B" w:rsidRDefault="000F17D6" w:rsidP="000F17D6">
      <w:pPr>
        <w:rPr>
          <w:rFonts w:ascii="Jost" w:hAnsi="Jost"/>
          <w:i/>
          <w:iCs/>
          <w:sz w:val="22"/>
          <w:szCs w:val="22"/>
        </w:rPr>
      </w:pPr>
      <w:r w:rsidRPr="0000304B">
        <w:rPr>
          <w:rFonts w:ascii="Jost" w:hAnsi="Jost"/>
          <w:i/>
          <w:iCs/>
          <w:sz w:val="22"/>
          <w:szCs w:val="22"/>
        </w:rPr>
        <w:t>Tiekėjams</w:t>
      </w:r>
    </w:p>
    <w:p w14:paraId="3457680A" w14:textId="77777777" w:rsidR="00D811A2" w:rsidRPr="0000304B" w:rsidRDefault="00D811A2" w:rsidP="000F17D6">
      <w:pPr>
        <w:rPr>
          <w:rFonts w:ascii="Jost" w:hAnsi="Jost"/>
          <w:i/>
          <w:iCs/>
          <w:sz w:val="22"/>
          <w:szCs w:val="22"/>
        </w:rPr>
      </w:pPr>
    </w:p>
    <w:p w14:paraId="69B240AC" w14:textId="77777777" w:rsidR="000F17D6" w:rsidRPr="0000304B" w:rsidRDefault="000F17D6" w:rsidP="000F17D6">
      <w:pPr>
        <w:rPr>
          <w:rFonts w:ascii="Jost" w:hAnsi="Jost"/>
          <w:i/>
          <w:iCs/>
          <w:sz w:val="22"/>
          <w:szCs w:val="22"/>
        </w:rPr>
      </w:pPr>
      <w:r w:rsidRPr="0000304B">
        <w:rPr>
          <w:rFonts w:ascii="Jost" w:hAnsi="Jost"/>
          <w:i/>
          <w:iCs/>
          <w:sz w:val="22"/>
          <w:szCs w:val="22"/>
        </w:rPr>
        <w:t>Siunčiama CVP IS priemonėmis</w:t>
      </w:r>
    </w:p>
    <w:p w14:paraId="7667E45E" w14:textId="77777777" w:rsidR="000F17D6" w:rsidRPr="0000304B" w:rsidRDefault="000F17D6" w:rsidP="000F17D6">
      <w:pPr>
        <w:rPr>
          <w:rFonts w:ascii="Jost" w:hAnsi="Jost"/>
          <w:b/>
          <w:bCs/>
          <w:sz w:val="22"/>
          <w:szCs w:val="22"/>
        </w:rPr>
      </w:pPr>
    </w:p>
    <w:p w14:paraId="0AB0DAD8" w14:textId="77777777" w:rsidR="000F17D6" w:rsidRPr="0000304B" w:rsidRDefault="000F17D6" w:rsidP="000F17D6">
      <w:pPr>
        <w:rPr>
          <w:rFonts w:ascii="Jost" w:hAnsi="Jost"/>
          <w:b/>
          <w:bCs/>
          <w:sz w:val="22"/>
          <w:szCs w:val="22"/>
        </w:rPr>
      </w:pPr>
    </w:p>
    <w:p w14:paraId="3DC84B23" w14:textId="4EB85385" w:rsidR="000F17D6" w:rsidRPr="0000304B" w:rsidRDefault="000F17D6" w:rsidP="000F17D6">
      <w:pPr>
        <w:rPr>
          <w:rFonts w:ascii="Jost" w:hAnsi="Jost"/>
          <w:b/>
          <w:bCs/>
          <w:sz w:val="22"/>
          <w:szCs w:val="22"/>
        </w:rPr>
      </w:pPr>
      <w:r w:rsidRPr="0000304B">
        <w:rPr>
          <w:rFonts w:ascii="Jost" w:hAnsi="Jost"/>
          <w:b/>
          <w:bCs/>
          <w:sz w:val="22"/>
          <w:szCs w:val="22"/>
        </w:rPr>
        <w:t xml:space="preserve">DĖL </w:t>
      </w:r>
      <w:r w:rsidR="00C628F6" w:rsidRPr="0000304B">
        <w:rPr>
          <w:rFonts w:ascii="Jost" w:hAnsi="Jost"/>
          <w:b/>
          <w:bCs/>
          <w:sz w:val="22"/>
          <w:szCs w:val="22"/>
        </w:rPr>
        <w:t>PATEIKT</w:t>
      </w:r>
      <w:r w:rsidR="00B731A5" w:rsidRPr="0000304B">
        <w:rPr>
          <w:rFonts w:ascii="Jost" w:hAnsi="Jost"/>
          <w:b/>
          <w:bCs/>
          <w:sz w:val="22"/>
          <w:szCs w:val="22"/>
        </w:rPr>
        <w:t>Ų</w:t>
      </w:r>
      <w:r w:rsidR="00C628F6" w:rsidRPr="0000304B">
        <w:rPr>
          <w:rFonts w:ascii="Jost" w:hAnsi="Jost"/>
          <w:b/>
          <w:bCs/>
          <w:sz w:val="22"/>
          <w:szCs w:val="22"/>
        </w:rPr>
        <w:t xml:space="preserve"> PAKLAUSIM</w:t>
      </w:r>
      <w:r w:rsidR="00B731A5" w:rsidRPr="0000304B">
        <w:rPr>
          <w:rFonts w:ascii="Jost" w:hAnsi="Jost"/>
          <w:b/>
          <w:bCs/>
          <w:sz w:val="22"/>
          <w:szCs w:val="22"/>
        </w:rPr>
        <w:t>Ų</w:t>
      </w:r>
    </w:p>
    <w:p w14:paraId="47F7602C" w14:textId="77777777" w:rsidR="000F17D6" w:rsidRPr="0000304B" w:rsidRDefault="000F17D6" w:rsidP="0023122B">
      <w:pPr>
        <w:rPr>
          <w:rFonts w:ascii="Jost" w:hAnsi="Jost"/>
          <w:sz w:val="22"/>
          <w:szCs w:val="22"/>
        </w:rPr>
      </w:pPr>
    </w:p>
    <w:p w14:paraId="398D9FD3" w14:textId="79C0DDFE" w:rsidR="004724B7" w:rsidRPr="0000304B" w:rsidRDefault="004724B7" w:rsidP="004724B7">
      <w:pPr>
        <w:spacing w:line="288" w:lineRule="auto"/>
        <w:ind w:firstLine="720"/>
        <w:jc w:val="both"/>
        <w:rPr>
          <w:rFonts w:ascii="Jost" w:hAnsi="Jost"/>
          <w:sz w:val="22"/>
          <w:szCs w:val="22"/>
        </w:rPr>
      </w:pPr>
      <w:r w:rsidRPr="0000304B">
        <w:rPr>
          <w:rFonts w:ascii="Jost" w:hAnsi="Jost"/>
          <w:sz w:val="22"/>
          <w:szCs w:val="22"/>
        </w:rPr>
        <w:t xml:space="preserve">Viešoji įstaiga CPO LT (toliau – CPO LT), </w:t>
      </w:r>
      <w:bookmarkStart w:id="0" w:name="_Hlk120190959"/>
      <w:r w:rsidRPr="0000304B">
        <w:rPr>
          <w:rFonts w:ascii="Jost" w:hAnsi="Jost"/>
          <w:sz w:val="22"/>
          <w:szCs w:val="22"/>
        </w:rPr>
        <w:t>vykdydama viešąjį pirkimą</w:t>
      </w:r>
      <w:r w:rsidRPr="0000304B">
        <w:rPr>
          <w:rFonts w:ascii="Jost" w:hAnsi="Jost"/>
          <w:i/>
          <w:iCs/>
          <w:sz w:val="22"/>
          <w:szCs w:val="22"/>
        </w:rPr>
        <w:t xml:space="preserve"> </w:t>
      </w:r>
      <w:r w:rsidR="0023122B" w:rsidRPr="0000304B">
        <w:rPr>
          <w:rFonts w:ascii="Jost" w:hAnsi="Jost"/>
          <w:sz w:val="22"/>
          <w:szCs w:val="22"/>
        </w:rPr>
        <w:t>„</w:t>
      </w:r>
      <w:r w:rsidR="007B0CCA" w:rsidRPr="0000304B">
        <w:rPr>
          <w:rFonts w:ascii="Jost" w:hAnsi="Jost"/>
          <w:sz w:val="22"/>
          <w:szCs w:val="22"/>
        </w:rPr>
        <w:t>Renginių organizavimo paslaugos</w:t>
      </w:r>
      <w:r w:rsidR="003C6C5D" w:rsidRPr="0000304B">
        <w:rPr>
          <w:rFonts w:ascii="Jost" w:hAnsi="Jost"/>
          <w:sz w:val="22"/>
          <w:szCs w:val="22"/>
        </w:rPr>
        <w:t xml:space="preserve">“ </w:t>
      </w:r>
      <w:r w:rsidR="005A775A" w:rsidRPr="0000304B">
        <w:rPr>
          <w:rFonts w:ascii="Jost" w:hAnsi="Jost"/>
          <w:sz w:val="22"/>
          <w:szCs w:val="22"/>
        </w:rPr>
        <w:t>skelbiamos apklausos</w:t>
      </w:r>
      <w:r w:rsidRPr="0000304B">
        <w:rPr>
          <w:rFonts w:ascii="Jost" w:hAnsi="Jost"/>
          <w:sz w:val="22"/>
          <w:szCs w:val="22"/>
        </w:rPr>
        <w:t xml:space="preserve"> būdu</w:t>
      </w:r>
      <w:r w:rsidR="00F71DC1" w:rsidRPr="0000304B">
        <w:rPr>
          <w:rFonts w:ascii="Jost" w:hAnsi="Jost"/>
          <w:sz w:val="22"/>
          <w:szCs w:val="22"/>
        </w:rPr>
        <w:t xml:space="preserve"> (pirkimo </w:t>
      </w:r>
      <w:r w:rsidR="00892698" w:rsidRPr="0000304B">
        <w:rPr>
          <w:rFonts w:ascii="Jost" w:hAnsi="Jost"/>
          <w:sz w:val="22"/>
          <w:szCs w:val="22"/>
        </w:rPr>
        <w:t>ID</w:t>
      </w:r>
      <w:r w:rsidR="00F71DC1" w:rsidRPr="0000304B">
        <w:rPr>
          <w:rFonts w:ascii="Jost" w:hAnsi="Jost"/>
          <w:sz w:val="22"/>
          <w:szCs w:val="22"/>
        </w:rPr>
        <w:t xml:space="preserve"> </w:t>
      </w:r>
      <w:r w:rsidR="003A1D23" w:rsidRPr="0000304B">
        <w:rPr>
          <w:rFonts w:ascii="Jost" w:hAnsi="Jost"/>
          <w:sz w:val="22"/>
          <w:szCs w:val="22"/>
        </w:rPr>
        <w:t>5434418</w:t>
      </w:r>
      <w:r w:rsidR="00F71DC1" w:rsidRPr="0000304B">
        <w:rPr>
          <w:rFonts w:ascii="Jost" w:hAnsi="Jost"/>
          <w:sz w:val="22"/>
          <w:szCs w:val="22"/>
        </w:rPr>
        <w:t>, toliau – Pirkimas)</w:t>
      </w:r>
      <w:r w:rsidRPr="0000304B">
        <w:rPr>
          <w:rFonts w:ascii="Jost" w:hAnsi="Jost"/>
          <w:sz w:val="22"/>
          <w:szCs w:val="22"/>
        </w:rPr>
        <w:t xml:space="preserve">, </w:t>
      </w:r>
      <w:bookmarkEnd w:id="0"/>
      <w:r w:rsidR="00322AFC" w:rsidRPr="0000304B">
        <w:rPr>
          <w:rFonts w:ascii="Jost" w:hAnsi="Jost"/>
          <w:sz w:val="22"/>
          <w:szCs w:val="22"/>
        </w:rPr>
        <w:t>2025-</w:t>
      </w:r>
      <w:r w:rsidR="00E158EF" w:rsidRPr="0000304B">
        <w:rPr>
          <w:rFonts w:ascii="Jost" w:hAnsi="Jost"/>
          <w:sz w:val="22"/>
          <w:szCs w:val="22"/>
        </w:rPr>
        <w:t>11-</w:t>
      </w:r>
      <w:r w:rsidR="00EE2B53" w:rsidRPr="0000304B">
        <w:rPr>
          <w:rFonts w:ascii="Jost" w:hAnsi="Jost"/>
          <w:sz w:val="22"/>
          <w:szCs w:val="22"/>
        </w:rPr>
        <w:t>1</w:t>
      </w:r>
      <w:r w:rsidR="00BC630E" w:rsidRPr="0000304B">
        <w:rPr>
          <w:rFonts w:ascii="Jost" w:hAnsi="Jost"/>
          <w:sz w:val="22"/>
          <w:szCs w:val="22"/>
        </w:rPr>
        <w:t>9 ir 2025-11-20</w:t>
      </w:r>
      <w:r w:rsidR="003700F4" w:rsidRPr="0000304B">
        <w:rPr>
          <w:rFonts w:ascii="Jost" w:hAnsi="Jost"/>
          <w:sz w:val="22"/>
          <w:szCs w:val="22"/>
        </w:rPr>
        <w:t xml:space="preserve"> </w:t>
      </w:r>
      <w:r w:rsidRPr="0000304B">
        <w:rPr>
          <w:rFonts w:ascii="Jost" w:hAnsi="Jost"/>
          <w:sz w:val="22"/>
          <w:szCs w:val="22"/>
        </w:rPr>
        <w:t xml:space="preserve">CVP IS priemonėmis gavo </w:t>
      </w:r>
      <w:r w:rsidR="008C03EA" w:rsidRPr="0000304B">
        <w:rPr>
          <w:rFonts w:ascii="Jost" w:hAnsi="Jost"/>
          <w:sz w:val="22"/>
          <w:szCs w:val="22"/>
        </w:rPr>
        <w:t>suinteresuot</w:t>
      </w:r>
      <w:r w:rsidR="00BC630E" w:rsidRPr="0000304B">
        <w:rPr>
          <w:rFonts w:ascii="Jost" w:hAnsi="Jost"/>
          <w:sz w:val="22"/>
          <w:szCs w:val="22"/>
        </w:rPr>
        <w:t>ų</w:t>
      </w:r>
      <w:r w:rsidR="00E15D43" w:rsidRPr="0000304B">
        <w:rPr>
          <w:rFonts w:ascii="Jost" w:hAnsi="Jost"/>
          <w:sz w:val="22"/>
          <w:szCs w:val="22"/>
        </w:rPr>
        <w:t xml:space="preserve"> </w:t>
      </w:r>
      <w:r w:rsidRPr="0000304B">
        <w:rPr>
          <w:rFonts w:ascii="Jost" w:hAnsi="Jost"/>
          <w:sz w:val="22"/>
          <w:szCs w:val="22"/>
        </w:rPr>
        <w:t>tiekėj</w:t>
      </w:r>
      <w:r w:rsidR="00BC630E" w:rsidRPr="0000304B">
        <w:rPr>
          <w:rFonts w:ascii="Jost" w:hAnsi="Jost"/>
          <w:sz w:val="22"/>
          <w:szCs w:val="22"/>
        </w:rPr>
        <w:t>ų</w:t>
      </w:r>
      <w:r w:rsidRPr="0000304B">
        <w:rPr>
          <w:rFonts w:ascii="Jost" w:hAnsi="Jost"/>
          <w:sz w:val="22"/>
          <w:szCs w:val="22"/>
        </w:rPr>
        <w:t xml:space="preserve"> paklausim</w:t>
      </w:r>
      <w:r w:rsidR="00BC630E" w:rsidRPr="0000304B">
        <w:rPr>
          <w:rFonts w:ascii="Jost" w:hAnsi="Jost"/>
          <w:sz w:val="22"/>
          <w:szCs w:val="22"/>
        </w:rPr>
        <w:t>us</w:t>
      </w:r>
      <w:r w:rsidRPr="0000304B">
        <w:rPr>
          <w:rFonts w:ascii="Jost" w:hAnsi="Jost"/>
          <w:sz w:val="22"/>
          <w:szCs w:val="22"/>
        </w:rPr>
        <w:t>.</w:t>
      </w:r>
    </w:p>
    <w:p w14:paraId="0939295D" w14:textId="52F3B96E" w:rsidR="004724B7" w:rsidRPr="0000304B" w:rsidRDefault="004724B7" w:rsidP="004724B7">
      <w:pPr>
        <w:spacing w:line="288" w:lineRule="auto"/>
        <w:ind w:firstLine="720"/>
        <w:jc w:val="both"/>
        <w:rPr>
          <w:rFonts w:ascii="Jost" w:hAnsi="Jost"/>
          <w:sz w:val="22"/>
          <w:szCs w:val="22"/>
        </w:rPr>
      </w:pPr>
      <w:r w:rsidRPr="0000304B">
        <w:rPr>
          <w:rFonts w:ascii="Jost" w:hAnsi="Jost"/>
          <w:sz w:val="22"/>
          <w:szCs w:val="22"/>
        </w:rPr>
        <w:t>Paklausim</w:t>
      </w:r>
      <w:r w:rsidR="00AB7038" w:rsidRPr="0000304B">
        <w:rPr>
          <w:rFonts w:ascii="Jost" w:hAnsi="Jost"/>
          <w:sz w:val="22"/>
          <w:szCs w:val="22"/>
        </w:rPr>
        <w:t>a</w:t>
      </w:r>
      <w:r w:rsidR="00BC630E" w:rsidRPr="0000304B">
        <w:rPr>
          <w:rFonts w:ascii="Jost" w:hAnsi="Jost"/>
          <w:sz w:val="22"/>
          <w:szCs w:val="22"/>
        </w:rPr>
        <w:t>i</w:t>
      </w:r>
      <w:r w:rsidRPr="0000304B">
        <w:rPr>
          <w:rFonts w:ascii="Jost" w:hAnsi="Jost"/>
          <w:sz w:val="22"/>
          <w:szCs w:val="22"/>
        </w:rPr>
        <w:t xml:space="preserve"> pateikt</w:t>
      </w:r>
      <w:r w:rsidR="00BC630E" w:rsidRPr="0000304B">
        <w:rPr>
          <w:rFonts w:ascii="Jost" w:hAnsi="Jost"/>
          <w:sz w:val="22"/>
          <w:szCs w:val="22"/>
        </w:rPr>
        <w:t>i</w:t>
      </w:r>
      <w:r w:rsidRPr="0000304B">
        <w:rPr>
          <w:rFonts w:ascii="Jost" w:hAnsi="Jost"/>
          <w:sz w:val="22"/>
          <w:szCs w:val="22"/>
        </w:rPr>
        <w:t xml:space="preserve"> laikantis </w:t>
      </w:r>
      <w:r w:rsidR="00F0485B" w:rsidRPr="0000304B">
        <w:rPr>
          <w:rFonts w:ascii="Jost" w:hAnsi="Jost" w:cs="Calibri"/>
          <w:noProof/>
          <w:sz w:val="22"/>
          <w:szCs w:val="22"/>
        </w:rPr>
        <w:t>Viešųjų pirkimų tarnybos direktoriaus 2017-06-28 įsakymo Nr. 1S-97- „Dėl mažos vertės pirkimų tvarkos aprašo patvirtinimo“</w:t>
      </w:r>
      <w:r w:rsidR="00F0485B" w:rsidRPr="0000304B" w:rsidDel="00F0485B">
        <w:rPr>
          <w:rFonts w:ascii="Jost" w:hAnsi="Jost" w:cs="Calibri"/>
          <w:noProof/>
          <w:sz w:val="22"/>
          <w:szCs w:val="22"/>
        </w:rPr>
        <w:t xml:space="preserve"> </w:t>
      </w:r>
      <w:r w:rsidR="005E36C0" w:rsidRPr="0000304B">
        <w:rPr>
          <w:rFonts w:ascii="Jost" w:hAnsi="Jost" w:cs="Calibri"/>
          <w:noProof/>
          <w:sz w:val="22"/>
          <w:szCs w:val="22"/>
        </w:rPr>
        <w:t xml:space="preserve">(toliau – Įsakymas) </w:t>
      </w:r>
      <w:r w:rsidR="005E36C0" w:rsidRPr="0000304B">
        <w:rPr>
          <w:rFonts w:ascii="Jost" w:hAnsi="Jost" w:cs="Calibri"/>
          <w:sz w:val="22"/>
          <w:szCs w:val="22"/>
        </w:rPr>
        <w:t xml:space="preserve">21.3.6 p. nustatyto termino </w:t>
      </w:r>
      <w:r w:rsidR="005E36C0" w:rsidRPr="0000304B">
        <w:rPr>
          <w:rFonts w:ascii="Jost" w:hAnsi="Jost" w:cs="Calibri"/>
          <w:i/>
          <w:iCs/>
          <w:sz w:val="22"/>
          <w:szCs w:val="22"/>
        </w:rPr>
        <w:t>„Tiekėjai pasiūlymus dėl pirkimo dokumentų patikslinimų gali pateikti ne vėliau kaip likus 2 darbo dienoms iki pasiūlymų pateikimo termino pabaigos“</w:t>
      </w:r>
      <w:r w:rsidR="005E36C0" w:rsidRPr="0000304B">
        <w:rPr>
          <w:rFonts w:ascii="Jost" w:hAnsi="Jost" w:cs="Calibri"/>
          <w:sz w:val="22"/>
          <w:szCs w:val="22"/>
        </w:rPr>
        <w:t>,</w:t>
      </w:r>
      <w:r w:rsidR="005E36C0" w:rsidRPr="0000304B">
        <w:rPr>
          <w:rFonts w:ascii="Jost" w:hAnsi="Jost"/>
          <w:i/>
          <w:iCs/>
          <w:sz w:val="22"/>
          <w:szCs w:val="22"/>
        </w:rPr>
        <w:t xml:space="preserve"> </w:t>
      </w:r>
      <w:r w:rsidRPr="0000304B">
        <w:rPr>
          <w:rFonts w:ascii="Jost" w:hAnsi="Jost"/>
          <w:i/>
          <w:iCs/>
          <w:sz w:val="22"/>
          <w:szCs w:val="22"/>
        </w:rPr>
        <w:t xml:space="preserve"> </w:t>
      </w:r>
      <w:r w:rsidRPr="0000304B">
        <w:rPr>
          <w:rFonts w:ascii="Jost" w:hAnsi="Jost"/>
          <w:sz w:val="22"/>
          <w:szCs w:val="22"/>
        </w:rPr>
        <w:t>t. y. pateikt</w:t>
      </w:r>
      <w:r w:rsidR="005E36C0" w:rsidRPr="0000304B">
        <w:rPr>
          <w:rFonts w:ascii="Jost" w:hAnsi="Jost"/>
          <w:sz w:val="22"/>
          <w:szCs w:val="22"/>
        </w:rPr>
        <w:t>i</w:t>
      </w:r>
      <w:r w:rsidRPr="0000304B">
        <w:rPr>
          <w:rFonts w:ascii="Jost" w:hAnsi="Jost"/>
          <w:sz w:val="22"/>
          <w:szCs w:val="22"/>
        </w:rPr>
        <w:t xml:space="preserve"> laiku.</w:t>
      </w:r>
    </w:p>
    <w:p w14:paraId="70F481BD" w14:textId="2D60E1D5" w:rsidR="004724B7" w:rsidRPr="0000304B" w:rsidRDefault="004724B7" w:rsidP="004724B7">
      <w:pPr>
        <w:spacing w:line="288" w:lineRule="auto"/>
        <w:ind w:firstLine="720"/>
        <w:jc w:val="both"/>
        <w:rPr>
          <w:rFonts w:ascii="Jost" w:hAnsi="Jost"/>
          <w:sz w:val="22"/>
          <w:szCs w:val="22"/>
        </w:rPr>
      </w:pPr>
      <w:r w:rsidRPr="0000304B">
        <w:rPr>
          <w:rFonts w:ascii="Jost" w:hAnsi="Jost"/>
          <w:sz w:val="22"/>
          <w:szCs w:val="22"/>
        </w:rPr>
        <w:t>CPO LT viešojo pirkimo komisija (toliau – Komisija), vadovau</w:t>
      </w:r>
      <w:r w:rsidR="00C918C4" w:rsidRPr="0000304B">
        <w:rPr>
          <w:rFonts w:ascii="Jost" w:hAnsi="Jost"/>
          <w:sz w:val="22"/>
          <w:szCs w:val="22"/>
        </w:rPr>
        <w:t>damasi</w:t>
      </w:r>
      <w:r w:rsidRPr="0000304B">
        <w:rPr>
          <w:rFonts w:ascii="Jost" w:hAnsi="Jost"/>
          <w:sz w:val="22"/>
          <w:szCs w:val="22"/>
        </w:rPr>
        <w:t xml:space="preserve"> </w:t>
      </w:r>
      <w:r w:rsidR="009A0E23" w:rsidRPr="0000304B">
        <w:rPr>
          <w:rFonts w:ascii="Jost" w:hAnsi="Jost" w:cs="Calibri"/>
          <w:noProof/>
          <w:sz w:val="22"/>
          <w:szCs w:val="22"/>
        </w:rPr>
        <w:t xml:space="preserve">Įsakymo 21.3.7 p. ir Pirkimo dokumentų B dalies Bendrosios dalies 7.2 p., </w:t>
      </w:r>
      <w:r w:rsidRPr="0000304B">
        <w:rPr>
          <w:rFonts w:ascii="Jost" w:hAnsi="Jost"/>
          <w:sz w:val="22"/>
          <w:szCs w:val="22"/>
        </w:rPr>
        <w:t xml:space="preserve">teikia </w:t>
      </w:r>
      <w:r w:rsidR="003700F4" w:rsidRPr="0000304B">
        <w:rPr>
          <w:rFonts w:ascii="Jost" w:hAnsi="Jost"/>
          <w:sz w:val="22"/>
          <w:szCs w:val="22"/>
        </w:rPr>
        <w:t>atsakym</w:t>
      </w:r>
      <w:r w:rsidR="009A0E23" w:rsidRPr="0000304B">
        <w:rPr>
          <w:rFonts w:ascii="Jost" w:hAnsi="Jost"/>
          <w:sz w:val="22"/>
          <w:szCs w:val="22"/>
        </w:rPr>
        <w:t>us</w:t>
      </w:r>
      <w:r w:rsidR="003700F4" w:rsidRPr="0000304B">
        <w:rPr>
          <w:rFonts w:ascii="Jost" w:hAnsi="Jost"/>
          <w:sz w:val="22"/>
          <w:szCs w:val="22"/>
        </w:rPr>
        <w:t xml:space="preserve"> </w:t>
      </w:r>
      <w:r w:rsidRPr="0000304B">
        <w:rPr>
          <w:rFonts w:ascii="Jost" w:hAnsi="Jost"/>
          <w:sz w:val="22"/>
          <w:szCs w:val="22"/>
        </w:rPr>
        <w:t xml:space="preserve">į </w:t>
      </w:r>
      <w:r w:rsidR="00C918C4" w:rsidRPr="0000304B">
        <w:rPr>
          <w:rFonts w:ascii="Jost" w:hAnsi="Jost"/>
          <w:sz w:val="22"/>
          <w:szCs w:val="22"/>
        </w:rPr>
        <w:t>paklausim</w:t>
      </w:r>
      <w:r w:rsidR="009A0E23" w:rsidRPr="0000304B">
        <w:rPr>
          <w:rFonts w:ascii="Jost" w:hAnsi="Jost"/>
          <w:sz w:val="22"/>
          <w:szCs w:val="22"/>
        </w:rPr>
        <w:t>uose</w:t>
      </w:r>
      <w:r w:rsidR="00C918C4" w:rsidRPr="0000304B">
        <w:rPr>
          <w:rFonts w:ascii="Jost" w:hAnsi="Jost"/>
          <w:sz w:val="22"/>
          <w:szCs w:val="22"/>
        </w:rPr>
        <w:t xml:space="preserve"> </w:t>
      </w:r>
      <w:r w:rsidR="00C628F6" w:rsidRPr="0000304B">
        <w:rPr>
          <w:rFonts w:ascii="Jost" w:hAnsi="Jost"/>
          <w:sz w:val="22"/>
          <w:szCs w:val="22"/>
        </w:rPr>
        <w:t>pateikt</w:t>
      </w:r>
      <w:r w:rsidR="00ED2A08" w:rsidRPr="0000304B">
        <w:rPr>
          <w:rFonts w:ascii="Jost" w:hAnsi="Jost"/>
          <w:sz w:val="22"/>
          <w:szCs w:val="22"/>
        </w:rPr>
        <w:t xml:space="preserve">us </w:t>
      </w:r>
      <w:r w:rsidR="00C628F6" w:rsidRPr="0000304B">
        <w:rPr>
          <w:rFonts w:ascii="Jost" w:hAnsi="Jost"/>
          <w:sz w:val="22"/>
          <w:szCs w:val="22"/>
        </w:rPr>
        <w:t>klausim</w:t>
      </w:r>
      <w:r w:rsidR="00ED2A08" w:rsidRPr="0000304B">
        <w:rPr>
          <w:rFonts w:ascii="Jost" w:hAnsi="Jost"/>
          <w:sz w:val="22"/>
          <w:szCs w:val="22"/>
        </w:rPr>
        <w:t>us</w:t>
      </w:r>
      <w:r w:rsidRPr="0000304B">
        <w:rPr>
          <w:rFonts w:ascii="Jost" w:hAnsi="Jost"/>
          <w:sz w:val="22"/>
          <w:szCs w:val="22"/>
        </w:rPr>
        <w:t>:</w:t>
      </w:r>
    </w:p>
    <w:tbl>
      <w:tblPr>
        <w:tblStyle w:val="Lentelstinklelis"/>
        <w:tblW w:w="9852" w:type="dxa"/>
        <w:tblInd w:w="-5" w:type="dxa"/>
        <w:tblLook w:val="04A0" w:firstRow="1" w:lastRow="0" w:firstColumn="1" w:lastColumn="0" w:noHBand="0" w:noVBand="1"/>
      </w:tblPr>
      <w:tblGrid>
        <w:gridCol w:w="9852"/>
      </w:tblGrid>
      <w:tr w:rsidR="004724B7" w:rsidRPr="0000304B" w14:paraId="0D7C0412" w14:textId="77777777" w:rsidTr="007408EC">
        <w:trPr>
          <w:trHeight w:val="368"/>
        </w:trPr>
        <w:tc>
          <w:tcPr>
            <w:tcW w:w="9852" w:type="dxa"/>
            <w:shd w:val="clear" w:color="auto" w:fill="DAE9F7" w:themeFill="text2" w:themeFillTint="1A"/>
            <w:vAlign w:val="center"/>
          </w:tcPr>
          <w:p w14:paraId="6F222F43" w14:textId="0249F9C4" w:rsidR="004724B7" w:rsidRPr="0000304B" w:rsidRDefault="004724B7" w:rsidP="00E806E2">
            <w:pPr>
              <w:spacing w:line="276" w:lineRule="auto"/>
              <w:rPr>
                <w:rFonts w:ascii="Jost" w:hAnsi="Jost"/>
                <w:b/>
                <w:bCs/>
                <w:sz w:val="22"/>
                <w:szCs w:val="22"/>
                <w:lang w:val="lt-LT"/>
              </w:rPr>
            </w:pPr>
            <w:r w:rsidRPr="0000304B">
              <w:rPr>
                <w:rFonts w:ascii="Jost" w:hAnsi="Jost"/>
                <w:b/>
                <w:bCs/>
                <w:sz w:val="22"/>
                <w:szCs w:val="22"/>
                <w:lang w:val="lt-LT"/>
              </w:rPr>
              <w:t xml:space="preserve">Klausimas </w:t>
            </w:r>
            <w:r w:rsidR="00672827" w:rsidRPr="0000304B">
              <w:rPr>
                <w:rFonts w:ascii="Jost" w:hAnsi="Jost"/>
                <w:b/>
                <w:bCs/>
                <w:sz w:val="22"/>
                <w:szCs w:val="22"/>
                <w:lang w:val="lt-LT"/>
              </w:rPr>
              <w:t xml:space="preserve">1 </w:t>
            </w:r>
            <w:r w:rsidRPr="0000304B">
              <w:rPr>
                <w:rFonts w:ascii="Jost" w:hAnsi="Jost"/>
                <w:sz w:val="22"/>
                <w:szCs w:val="22"/>
                <w:lang w:val="lt-LT"/>
              </w:rPr>
              <w:t>(klausimo tekstas netaisytas)</w:t>
            </w:r>
          </w:p>
        </w:tc>
      </w:tr>
      <w:tr w:rsidR="004724B7" w:rsidRPr="0000304B" w14:paraId="7B2B4C43" w14:textId="77777777" w:rsidTr="007408EC">
        <w:trPr>
          <w:trHeight w:val="750"/>
        </w:trPr>
        <w:tc>
          <w:tcPr>
            <w:tcW w:w="9852" w:type="dxa"/>
          </w:tcPr>
          <w:p w14:paraId="0E010B0D" w14:textId="77777777" w:rsidR="00573F82" w:rsidRPr="0000304B" w:rsidRDefault="00573F82" w:rsidP="001622FE">
            <w:pPr>
              <w:tabs>
                <w:tab w:val="num" w:pos="462"/>
              </w:tabs>
              <w:spacing w:line="276" w:lineRule="auto"/>
              <w:jc w:val="both"/>
              <w:rPr>
                <w:rFonts w:ascii="Jost" w:hAnsi="Jost"/>
                <w:i/>
                <w:iCs/>
                <w:sz w:val="22"/>
                <w:szCs w:val="22"/>
                <w:lang w:val="lt-LT"/>
              </w:rPr>
            </w:pPr>
            <w:r w:rsidRPr="0000304B">
              <w:rPr>
                <w:rFonts w:ascii="Jost" w:hAnsi="Jost"/>
                <w:i/>
                <w:iCs/>
                <w:sz w:val="22"/>
                <w:szCs w:val="22"/>
                <w:lang w:val="lt-LT"/>
              </w:rPr>
              <w:t>Laba diena.</w:t>
            </w:r>
          </w:p>
          <w:p w14:paraId="75759190" w14:textId="63B3DFE0" w:rsidR="00573F82" w:rsidRPr="0000304B" w:rsidRDefault="00573F82" w:rsidP="001622FE">
            <w:pPr>
              <w:tabs>
                <w:tab w:val="num" w:pos="462"/>
              </w:tabs>
              <w:spacing w:line="276" w:lineRule="auto"/>
              <w:jc w:val="both"/>
              <w:rPr>
                <w:rFonts w:ascii="Jost" w:hAnsi="Jost"/>
                <w:i/>
                <w:iCs/>
                <w:sz w:val="22"/>
                <w:szCs w:val="22"/>
                <w:lang w:val="lt-LT"/>
              </w:rPr>
            </w:pPr>
            <w:r w:rsidRPr="0000304B">
              <w:rPr>
                <w:rFonts w:ascii="Jost" w:hAnsi="Jost"/>
                <w:i/>
                <w:iCs/>
                <w:sz w:val="22"/>
                <w:szCs w:val="22"/>
                <w:lang w:val="lt-LT"/>
              </w:rPr>
              <w:t xml:space="preserve">Pirkimas buvo paskelbtas 2025-11-17 18:29 , </w:t>
            </w:r>
            <w:proofErr w:type="spellStart"/>
            <w:r w:rsidRPr="0000304B">
              <w:rPr>
                <w:rFonts w:ascii="Jost" w:hAnsi="Jost"/>
                <w:i/>
                <w:iCs/>
                <w:sz w:val="22"/>
                <w:szCs w:val="22"/>
                <w:lang w:val="lt-LT"/>
              </w:rPr>
              <w:t>t.y</w:t>
            </w:r>
            <w:proofErr w:type="spellEnd"/>
            <w:r w:rsidRPr="0000304B">
              <w:rPr>
                <w:rFonts w:ascii="Jost" w:hAnsi="Jost"/>
                <w:i/>
                <w:iCs/>
                <w:sz w:val="22"/>
                <w:szCs w:val="22"/>
                <w:lang w:val="lt-LT"/>
              </w:rPr>
              <w:t>. po darbo valandų, pasiūlymų pateikimo terminas 2025-11-24 (pirmadienį) 9 val. ryto.</w:t>
            </w:r>
            <w:r w:rsidR="00BB77D4" w:rsidRPr="0000304B">
              <w:rPr>
                <w:rFonts w:ascii="Jost" w:hAnsi="Jost"/>
                <w:i/>
                <w:iCs/>
                <w:sz w:val="22"/>
                <w:szCs w:val="22"/>
                <w:lang w:val="lt-LT"/>
              </w:rPr>
              <w:t xml:space="preserve"> </w:t>
            </w:r>
            <w:r w:rsidRPr="0000304B">
              <w:rPr>
                <w:rFonts w:ascii="Jost" w:hAnsi="Jost"/>
                <w:i/>
                <w:iCs/>
                <w:sz w:val="22"/>
                <w:szCs w:val="22"/>
                <w:lang w:val="lt-LT"/>
              </w:rPr>
              <w:t>Faktiškai pasiūlymo parengimui tiekėjams skirtos 4 darbo dienos.</w:t>
            </w:r>
          </w:p>
          <w:p w14:paraId="08CFF471" w14:textId="3BBB3693" w:rsidR="00573F82" w:rsidRPr="0000304B" w:rsidRDefault="00573F82" w:rsidP="001622FE">
            <w:pPr>
              <w:tabs>
                <w:tab w:val="num" w:pos="462"/>
              </w:tabs>
              <w:spacing w:line="276" w:lineRule="auto"/>
              <w:jc w:val="both"/>
              <w:rPr>
                <w:rFonts w:ascii="Jost" w:hAnsi="Jost"/>
                <w:i/>
                <w:iCs/>
                <w:sz w:val="22"/>
                <w:szCs w:val="22"/>
                <w:lang w:val="lt-LT"/>
              </w:rPr>
            </w:pPr>
            <w:r w:rsidRPr="0000304B">
              <w:rPr>
                <w:rFonts w:ascii="Jost" w:hAnsi="Jost"/>
                <w:i/>
                <w:iCs/>
                <w:sz w:val="22"/>
                <w:szCs w:val="22"/>
                <w:lang w:val="lt-LT"/>
              </w:rPr>
              <w:t xml:space="preserve">Atsižvelgiant į tai, kad yra numatytas pasiūlymo užtikrinimo draudimas - turi būti pateikta banko garantija ar draudimo </w:t>
            </w:r>
            <w:proofErr w:type="spellStart"/>
            <w:r w:rsidRPr="0000304B">
              <w:rPr>
                <w:rFonts w:ascii="Jost" w:hAnsi="Jost"/>
                <w:i/>
                <w:iCs/>
                <w:sz w:val="22"/>
                <w:szCs w:val="22"/>
                <w:lang w:val="lt-LT"/>
              </w:rPr>
              <w:t>užtirktinimas</w:t>
            </w:r>
            <w:proofErr w:type="spellEnd"/>
            <w:r w:rsidRPr="0000304B">
              <w:rPr>
                <w:rFonts w:ascii="Jost" w:hAnsi="Jost"/>
                <w:i/>
                <w:iCs/>
                <w:sz w:val="22"/>
                <w:szCs w:val="22"/>
                <w:lang w:val="lt-LT"/>
              </w:rPr>
              <w:t xml:space="preserve"> nuo pasiūlymo sumos, akivaizdu kad toks 4 </w:t>
            </w:r>
            <w:proofErr w:type="spellStart"/>
            <w:r w:rsidRPr="0000304B">
              <w:rPr>
                <w:rFonts w:ascii="Jost" w:hAnsi="Jost"/>
                <w:i/>
                <w:iCs/>
                <w:sz w:val="22"/>
                <w:szCs w:val="22"/>
                <w:lang w:val="lt-LT"/>
              </w:rPr>
              <w:t>d.d</w:t>
            </w:r>
            <w:proofErr w:type="spellEnd"/>
            <w:r w:rsidRPr="0000304B">
              <w:rPr>
                <w:rFonts w:ascii="Jost" w:hAnsi="Jost"/>
                <w:i/>
                <w:iCs/>
                <w:sz w:val="22"/>
                <w:szCs w:val="22"/>
                <w:lang w:val="lt-LT"/>
              </w:rPr>
              <w:t>. terminas pasiūlymui parengti yra per trumpas. Tiekėjas ne tik turi įsivertinti pasiūlymo kainas, bet ir gauti draudimą ar garantija. Tikėtina, kad tiekėjai užduos klausimų (iki 11.20), kurie gali įtakoti pasiūlymo kainą - o per savaitgalį pasiūlymų ir draudimo ar banko dokumentų niekas nerengs. Taigi, dėl trečiųjų asmenų veiksmų, o ne dėl tiekėjo veiksmų - dėl tokio trumpo pasiūlymų pateikimo termino galimai nebus galimybės pateikti pasiūlymo.</w:t>
            </w:r>
          </w:p>
          <w:p w14:paraId="36B94578" w14:textId="18298AC8" w:rsidR="00573F82" w:rsidRPr="0000304B" w:rsidRDefault="00573F82" w:rsidP="001622FE">
            <w:pPr>
              <w:tabs>
                <w:tab w:val="num" w:pos="462"/>
              </w:tabs>
              <w:spacing w:line="276" w:lineRule="auto"/>
              <w:jc w:val="both"/>
              <w:rPr>
                <w:rFonts w:ascii="Jost" w:hAnsi="Jost"/>
                <w:i/>
                <w:iCs/>
                <w:sz w:val="22"/>
                <w:szCs w:val="22"/>
                <w:lang w:val="lt-LT"/>
              </w:rPr>
            </w:pPr>
            <w:r w:rsidRPr="0000304B">
              <w:rPr>
                <w:rFonts w:ascii="Jost" w:hAnsi="Jost"/>
                <w:i/>
                <w:iCs/>
                <w:sz w:val="22"/>
                <w:szCs w:val="22"/>
                <w:lang w:val="lt-LT"/>
              </w:rPr>
              <w:t>Prašome pratęsti pasiūlymų pateikimo terminą bent jau iki 11.27 d. 9 val.</w:t>
            </w:r>
            <w:r w:rsidRPr="0000304B">
              <w:rPr>
                <w:rFonts w:ascii="Jost" w:hAnsi="Jost"/>
                <w:i/>
                <w:iCs/>
                <w:sz w:val="22"/>
                <w:szCs w:val="22"/>
                <w:lang w:val="lt-LT"/>
              </w:rPr>
              <w:br/>
              <w:t>Prašome atsakyti į klausimą:</w:t>
            </w:r>
          </w:p>
          <w:p w14:paraId="391C1E6C" w14:textId="77777777" w:rsidR="00573F82" w:rsidRPr="0000304B" w:rsidRDefault="00573F82" w:rsidP="001622FE">
            <w:pPr>
              <w:tabs>
                <w:tab w:val="num" w:pos="462"/>
              </w:tabs>
              <w:spacing w:line="276" w:lineRule="auto"/>
              <w:jc w:val="both"/>
              <w:rPr>
                <w:rFonts w:ascii="Jost" w:hAnsi="Jost"/>
                <w:i/>
                <w:iCs/>
                <w:sz w:val="22"/>
                <w:szCs w:val="22"/>
                <w:lang w:val="lt-LT"/>
              </w:rPr>
            </w:pPr>
            <w:r w:rsidRPr="0000304B">
              <w:rPr>
                <w:rFonts w:ascii="Jost" w:hAnsi="Jost"/>
                <w:i/>
                <w:iCs/>
                <w:sz w:val="22"/>
                <w:szCs w:val="22"/>
                <w:lang w:val="lt-LT"/>
              </w:rPr>
              <w:t>1. ar turės kokią nors įtaką pasiūlymo formos 5 stulpelyje nurodytas koeficientas? Kokiu tikslu koeficiento reikšmė nurodyta pasiūlymo formoje?</w:t>
            </w:r>
          </w:p>
          <w:p w14:paraId="41E72F15" w14:textId="77777777" w:rsidR="00573F82" w:rsidRPr="0000304B" w:rsidRDefault="00573F82" w:rsidP="001622FE">
            <w:pPr>
              <w:tabs>
                <w:tab w:val="num" w:pos="462"/>
              </w:tabs>
              <w:spacing w:line="276" w:lineRule="auto"/>
              <w:jc w:val="both"/>
              <w:rPr>
                <w:rFonts w:ascii="Jost" w:hAnsi="Jost"/>
                <w:i/>
                <w:iCs/>
                <w:sz w:val="22"/>
                <w:szCs w:val="22"/>
                <w:lang w:val="lt-LT"/>
              </w:rPr>
            </w:pPr>
            <w:r w:rsidRPr="0000304B">
              <w:rPr>
                <w:rFonts w:ascii="Jost" w:hAnsi="Jost"/>
                <w:i/>
                <w:iCs/>
                <w:sz w:val="22"/>
                <w:szCs w:val="22"/>
                <w:lang w:val="lt-LT"/>
              </w:rPr>
              <w:t>2. kokios numatomos renginių trukmės?</w:t>
            </w:r>
          </w:p>
          <w:p w14:paraId="5A4A9B0E" w14:textId="7229A11E" w:rsidR="005348BA" w:rsidRPr="0000304B" w:rsidRDefault="00573F82" w:rsidP="005935E3">
            <w:pPr>
              <w:tabs>
                <w:tab w:val="num" w:pos="462"/>
              </w:tabs>
              <w:spacing w:line="276" w:lineRule="auto"/>
              <w:jc w:val="both"/>
              <w:rPr>
                <w:rFonts w:ascii="Jost" w:hAnsi="Jost"/>
                <w:i/>
                <w:iCs/>
                <w:sz w:val="22"/>
                <w:szCs w:val="22"/>
                <w:lang w:val="lt-LT"/>
              </w:rPr>
            </w:pPr>
            <w:r w:rsidRPr="0000304B">
              <w:rPr>
                <w:rFonts w:ascii="Jost" w:hAnsi="Jost"/>
                <w:i/>
                <w:iCs/>
                <w:sz w:val="22"/>
                <w:szCs w:val="22"/>
                <w:lang w:val="lt-LT"/>
              </w:rPr>
              <w:t>3. viso planuojami 3 renginiai. Gal žinoma ar bus daugiau renginių iki 30 asmenų, ar 30-100 asmenų?</w:t>
            </w:r>
          </w:p>
        </w:tc>
      </w:tr>
      <w:tr w:rsidR="004724B7" w:rsidRPr="0000304B" w14:paraId="3D3F5DDE" w14:textId="77777777" w:rsidTr="007408EC">
        <w:trPr>
          <w:trHeight w:val="366"/>
        </w:trPr>
        <w:tc>
          <w:tcPr>
            <w:tcW w:w="9852" w:type="dxa"/>
          </w:tcPr>
          <w:p w14:paraId="4719A0EC" w14:textId="77777777" w:rsidR="004724B7" w:rsidRPr="0000304B" w:rsidRDefault="004724B7" w:rsidP="00E806E2">
            <w:pPr>
              <w:spacing w:line="276" w:lineRule="auto"/>
              <w:jc w:val="both"/>
              <w:rPr>
                <w:rFonts w:ascii="Jost" w:hAnsi="Jost"/>
                <w:sz w:val="22"/>
                <w:szCs w:val="22"/>
                <w:lang w:val="lt-LT"/>
              </w:rPr>
            </w:pPr>
            <w:r w:rsidRPr="0000304B">
              <w:rPr>
                <w:rFonts w:ascii="Jost" w:hAnsi="Jost"/>
                <w:b/>
                <w:bCs/>
                <w:sz w:val="22"/>
                <w:szCs w:val="22"/>
                <w:lang w:val="lt-LT"/>
              </w:rPr>
              <w:t>Atsakymas</w:t>
            </w:r>
          </w:p>
        </w:tc>
      </w:tr>
      <w:tr w:rsidR="004724B7" w:rsidRPr="0000304B" w14:paraId="14FF951C" w14:textId="77777777" w:rsidTr="007408EC">
        <w:trPr>
          <w:trHeight w:val="400"/>
        </w:trPr>
        <w:tc>
          <w:tcPr>
            <w:tcW w:w="9852" w:type="dxa"/>
          </w:tcPr>
          <w:p w14:paraId="6ADFD303" w14:textId="77777777" w:rsidR="00345578" w:rsidRPr="0000304B" w:rsidRDefault="00B10B28" w:rsidP="005935E3">
            <w:pPr>
              <w:tabs>
                <w:tab w:val="left" w:pos="567"/>
                <w:tab w:val="left" w:pos="851"/>
                <w:tab w:val="left" w:pos="992"/>
                <w:tab w:val="left" w:pos="1134"/>
              </w:tabs>
              <w:spacing w:line="276" w:lineRule="auto"/>
              <w:ind w:firstLine="321"/>
              <w:jc w:val="both"/>
              <w:textAlignment w:val="center"/>
              <w:rPr>
                <w:rFonts w:ascii="Jost" w:hAnsi="Jost"/>
                <w:sz w:val="22"/>
                <w:szCs w:val="22"/>
                <w:lang w:val="lt-LT"/>
              </w:rPr>
            </w:pPr>
            <w:r w:rsidRPr="0000304B">
              <w:rPr>
                <w:rFonts w:ascii="Jost" w:hAnsi="Jost"/>
                <w:sz w:val="22"/>
                <w:szCs w:val="22"/>
                <w:lang w:val="lt-LT"/>
              </w:rPr>
              <w:t xml:space="preserve">Dėkojame už Jūsų klausimą. </w:t>
            </w:r>
            <w:r w:rsidR="009848BB" w:rsidRPr="0000304B">
              <w:rPr>
                <w:rFonts w:ascii="Jost" w:hAnsi="Jost"/>
                <w:sz w:val="22"/>
                <w:szCs w:val="22"/>
                <w:lang w:val="lt-LT"/>
              </w:rPr>
              <w:t>Atsakydami paaiškiname</w:t>
            </w:r>
            <w:r w:rsidR="00345578" w:rsidRPr="0000304B">
              <w:rPr>
                <w:rFonts w:ascii="Jost" w:hAnsi="Jost"/>
                <w:sz w:val="22"/>
                <w:szCs w:val="22"/>
                <w:lang w:val="lt-LT"/>
              </w:rPr>
              <w:t>:</w:t>
            </w:r>
          </w:p>
          <w:p w14:paraId="63790538" w14:textId="774C5A1C" w:rsidR="00FF6379" w:rsidRPr="0000304B" w:rsidRDefault="00D534D3" w:rsidP="005935E3">
            <w:pPr>
              <w:pStyle w:val="Sraopastraipa"/>
              <w:numPr>
                <w:ilvl w:val="0"/>
                <w:numId w:val="5"/>
              </w:numPr>
              <w:tabs>
                <w:tab w:val="left" w:pos="604"/>
              </w:tabs>
              <w:spacing w:line="276" w:lineRule="auto"/>
              <w:ind w:left="37" w:firstLine="323"/>
              <w:jc w:val="both"/>
              <w:textAlignment w:val="center"/>
              <w:rPr>
                <w:rFonts w:ascii="Jost" w:hAnsi="Jost"/>
                <w:lang w:val="lt-LT"/>
              </w:rPr>
            </w:pPr>
            <w:r w:rsidRPr="0000304B">
              <w:rPr>
                <w:rFonts w:ascii="Jost" w:hAnsi="Jost"/>
                <w:lang w:val="lt-LT"/>
              </w:rPr>
              <w:t>Pasiūlymo formoje 5 stulpelyje (ir ne tik šiame stulpelyje) nurodyti koeficientai naudojami tik pasiūlymų vertinimui. Kaip yra pažymėta pačioje pasiūlymo formoje, „Koeficientas – tai svorio rodiklis, nustatantis, kiek konkreti paslauga ar prekė lemia bendrą pasiūlymo vertę pagal jos svarbą.“</w:t>
            </w:r>
            <w:r w:rsidR="00345578" w:rsidRPr="0000304B">
              <w:rPr>
                <w:rFonts w:ascii="Jost" w:hAnsi="Jost"/>
                <w:lang w:val="lt-LT"/>
              </w:rPr>
              <w:t xml:space="preserve"> </w:t>
            </w:r>
            <w:r w:rsidRPr="0000304B">
              <w:rPr>
                <w:rFonts w:ascii="Jost" w:hAnsi="Jost"/>
                <w:lang w:val="lt-LT"/>
              </w:rPr>
              <w:t xml:space="preserve">Šie koeficientai leidžia perkančiajai organizacijai apskaičiuoti lyginamąją kainą, kuri naudojama tiekėjų pasiūlymams palyginti. Koeficientai neturės jokios įtakos sutarties vykdymui ar apmokėjimui – atsiskaitymas bus vykdomas tik pagal faktiškai suteiktas paslaugas ir tiekėjo pasiūlytus įkainius, be jokių koeficientų taikymo. Taigi, koeficientai reikalingi tik tam, kad būtų galima objektyviai įvertinti ir palyginti </w:t>
            </w:r>
            <w:r w:rsidR="00F0485B" w:rsidRPr="0000304B">
              <w:rPr>
                <w:rFonts w:ascii="Jost" w:hAnsi="Jost"/>
                <w:lang w:val="lt-LT"/>
              </w:rPr>
              <w:t xml:space="preserve">pateiktus tiekėjų </w:t>
            </w:r>
            <w:r w:rsidRPr="0000304B">
              <w:rPr>
                <w:rFonts w:ascii="Jost" w:hAnsi="Jost"/>
                <w:lang w:val="lt-LT"/>
              </w:rPr>
              <w:t>pasiūlymus</w:t>
            </w:r>
            <w:r w:rsidR="00C67EAA" w:rsidRPr="0000304B">
              <w:rPr>
                <w:rFonts w:ascii="Jost" w:hAnsi="Jost"/>
                <w:lang w:val="lt-LT"/>
              </w:rPr>
              <w:t>.</w:t>
            </w:r>
          </w:p>
          <w:p w14:paraId="127F1174" w14:textId="77777777" w:rsidR="009F3B6B" w:rsidRPr="0000304B" w:rsidRDefault="009F3B6B" w:rsidP="005935E3">
            <w:pPr>
              <w:pStyle w:val="Sraopastraipa"/>
              <w:numPr>
                <w:ilvl w:val="0"/>
                <w:numId w:val="5"/>
              </w:numPr>
              <w:tabs>
                <w:tab w:val="left" w:pos="604"/>
              </w:tabs>
              <w:spacing w:line="276" w:lineRule="auto"/>
              <w:ind w:left="37" w:firstLine="323"/>
              <w:jc w:val="both"/>
              <w:textAlignment w:val="center"/>
              <w:rPr>
                <w:rFonts w:ascii="Jost" w:hAnsi="Jost"/>
                <w:lang w:val="lt-LT"/>
              </w:rPr>
            </w:pPr>
            <w:r w:rsidRPr="0000304B">
              <w:rPr>
                <w:rFonts w:ascii="Jost" w:hAnsi="Jost"/>
                <w:lang w:val="lt-LT"/>
              </w:rPr>
              <w:t>Kaip ir pažymėta pasiūlymo formoje, renginiai bus organizuojami visos dienos ir pusdienio trukmės.</w:t>
            </w:r>
          </w:p>
          <w:p w14:paraId="4300E936" w14:textId="71A1F047" w:rsidR="005935E3" w:rsidRPr="0000304B" w:rsidRDefault="00CA5407" w:rsidP="00826D39">
            <w:pPr>
              <w:pStyle w:val="Sraopastraipa"/>
              <w:numPr>
                <w:ilvl w:val="0"/>
                <w:numId w:val="5"/>
              </w:numPr>
              <w:tabs>
                <w:tab w:val="left" w:pos="604"/>
              </w:tabs>
              <w:spacing w:line="276" w:lineRule="auto"/>
              <w:ind w:left="37" w:firstLine="323"/>
              <w:jc w:val="both"/>
              <w:textAlignment w:val="center"/>
              <w:rPr>
                <w:rFonts w:ascii="Jost" w:hAnsi="Jost"/>
                <w:lang w:val="lt-LT"/>
              </w:rPr>
            </w:pPr>
            <w:r w:rsidRPr="0000304B">
              <w:rPr>
                <w:rFonts w:ascii="Jost" w:hAnsi="Jost"/>
                <w:lang w:val="lt-LT"/>
              </w:rPr>
              <w:lastRenderedPageBreak/>
              <w:t>Preliminariai planuojami trys renginiai: preliminariai vienas renginys, kuriame dalyvaus 31–100 dalyvių, ir  preliminariai du renginiai, kuriuose numatoma iki 30 dalyvių.</w:t>
            </w:r>
          </w:p>
        </w:tc>
      </w:tr>
      <w:tr w:rsidR="00573F82" w:rsidRPr="0000304B" w14:paraId="7E676709" w14:textId="77777777" w:rsidTr="007408EC">
        <w:trPr>
          <w:trHeight w:val="400"/>
        </w:trPr>
        <w:tc>
          <w:tcPr>
            <w:tcW w:w="9852" w:type="dxa"/>
            <w:shd w:val="clear" w:color="auto" w:fill="DAE9F7" w:themeFill="text2" w:themeFillTint="1A"/>
          </w:tcPr>
          <w:p w14:paraId="6CF7EDB7" w14:textId="47F91A57" w:rsidR="00573F82" w:rsidRPr="0000304B" w:rsidRDefault="00573F82"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b/>
                <w:bCs/>
                <w:sz w:val="22"/>
                <w:szCs w:val="22"/>
                <w:lang w:val="lt-LT"/>
              </w:rPr>
              <w:lastRenderedPageBreak/>
              <w:t xml:space="preserve">Klausimas 2 </w:t>
            </w:r>
            <w:r w:rsidRPr="0000304B">
              <w:rPr>
                <w:rFonts w:ascii="Jost" w:hAnsi="Jost"/>
                <w:sz w:val="22"/>
                <w:szCs w:val="22"/>
                <w:lang w:val="lt-LT"/>
              </w:rPr>
              <w:t>(klausimo tekstas netaisytas)</w:t>
            </w:r>
          </w:p>
        </w:tc>
      </w:tr>
      <w:tr w:rsidR="00573F82" w:rsidRPr="0000304B" w14:paraId="7CE648CF" w14:textId="77777777" w:rsidTr="007408EC">
        <w:trPr>
          <w:trHeight w:val="400"/>
        </w:trPr>
        <w:tc>
          <w:tcPr>
            <w:tcW w:w="9852" w:type="dxa"/>
          </w:tcPr>
          <w:p w14:paraId="72459BDC" w14:textId="77777777" w:rsidR="005837C4" w:rsidRPr="0000304B" w:rsidRDefault="005837C4"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Laba diena,</w:t>
            </w:r>
          </w:p>
          <w:p w14:paraId="3908754F" w14:textId="77777777" w:rsidR="005837C4" w:rsidRPr="0000304B" w:rsidRDefault="005837C4"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konkurso sąlygų pasiūlymo formoje nurodyti punktai neatitinka techninės specifikacijos punktus.</w:t>
            </w:r>
          </w:p>
          <w:p w14:paraId="6F1DE6ED" w14:textId="77777777" w:rsidR="005837C4" w:rsidRPr="0000304B" w:rsidRDefault="005837C4"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Prašome peržiūrėti, įkelti sutvarkytą pasiūlymo formą.</w:t>
            </w:r>
          </w:p>
          <w:p w14:paraId="384B7333" w14:textId="77777777" w:rsidR="005837C4" w:rsidRPr="0000304B" w:rsidRDefault="005837C4"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Pvz. Pasiūlymo eilutė 3.3.7 Bevieliam mikrofonui, nurodytam šios lentelės 3.4.5. papunktyje, tinkantis mikrofono laikiklis/stovas, techninėje specifikacijoje 3.4.5 punkto nėra.</w:t>
            </w:r>
          </w:p>
          <w:p w14:paraId="56357A40" w14:textId="77777777" w:rsidR="005837C4" w:rsidRPr="0000304B" w:rsidRDefault="005837C4"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3.3.15 LED ekranas, nurodytas Pirkimo sąlygų 1 priedo "Techninė specifikacija" 7.8.1.1 papunktyje, techninėje specifikacijoje yra nurodyta įgarsinimo įrangos reikalavimai.</w:t>
            </w:r>
          </w:p>
          <w:p w14:paraId="6C95FBF4" w14:textId="77777777" w:rsidR="005837C4" w:rsidRPr="0000304B" w:rsidRDefault="005837C4"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Neatitinka labai daug punktų.</w:t>
            </w:r>
          </w:p>
          <w:p w14:paraId="5FE8B14A" w14:textId="50EFAE62" w:rsidR="00573F82" w:rsidRPr="0000304B" w:rsidRDefault="005837C4"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Techninėje specifikacijoje 7.7.1. LED ekranų tipas: matmenys 1,5 (± 0,5) m × 3 (± 0,5) m arba iki 11 m2; Kokio dydžio LED ekrano kainą reikia nurodyti? 4,5 </w:t>
            </w:r>
            <w:proofErr w:type="spellStart"/>
            <w:r w:rsidRPr="0000304B">
              <w:rPr>
                <w:rFonts w:ascii="Jost" w:hAnsi="Jost"/>
                <w:sz w:val="22"/>
                <w:szCs w:val="22"/>
                <w:lang w:val="lt-LT"/>
              </w:rPr>
              <w:t>kv.m</w:t>
            </w:r>
            <w:proofErr w:type="spellEnd"/>
            <w:r w:rsidRPr="0000304B">
              <w:rPr>
                <w:rFonts w:ascii="Jost" w:hAnsi="Jost"/>
                <w:sz w:val="22"/>
                <w:szCs w:val="22"/>
                <w:lang w:val="lt-LT"/>
              </w:rPr>
              <w:t xml:space="preserve">. ar 11 </w:t>
            </w:r>
            <w:proofErr w:type="spellStart"/>
            <w:r w:rsidRPr="0000304B">
              <w:rPr>
                <w:rFonts w:ascii="Jost" w:hAnsi="Jost"/>
                <w:sz w:val="22"/>
                <w:szCs w:val="22"/>
                <w:lang w:val="lt-LT"/>
              </w:rPr>
              <w:t>kv.m</w:t>
            </w:r>
            <w:proofErr w:type="spellEnd"/>
            <w:r w:rsidRPr="0000304B">
              <w:rPr>
                <w:rFonts w:ascii="Jost" w:hAnsi="Jost"/>
                <w:sz w:val="22"/>
                <w:szCs w:val="22"/>
                <w:lang w:val="lt-LT"/>
              </w:rPr>
              <w:t>.</w:t>
            </w:r>
            <w:r w:rsidRPr="0000304B">
              <w:rPr>
                <w:rFonts w:ascii="Jost" w:hAnsi="Jost"/>
                <w:sz w:val="22"/>
                <w:szCs w:val="22"/>
                <w:lang w:val="lt-LT"/>
              </w:rPr>
              <w:br/>
              <w:t>Prašome pateikti neklaidinančias sąlygas ir atitinkančias pasiūlymo formą , taip pat nukelti pasiūlymo pateikimo terminą.</w:t>
            </w:r>
          </w:p>
        </w:tc>
      </w:tr>
      <w:tr w:rsidR="00573F82" w:rsidRPr="0000304B" w14:paraId="4CE8D018" w14:textId="77777777" w:rsidTr="007408EC">
        <w:trPr>
          <w:trHeight w:val="400"/>
        </w:trPr>
        <w:tc>
          <w:tcPr>
            <w:tcW w:w="9852" w:type="dxa"/>
          </w:tcPr>
          <w:p w14:paraId="298420BE" w14:textId="633F7A29" w:rsidR="00573F82" w:rsidRPr="0000304B" w:rsidRDefault="00573F82"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b/>
                <w:bCs/>
                <w:sz w:val="22"/>
                <w:szCs w:val="22"/>
                <w:lang w:val="lt-LT"/>
              </w:rPr>
              <w:t>Atsakymas</w:t>
            </w:r>
          </w:p>
        </w:tc>
      </w:tr>
      <w:tr w:rsidR="00573F82" w:rsidRPr="0000304B" w14:paraId="584B7820" w14:textId="77777777" w:rsidTr="007408EC">
        <w:trPr>
          <w:trHeight w:val="400"/>
        </w:trPr>
        <w:tc>
          <w:tcPr>
            <w:tcW w:w="9852" w:type="dxa"/>
          </w:tcPr>
          <w:p w14:paraId="755F78FD" w14:textId="2B921418" w:rsidR="00C725E2" w:rsidRPr="0000304B" w:rsidRDefault="00C725E2" w:rsidP="00C725E2">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Dėkojame už Jūsų klausimą. Atsakydami paaiškiname </w:t>
            </w:r>
            <w:r w:rsidR="001A2F7E" w:rsidRPr="0000304B">
              <w:rPr>
                <w:rFonts w:ascii="Jost" w:hAnsi="Jost"/>
                <w:sz w:val="22"/>
                <w:szCs w:val="22"/>
                <w:lang w:val="lt-LT"/>
              </w:rPr>
              <w:t>t</w:t>
            </w:r>
            <w:r w:rsidRPr="0000304B">
              <w:rPr>
                <w:rFonts w:ascii="Jost" w:hAnsi="Jost"/>
                <w:sz w:val="22"/>
                <w:szCs w:val="22"/>
                <w:lang w:val="lt-LT"/>
              </w:rPr>
              <w:t>echninėje specifikacijoje 7.7.1 papunktyje LED ekranams nustatyti du alternatyvūs reikalavimai:</w:t>
            </w:r>
          </w:p>
          <w:p w14:paraId="6AB1760C" w14:textId="77777777" w:rsidR="00C725E2" w:rsidRPr="0000304B" w:rsidRDefault="00C725E2" w:rsidP="00C725E2">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konkretus orientacinis dydis – 1,5 (±0,5) m × 3 (±0,5) m, arba  LED ekranas iki 11 m².</w:t>
            </w:r>
          </w:p>
          <w:p w14:paraId="350A992E" w14:textId="77777777" w:rsidR="00C725E2" w:rsidRPr="0000304B" w:rsidRDefault="00C725E2" w:rsidP="00C725E2">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Tai reiškia, kad tiekėjas gali pasiūlyti bet kurį LED ekraną, kurio matmenys patenka į vieną iš šių dviejų alternatyvų. Pasiūlymo formoje įkainį turite nurodyti tam LED ekranui, kurį realiai siūlote nuomoti.</w:t>
            </w:r>
          </w:p>
          <w:p w14:paraId="72A345FC" w14:textId="77777777" w:rsidR="00C725E2" w:rsidRPr="0000304B" w:rsidRDefault="00C725E2" w:rsidP="00C725E2">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Tai gali būti: apie 4,5 m² (jei siūlote ekraną, artimą 1,5×3 m dydžiui), arba iki 11 m² (jei siūlote didesnį, bet neviršijantį 11 m²).</w:t>
            </w:r>
          </w:p>
          <w:p w14:paraId="7CC0D14D" w14:textId="76078DC9" w:rsidR="00C725E2" w:rsidRPr="0000304B" w:rsidRDefault="00C725E2" w:rsidP="00C725E2">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Svarbu, kad jūsų siūlomas LED ekranas atitiktų techninės specifikacijos reikalavimus ir </w:t>
            </w:r>
            <w:r w:rsidR="00F0485B" w:rsidRPr="0000304B">
              <w:rPr>
                <w:rFonts w:ascii="Jost" w:hAnsi="Jost"/>
                <w:sz w:val="22"/>
                <w:szCs w:val="22"/>
                <w:lang w:val="lt-LT"/>
              </w:rPr>
              <w:t xml:space="preserve">Pasiūlymo formoje </w:t>
            </w:r>
            <w:r w:rsidRPr="0000304B">
              <w:rPr>
                <w:rFonts w:ascii="Jost" w:hAnsi="Jost"/>
                <w:sz w:val="22"/>
                <w:szCs w:val="22"/>
                <w:lang w:val="lt-LT"/>
              </w:rPr>
              <w:t xml:space="preserve">būtų nurodytas </w:t>
            </w:r>
            <w:r w:rsidR="00F0485B" w:rsidRPr="0000304B">
              <w:rPr>
                <w:rFonts w:ascii="Jost" w:hAnsi="Jost"/>
                <w:sz w:val="22"/>
                <w:szCs w:val="22"/>
                <w:lang w:val="lt-LT"/>
              </w:rPr>
              <w:t xml:space="preserve">įkainis </w:t>
            </w:r>
            <w:r w:rsidRPr="0000304B">
              <w:rPr>
                <w:rFonts w:ascii="Jost" w:hAnsi="Jost"/>
                <w:sz w:val="22"/>
                <w:szCs w:val="22"/>
                <w:lang w:val="lt-LT"/>
              </w:rPr>
              <w:t>už būtent tokį ekraną, kokį numatote teikti.</w:t>
            </w:r>
            <w:r w:rsidR="00F0485B" w:rsidRPr="0000304B">
              <w:rPr>
                <w:rFonts w:ascii="Jost" w:hAnsi="Jost"/>
                <w:sz w:val="22"/>
                <w:szCs w:val="22"/>
                <w:lang w:val="lt-LT"/>
              </w:rPr>
              <w:t xml:space="preserve"> </w:t>
            </w:r>
          </w:p>
          <w:p w14:paraId="3D7A9458" w14:textId="1AD7578D" w:rsidR="00D66618" w:rsidRPr="0000304B" w:rsidRDefault="00F0485B" w:rsidP="00C725E2">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Dėkojame už Jūsų pastabą. </w:t>
            </w:r>
            <w:r w:rsidR="00D66618" w:rsidRPr="0000304B">
              <w:rPr>
                <w:rFonts w:ascii="Jost" w:hAnsi="Jost"/>
                <w:sz w:val="22"/>
                <w:szCs w:val="22"/>
                <w:lang w:val="lt-LT"/>
              </w:rPr>
              <w:t xml:space="preserve">Komisija nustato, kad Pirkimo sąlygų 2 priede „Pasiūlymo forma“ (toliau – Pasiūlymo forma) įsivėlė korekcinės klaidos – neteisingai nurodyti Pirkimo sąlygų 1 priedo „Techninė specifikacija“ (toliau – TS) punktai, t. y. numeracijos klaidos. Klaidos Pasiūlymo formoje bus ištaisytos, ištaisyta ir esanti eilučių numeracija </w:t>
            </w:r>
            <w:r w:rsidRPr="0000304B">
              <w:rPr>
                <w:rFonts w:ascii="Jost" w:hAnsi="Jost"/>
                <w:sz w:val="22"/>
                <w:szCs w:val="22"/>
                <w:lang w:val="lt-LT"/>
              </w:rPr>
              <w:t>.</w:t>
            </w:r>
            <w:r w:rsidR="00D66618" w:rsidRPr="0000304B">
              <w:rPr>
                <w:rFonts w:ascii="Jost" w:hAnsi="Jost"/>
                <w:sz w:val="22"/>
                <w:szCs w:val="22"/>
                <w:lang w:val="lt-LT"/>
              </w:rPr>
              <w:t xml:space="preserve"> Pasiūlymo formos aktuali versija bus paskelbta CVP IS prie Pirkimo dokumentų. </w:t>
            </w:r>
            <w:r w:rsidR="00D66618" w:rsidRPr="0000304B">
              <w:rPr>
                <w:rFonts w:ascii="Jost" w:hAnsi="Jost"/>
                <w:i/>
                <w:iCs/>
                <w:sz w:val="22"/>
                <w:szCs w:val="22"/>
                <w:lang w:val="lt-LT"/>
              </w:rPr>
              <w:t>Pranešimas dėl Pirkimo dokumentų tikslinimo pridedamas.</w:t>
            </w:r>
          </w:p>
          <w:p w14:paraId="1A8415F8" w14:textId="153CBD4A" w:rsidR="00573F82" w:rsidRPr="0000304B" w:rsidRDefault="00573F82" w:rsidP="00FF6379">
            <w:pPr>
              <w:tabs>
                <w:tab w:val="left" w:pos="567"/>
                <w:tab w:val="left" w:pos="851"/>
                <w:tab w:val="left" w:pos="992"/>
                <w:tab w:val="left" w:pos="1134"/>
              </w:tabs>
              <w:spacing w:line="276" w:lineRule="auto"/>
              <w:jc w:val="both"/>
              <w:textAlignment w:val="center"/>
              <w:rPr>
                <w:rFonts w:ascii="Jost" w:hAnsi="Jost"/>
                <w:sz w:val="22"/>
                <w:szCs w:val="22"/>
                <w:lang w:val="lt-LT"/>
              </w:rPr>
            </w:pPr>
          </w:p>
        </w:tc>
      </w:tr>
      <w:tr w:rsidR="00573F82" w:rsidRPr="0000304B" w14:paraId="193BD304" w14:textId="77777777" w:rsidTr="002B07B1">
        <w:trPr>
          <w:trHeight w:val="400"/>
        </w:trPr>
        <w:tc>
          <w:tcPr>
            <w:tcW w:w="9852" w:type="dxa"/>
            <w:shd w:val="clear" w:color="auto" w:fill="DAE9F7" w:themeFill="text2" w:themeFillTint="1A"/>
          </w:tcPr>
          <w:p w14:paraId="22D324E9" w14:textId="05320B49" w:rsidR="00573F82" w:rsidRPr="0000304B" w:rsidRDefault="00573F82"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b/>
                <w:bCs/>
                <w:sz w:val="22"/>
                <w:szCs w:val="22"/>
                <w:lang w:val="lt-LT"/>
              </w:rPr>
              <w:t xml:space="preserve">Klausimas 3 </w:t>
            </w:r>
            <w:r w:rsidRPr="0000304B">
              <w:rPr>
                <w:rFonts w:ascii="Jost" w:hAnsi="Jost"/>
                <w:sz w:val="22"/>
                <w:szCs w:val="22"/>
                <w:lang w:val="lt-LT"/>
              </w:rPr>
              <w:t>(klausimo tekstas netaisytas)</w:t>
            </w:r>
          </w:p>
        </w:tc>
      </w:tr>
      <w:tr w:rsidR="00573F82" w:rsidRPr="0000304B" w14:paraId="5314E037" w14:textId="77777777" w:rsidTr="007408EC">
        <w:trPr>
          <w:trHeight w:val="400"/>
        </w:trPr>
        <w:tc>
          <w:tcPr>
            <w:tcW w:w="9852" w:type="dxa"/>
          </w:tcPr>
          <w:p w14:paraId="5AC5456A" w14:textId="77777777" w:rsidR="00F25B46" w:rsidRPr="0000304B" w:rsidRDefault="00F25B46"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Laba diena,</w:t>
            </w:r>
          </w:p>
          <w:p w14:paraId="153899D3" w14:textId="77777777" w:rsidR="00F25B46" w:rsidRPr="0000304B" w:rsidRDefault="00F25B46"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Pirkimo sąlygų 2 priedo „Pasiūlymo forma“ 3.3.15 punkte nurodytas papunktis „LED ekranas, nurodytas Pirkimo sąlygų 1 priedo Techninės specifikacijos 7.8.1.1 papunktyje“ neatitinka 1 priede pateiktos informacijos.</w:t>
            </w:r>
          </w:p>
          <w:p w14:paraId="33EAB240" w14:textId="77777777" w:rsidR="00F25B46" w:rsidRPr="0000304B" w:rsidRDefault="00F25B46"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Pirkimo sąlygų 1 priedo Techninės specifikacijos papunktyje 7.8.1.1 aprašoma įgarsinimo aparatūra, o ne LED ekranas.</w:t>
            </w:r>
          </w:p>
          <w:p w14:paraId="781373F4" w14:textId="77777777" w:rsidR="009210E6" w:rsidRPr="0000304B" w:rsidRDefault="00F25B46"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Tokie patys neatitikimai kartojasi visuose 2 priedo „Pasiūlymo forma“ punktuose nuo 3.3.15 iki 3.3.32, kuriuose nurodyti Techninės specifikacijos papunkčiai taip pat nesutampa su 1 priede pateikiama informacija.</w:t>
            </w:r>
            <w:r w:rsidR="009210E6" w:rsidRPr="0000304B">
              <w:rPr>
                <w:rFonts w:ascii="Jost" w:hAnsi="Jost"/>
                <w:sz w:val="22"/>
                <w:szCs w:val="22"/>
                <w:lang w:val="lt-LT"/>
              </w:rPr>
              <w:t xml:space="preserve"> </w:t>
            </w:r>
          </w:p>
          <w:p w14:paraId="271B0829" w14:textId="29A34825" w:rsidR="00573F82" w:rsidRPr="0000304B" w:rsidRDefault="00F25B46"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Prašome patikslinti dokumentus ir pratęsti pasiūlymų pridavimo terminą.</w:t>
            </w:r>
          </w:p>
        </w:tc>
      </w:tr>
      <w:tr w:rsidR="00573F82" w:rsidRPr="0000304B" w14:paraId="57EC85FF" w14:textId="77777777" w:rsidTr="007408EC">
        <w:trPr>
          <w:trHeight w:val="400"/>
        </w:trPr>
        <w:tc>
          <w:tcPr>
            <w:tcW w:w="9852" w:type="dxa"/>
          </w:tcPr>
          <w:p w14:paraId="62EA7738" w14:textId="4E89A800" w:rsidR="00573F82" w:rsidRPr="0000304B" w:rsidRDefault="00573F82"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b/>
                <w:bCs/>
                <w:sz w:val="22"/>
                <w:szCs w:val="22"/>
                <w:lang w:val="lt-LT"/>
              </w:rPr>
              <w:t>Atsakymas</w:t>
            </w:r>
          </w:p>
        </w:tc>
      </w:tr>
      <w:tr w:rsidR="00573F82" w:rsidRPr="0000304B" w14:paraId="72112114" w14:textId="77777777" w:rsidTr="007408EC">
        <w:trPr>
          <w:trHeight w:val="400"/>
        </w:trPr>
        <w:tc>
          <w:tcPr>
            <w:tcW w:w="9852" w:type="dxa"/>
          </w:tcPr>
          <w:p w14:paraId="27DD5BA2" w14:textId="7876DC52" w:rsidR="00573F82" w:rsidRPr="0000304B" w:rsidRDefault="00E4335A"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Dėkojame už Jūsų pastabas. Komisija nustato, kad Pirkimo sąlygų 2 priede „Pasiūlymo forma“ (toliau – Pasiūlymo forma) įsivėlė korekcinės klaidos – neteisingai nurodyti Pirkimo sąlygų 1 priedo „Techninė </w:t>
            </w:r>
            <w:r w:rsidRPr="0000304B">
              <w:rPr>
                <w:rFonts w:ascii="Jost" w:hAnsi="Jost"/>
                <w:sz w:val="22"/>
                <w:szCs w:val="22"/>
                <w:lang w:val="lt-LT"/>
              </w:rPr>
              <w:lastRenderedPageBreak/>
              <w:t xml:space="preserve">specifikacija“ (toliau – TS) punktai, t. y. numeracijos klaidos. Klaidos Pasiūlymo formoje bus ištaisytos, ištaisyta ir esanti eilučių numeracija dėl padarytos klaidos ir Pasiūlymo formos aktuali versija bus paskelbta CVP IS prie Pirkimo dokumentų. </w:t>
            </w:r>
            <w:r w:rsidRPr="0000304B">
              <w:rPr>
                <w:rFonts w:ascii="Jost" w:hAnsi="Jost"/>
                <w:i/>
                <w:iCs/>
                <w:sz w:val="22"/>
                <w:szCs w:val="22"/>
                <w:lang w:val="lt-LT"/>
              </w:rPr>
              <w:t>Pranešimas dėl Pirkimo dokumentų tikslinimo pridedamas.</w:t>
            </w:r>
          </w:p>
        </w:tc>
      </w:tr>
      <w:tr w:rsidR="00573F82" w:rsidRPr="0000304B" w14:paraId="158A3A64" w14:textId="77777777" w:rsidTr="00E4335A">
        <w:trPr>
          <w:trHeight w:val="400"/>
        </w:trPr>
        <w:tc>
          <w:tcPr>
            <w:tcW w:w="9852" w:type="dxa"/>
            <w:shd w:val="clear" w:color="auto" w:fill="DAE9F7" w:themeFill="text2" w:themeFillTint="1A"/>
          </w:tcPr>
          <w:p w14:paraId="1FF5033F" w14:textId="15745D1B" w:rsidR="00573F82" w:rsidRPr="0000304B" w:rsidRDefault="00573F82"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b/>
                <w:bCs/>
                <w:sz w:val="22"/>
                <w:szCs w:val="22"/>
                <w:lang w:val="lt-LT"/>
              </w:rPr>
              <w:lastRenderedPageBreak/>
              <w:t xml:space="preserve">Klausimas 4 </w:t>
            </w:r>
            <w:r w:rsidRPr="0000304B">
              <w:rPr>
                <w:rFonts w:ascii="Jost" w:hAnsi="Jost"/>
                <w:sz w:val="22"/>
                <w:szCs w:val="22"/>
                <w:lang w:val="lt-LT"/>
              </w:rPr>
              <w:t>(klausimo tekstas netaisytas)</w:t>
            </w:r>
          </w:p>
        </w:tc>
      </w:tr>
      <w:tr w:rsidR="00573F82" w:rsidRPr="0000304B" w14:paraId="4F007150" w14:textId="77777777" w:rsidTr="007408EC">
        <w:trPr>
          <w:trHeight w:val="400"/>
        </w:trPr>
        <w:tc>
          <w:tcPr>
            <w:tcW w:w="9852" w:type="dxa"/>
          </w:tcPr>
          <w:p w14:paraId="480BB94D" w14:textId="77777777" w:rsidR="007960EE" w:rsidRPr="0000304B" w:rsidRDefault="00122EDB"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Laba diena. </w:t>
            </w:r>
          </w:p>
          <w:p w14:paraId="50BFBE07" w14:textId="77777777" w:rsidR="007960EE" w:rsidRPr="0000304B" w:rsidRDefault="00122EDB"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Susipažinus su pirkimo dokumentais – TS ir pasiūlymo forma – matome, kad yra neatitikimų, dėl kurių tiekėjas negali tinkamai įsivertinti pasiūlymo įkainių. </w:t>
            </w:r>
          </w:p>
          <w:p w14:paraId="38CD69E0" w14:textId="77777777" w:rsidR="007960EE" w:rsidRPr="0000304B" w:rsidRDefault="00122EDB"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Pasiūlymo 4.3. punkte - Renginio įrangos nuoma ir aptarnavimo paslaugos (Pirkimo sąlygų 2 priedo "Techninė specifikacija" VII dalis) radome neatitikimų: </w:t>
            </w:r>
          </w:p>
          <w:p w14:paraId="74E867ED" w14:textId="503884B3" w:rsidR="007960EE" w:rsidRPr="0000304B" w:rsidRDefault="00D80BD3"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noProof/>
                <w:sz w:val="22"/>
                <w:szCs w:val="22"/>
              </w:rPr>
              <w:drawing>
                <wp:inline distT="0" distB="0" distL="0" distR="0" wp14:anchorId="2347B04E" wp14:editId="10435BAF">
                  <wp:extent cx="6259195" cy="671830"/>
                  <wp:effectExtent l="0" t="0" r="8255" b="0"/>
                  <wp:docPr id="8679454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45469" name=""/>
                          <pic:cNvPicPr/>
                        </pic:nvPicPr>
                        <pic:blipFill>
                          <a:blip r:embed="rId8"/>
                          <a:stretch>
                            <a:fillRect/>
                          </a:stretch>
                        </pic:blipFill>
                        <pic:spPr>
                          <a:xfrm>
                            <a:off x="0" y="0"/>
                            <a:ext cx="6259195" cy="671830"/>
                          </a:xfrm>
                          <a:prstGeom prst="rect">
                            <a:avLst/>
                          </a:prstGeom>
                        </pic:spPr>
                      </pic:pic>
                    </a:graphicData>
                  </a:graphic>
                </wp:inline>
              </w:drawing>
            </w:r>
          </w:p>
          <w:p w14:paraId="660AF7C5" w14:textId="77777777" w:rsidR="007960EE" w:rsidRPr="0000304B" w:rsidRDefault="007960EE" w:rsidP="00FF6379">
            <w:pPr>
              <w:tabs>
                <w:tab w:val="left" w:pos="567"/>
                <w:tab w:val="left" w:pos="851"/>
                <w:tab w:val="left" w:pos="992"/>
                <w:tab w:val="left" w:pos="1134"/>
              </w:tabs>
              <w:spacing w:line="276" w:lineRule="auto"/>
              <w:jc w:val="both"/>
              <w:textAlignment w:val="center"/>
              <w:rPr>
                <w:rFonts w:ascii="Jost" w:hAnsi="Jost"/>
                <w:sz w:val="22"/>
                <w:szCs w:val="22"/>
                <w:lang w:val="lt-LT"/>
              </w:rPr>
            </w:pPr>
          </w:p>
          <w:p w14:paraId="22A359B5" w14:textId="77777777" w:rsidR="00D80BD3" w:rsidRPr="0000304B" w:rsidRDefault="00122EDB"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Tačiau pasiūlymo formoje tokio 3.4.5 p. nėra.</w:t>
            </w:r>
          </w:p>
          <w:p w14:paraId="3EB2D192" w14:textId="7EC23A2E" w:rsidR="00D80BD3" w:rsidRPr="0000304B" w:rsidRDefault="00D80BD3"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noProof/>
                <w:sz w:val="22"/>
                <w:szCs w:val="22"/>
              </w:rPr>
              <w:drawing>
                <wp:inline distT="0" distB="0" distL="0" distR="0" wp14:anchorId="7C3EE18E" wp14:editId="136005B1">
                  <wp:extent cx="6259195" cy="1141730"/>
                  <wp:effectExtent l="0" t="0" r="8255" b="1270"/>
                  <wp:docPr id="9642700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70005" name=""/>
                          <pic:cNvPicPr/>
                        </pic:nvPicPr>
                        <pic:blipFill>
                          <a:blip r:embed="rId9"/>
                          <a:stretch>
                            <a:fillRect/>
                          </a:stretch>
                        </pic:blipFill>
                        <pic:spPr>
                          <a:xfrm>
                            <a:off x="0" y="0"/>
                            <a:ext cx="6259195" cy="1141730"/>
                          </a:xfrm>
                          <a:prstGeom prst="rect">
                            <a:avLst/>
                          </a:prstGeom>
                        </pic:spPr>
                      </pic:pic>
                    </a:graphicData>
                  </a:graphic>
                </wp:inline>
              </w:drawing>
            </w:r>
          </w:p>
          <w:p w14:paraId="48EDB902" w14:textId="77777777" w:rsidR="00D80BD3" w:rsidRPr="0000304B" w:rsidRDefault="00D80BD3" w:rsidP="00FF6379">
            <w:pPr>
              <w:tabs>
                <w:tab w:val="left" w:pos="567"/>
                <w:tab w:val="left" w:pos="851"/>
                <w:tab w:val="left" w:pos="992"/>
                <w:tab w:val="left" w:pos="1134"/>
              </w:tabs>
              <w:spacing w:line="276" w:lineRule="auto"/>
              <w:jc w:val="both"/>
              <w:textAlignment w:val="center"/>
              <w:rPr>
                <w:rFonts w:ascii="Jost" w:hAnsi="Jost"/>
                <w:sz w:val="22"/>
                <w:szCs w:val="22"/>
                <w:lang w:val="lt-LT"/>
              </w:rPr>
            </w:pPr>
          </w:p>
          <w:p w14:paraId="1FC74809" w14:textId="77777777" w:rsidR="00D80BD3" w:rsidRPr="0000304B" w:rsidRDefault="00122EDB"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 Tačiau TS 7.8.1.1 p. numatyta įgarsinimo aparatūrai reikalavimai</w:t>
            </w:r>
          </w:p>
          <w:p w14:paraId="1228299E" w14:textId="6179FAB4" w:rsidR="001333D0" w:rsidRPr="0000304B" w:rsidRDefault="001333D0"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noProof/>
                <w:sz w:val="22"/>
                <w:szCs w:val="22"/>
              </w:rPr>
              <w:drawing>
                <wp:inline distT="0" distB="0" distL="0" distR="0" wp14:anchorId="1F93BF15" wp14:editId="021658F5">
                  <wp:extent cx="6259195" cy="2451100"/>
                  <wp:effectExtent l="0" t="0" r="8255" b="6350"/>
                  <wp:docPr id="11648104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10466" name=""/>
                          <pic:cNvPicPr/>
                        </pic:nvPicPr>
                        <pic:blipFill>
                          <a:blip r:embed="rId10"/>
                          <a:stretch>
                            <a:fillRect/>
                          </a:stretch>
                        </pic:blipFill>
                        <pic:spPr>
                          <a:xfrm>
                            <a:off x="0" y="0"/>
                            <a:ext cx="6259195" cy="2451100"/>
                          </a:xfrm>
                          <a:prstGeom prst="rect">
                            <a:avLst/>
                          </a:prstGeom>
                        </pic:spPr>
                      </pic:pic>
                    </a:graphicData>
                  </a:graphic>
                </wp:inline>
              </w:drawing>
            </w:r>
          </w:p>
          <w:p w14:paraId="24C60DAA" w14:textId="77777777" w:rsidR="001333D0" w:rsidRPr="0000304B" w:rsidRDefault="001333D0" w:rsidP="00FF6379">
            <w:pPr>
              <w:tabs>
                <w:tab w:val="left" w:pos="567"/>
                <w:tab w:val="left" w:pos="851"/>
                <w:tab w:val="left" w:pos="992"/>
                <w:tab w:val="left" w:pos="1134"/>
              </w:tabs>
              <w:spacing w:line="276" w:lineRule="auto"/>
              <w:jc w:val="both"/>
              <w:textAlignment w:val="center"/>
              <w:rPr>
                <w:rFonts w:ascii="Jost" w:hAnsi="Jost"/>
                <w:sz w:val="22"/>
                <w:szCs w:val="22"/>
                <w:lang w:val="lt-LT"/>
              </w:rPr>
            </w:pPr>
          </w:p>
          <w:p w14:paraId="1AB3ECFC" w14:textId="03973533" w:rsidR="001333D0" w:rsidRPr="0000304B" w:rsidRDefault="00122EDB"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Tačiau TS 7.13 p. numatyti reikalavimai tiesioginei transliacijai </w:t>
            </w:r>
          </w:p>
          <w:p w14:paraId="72EED223" w14:textId="2E5F57B1" w:rsidR="00573F82" w:rsidRPr="0000304B" w:rsidRDefault="00122EDB"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TOKIŲ NEATITIKIMŲ TARP TS IR PASIŪLYMO FORMOS YRA DAUGIAU. </w:t>
            </w:r>
            <w:proofErr w:type="spellStart"/>
            <w:r w:rsidRPr="0000304B">
              <w:rPr>
                <w:rFonts w:ascii="Jost" w:hAnsi="Jost"/>
                <w:sz w:val="22"/>
                <w:szCs w:val="22"/>
                <w:lang w:val="lt-LT"/>
              </w:rPr>
              <w:t>Siekant</w:t>
            </w:r>
            <w:proofErr w:type="spellEnd"/>
            <w:r w:rsidRPr="0000304B">
              <w:rPr>
                <w:rFonts w:ascii="Jost" w:hAnsi="Jost"/>
                <w:sz w:val="22"/>
                <w:szCs w:val="22"/>
                <w:lang w:val="lt-LT"/>
              </w:rPr>
              <w:t xml:space="preserve"> išvengti ginčų tarp tiekėjų ir tiekėjams galimybę tinkamai įsivertinti paslaugas kurios bus teikiamos, prašome patikslinti pasiūlymo formą pagal TS reikalavimus</w:t>
            </w:r>
          </w:p>
        </w:tc>
      </w:tr>
      <w:tr w:rsidR="00573F82" w:rsidRPr="0000304B" w14:paraId="500640D3" w14:textId="77777777" w:rsidTr="007408EC">
        <w:trPr>
          <w:trHeight w:val="400"/>
        </w:trPr>
        <w:tc>
          <w:tcPr>
            <w:tcW w:w="9852" w:type="dxa"/>
          </w:tcPr>
          <w:p w14:paraId="5F07F9C7" w14:textId="0C6962AB" w:rsidR="00573F82" w:rsidRPr="0000304B" w:rsidRDefault="00573F82"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b/>
                <w:bCs/>
                <w:sz w:val="22"/>
                <w:szCs w:val="22"/>
                <w:lang w:val="lt-LT"/>
              </w:rPr>
              <w:t>Atsakymas</w:t>
            </w:r>
          </w:p>
        </w:tc>
      </w:tr>
      <w:tr w:rsidR="00573F82" w:rsidRPr="0000304B" w14:paraId="49D1A252" w14:textId="77777777" w:rsidTr="007408EC">
        <w:trPr>
          <w:trHeight w:val="400"/>
        </w:trPr>
        <w:tc>
          <w:tcPr>
            <w:tcW w:w="9852" w:type="dxa"/>
          </w:tcPr>
          <w:p w14:paraId="1AF1D052" w14:textId="19423747" w:rsidR="00573F82" w:rsidRPr="0000304B" w:rsidRDefault="009210E6" w:rsidP="00FF6379">
            <w:pPr>
              <w:tabs>
                <w:tab w:val="left" w:pos="567"/>
                <w:tab w:val="left" w:pos="851"/>
                <w:tab w:val="left" w:pos="992"/>
                <w:tab w:val="left" w:pos="1134"/>
              </w:tabs>
              <w:spacing w:line="276" w:lineRule="auto"/>
              <w:jc w:val="both"/>
              <w:textAlignment w:val="center"/>
              <w:rPr>
                <w:rFonts w:ascii="Jost" w:hAnsi="Jost"/>
                <w:sz w:val="22"/>
                <w:szCs w:val="22"/>
                <w:lang w:val="lt-LT"/>
              </w:rPr>
            </w:pPr>
            <w:r w:rsidRPr="0000304B">
              <w:rPr>
                <w:rFonts w:ascii="Jost" w:hAnsi="Jost"/>
                <w:sz w:val="22"/>
                <w:szCs w:val="22"/>
                <w:lang w:val="lt-LT"/>
              </w:rPr>
              <w:t xml:space="preserve">Dėkojame už Jūsų pastabas. Komisija nustato, kad </w:t>
            </w:r>
            <w:r w:rsidR="00BE57C2" w:rsidRPr="0000304B">
              <w:rPr>
                <w:rFonts w:ascii="Jost" w:hAnsi="Jost"/>
                <w:sz w:val="22"/>
                <w:szCs w:val="22"/>
                <w:lang w:val="lt-LT"/>
              </w:rPr>
              <w:t>P</w:t>
            </w:r>
            <w:r w:rsidRPr="0000304B">
              <w:rPr>
                <w:rFonts w:ascii="Jost" w:hAnsi="Jost"/>
                <w:sz w:val="22"/>
                <w:szCs w:val="22"/>
                <w:lang w:val="lt-LT"/>
              </w:rPr>
              <w:t xml:space="preserve">irkimo sąlygų </w:t>
            </w:r>
            <w:r w:rsidR="00BE57C2" w:rsidRPr="0000304B">
              <w:rPr>
                <w:rFonts w:ascii="Jost" w:hAnsi="Jost"/>
                <w:sz w:val="22"/>
                <w:szCs w:val="22"/>
                <w:lang w:val="lt-LT"/>
              </w:rPr>
              <w:t>2</w:t>
            </w:r>
            <w:r w:rsidRPr="0000304B">
              <w:rPr>
                <w:rFonts w:ascii="Jost" w:hAnsi="Jost"/>
                <w:sz w:val="22"/>
                <w:szCs w:val="22"/>
                <w:lang w:val="lt-LT"/>
              </w:rPr>
              <w:t xml:space="preserve"> priede „Pasiūlymo forma“ (toliau – Pasiūlymo forma) įsivėlė korekcinės klaidos – neteisingai nurodyti </w:t>
            </w:r>
            <w:r w:rsidR="00003977" w:rsidRPr="0000304B">
              <w:rPr>
                <w:rFonts w:ascii="Jost" w:hAnsi="Jost"/>
                <w:sz w:val="22"/>
                <w:szCs w:val="22"/>
                <w:lang w:val="lt-LT"/>
              </w:rPr>
              <w:t>P</w:t>
            </w:r>
            <w:r w:rsidRPr="0000304B">
              <w:rPr>
                <w:rFonts w:ascii="Jost" w:hAnsi="Jost"/>
                <w:sz w:val="22"/>
                <w:szCs w:val="22"/>
                <w:lang w:val="lt-LT"/>
              </w:rPr>
              <w:t xml:space="preserve">irkimo sąlygų </w:t>
            </w:r>
            <w:r w:rsidR="00003977" w:rsidRPr="0000304B">
              <w:rPr>
                <w:rFonts w:ascii="Jost" w:hAnsi="Jost"/>
                <w:sz w:val="22"/>
                <w:szCs w:val="22"/>
                <w:lang w:val="lt-LT"/>
              </w:rPr>
              <w:t>1</w:t>
            </w:r>
            <w:r w:rsidRPr="0000304B">
              <w:rPr>
                <w:rFonts w:ascii="Jost" w:hAnsi="Jost"/>
                <w:sz w:val="22"/>
                <w:szCs w:val="22"/>
                <w:lang w:val="lt-LT"/>
              </w:rPr>
              <w:t xml:space="preserve"> priedo „Techninė specifikacija“ (toliau – TS) punktai, t. y. numeracijos klaidos. Klaidos Pasiūlymo formoje bus ištaisytos</w:t>
            </w:r>
            <w:r w:rsidR="008463F4" w:rsidRPr="0000304B">
              <w:rPr>
                <w:rFonts w:ascii="Jost" w:hAnsi="Jost"/>
                <w:sz w:val="22"/>
                <w:szCs w:val="22"/>
                <w:lang w:val="lt-LT"/>
              </w:rPr>
              <w:t xml:space="preserve">, </w:t>
            </w:r>
            <w:r w:rsidR="008463F4" w:rsidRPr="0000304B">
              <w:rPr>
                <w:rFonts w:ascii="Jost" w:hAnsi="Jost"/>
                <w:sz w:val="22"/>
                <w:szCs w:val="22"/>
                <w:lang w:val="lt-LT"/>
              </w:rPr>
              <w:lastRenderedPageBreak/>
              <w:t>ištaisyt</w:t>
            </w:r>
            <w:r w:rsidR="00511FDB" w:rsidRPr="0000304B">
              <w:rPr>
                <w:rFonts w:ascii="Jost" w:hAnsi="Jost"/>
                <w:sz w:val="22"/>
                <w:szCs w:val="22"/>
                <w:lang w:val="lt-LT"/>
              </w:rPr>
              <w:t>a</w:t>
            </w:r>
            <w:r w:rsidR="000D4F70" w:rsidRPr="0000304B">
              <w:rPr>
                <w:rFonts w:ascii="Jost" w:hAnsi="Jost"/>
                <w:sz w:val="22"/>
                <w:szCs w:val="22"/>
                <w:lang w:val="lt-LT"/>
              </w:rPr>
              <w:t xml:space="preserve"> ir</w:t>
            </w:r>
            <w:r w:rsidR="00511FDB" w:rsidRPr="0000304B">
              <w:rPr>
                <w:rFonts w:ascii="Jost" w:hAnsi="Jost"/>
                <w:sz w:val="22"/>
                <w:szCs w:val="22"/>
                <w:lang w:val="lt-LT"/>
              </w:rPr>
              <w:t xml:space="preserve"> </w:t>
            </w:r>
            <w:r w:rsidR="000D4F70" w:rsidRPr="0000304B">
              <w:rPr>
                <w:rFonts w:ascii="Jost" w:hAnsi="Jost"/>
                <w:sz w:val="22"/>
                <w:szCs w:val="22"/>
                <w:lang w:val="lt-LT"/>
              </w:rPr>
              <w:t xml:space="preserve">esanti eilučių numeracija dėl padarytos klaidos </w:t>
            </w:r>
            <w:r w:rsidRPr="0000304B">
              <w:rPr>
                <w:rFonts w:ascii="Jost" w:hAnsi="Jost"/>
                <w:sz w:val="22"/>
                <w:szCs w:val="22"/>
                <w:lang w:val="lt-LT"/>
              </w:rPr>
              <w:t xml:space="preserve">ir Pasiūlymo formos aktuali versija bus paskelbta CVP IS prie Pirkimo dokumentų. </w:t>
            </w:r>
            <w:r w:rsidRPr="0000304B">
              <w:rPr>
                <w:rFonts w:ascii="Jost" w:hAnsi="Jost"/>
                <w:i/>
                <w:iCs/>
                <w:sz w:val="22"/>
                <w:szCs w:val="22"/>
                <w:lang w:val="lt-LT"/>
              </w:rPr>
              <w:t>Pranešimas dėl Pirkimo dokumentų tikslinimo pridedamas.</w:t>
            </w:r>
          </w:p>
        </w:tc>
      </w:tr>
    </w:tbl>
    <w:p w14:paraId="2C081A81" w14:textId="77777777" w:rsidR="004724B7" w:rsidRPr="0000304B" w:rsidRDefault="004724B7" w:rsidP="004724B7">
      <w:pPr>
        <w:tabs>
          <w:tab w:val="left" w:pos="1605"/>
        </w:tabs>
        <w:rPr>
          <w:rFonts w:ascii="Jost" w:hAnsi="Jost"/>
          <w:sz w:val="22"/>
          <w:szCs w:val="22"/>
        </w:rPr>
      </w:pPr>
    </w:p>
    <w:p w14:paraId="4DED9DB4" w14:textId="51087767" w:rsidR="004724B7" w:rsidRPr="0000304B" w:rsidRDefault="00DC2E25" w:rsidP="004724B7">
      <w:pPr>
        <w:tabs>
          <w:tab w:val="left" w:pos="1605"/>
        </w:tabs>
        <w:spacing w:line="288" w:lineRule="auto"/>
        <w:jc w:val="both"/>
        <w:rPr>
          <w:rFonts w:ascii="Jost" w:eastAsia="Times New Roman" w:hAnsi="Jost"/>
          <w:color w:val="000000"/>
          <w:sz w:val="22"/>
          <w:szCs w:val="22"/>
        </w:rPr>
      </w:pPr>
      <w:r w:rsidRPr="0000304B">
        <w:rPr>
          <w:rFonts w:ascii="Jost" w:hAnsi="Jost" w:cs="Calibri"/>
          <w:sz w:val="22"/>
          <w:szCs w:val="22"/>
        </w:rPr>
        <w:t xml:space="preserve">Atsižvelgiant į </w:t>
      </w:r>
      <w:r w:rsidR="00F0485B" w:rsidRPr="0000304B">
        <w:rPr>
          <w:rFonts w:ascii="Jost" w:hAnsi="Jost" w:cs="Calibri"/>
          <w:sz w:val="22"/>
          <w:szCs w:val="22"/>
        </w:rPr>
        <w:t xml:space="preserve">tiekėjų </w:t>
      </w:r>
      <w:r w:rsidRPr="0000304B">
        <w:rPr>
          <w:rFonts w:ascii="Jost" w:hAnsi="Jost" w:cs="Calibri"/>
          <w:sz w:val="22"/>
          <w:szCs w:val="22"/>
        </w:rPr>
        <w:t xml:space="preserve">prašymus ir </w:t>
      </w:r>
      <w:r w:rsidR="00F0485B" w:rsidRPr="0000304B">
        <w:rPr>
          <w:rFonts w:ascii="Jost" w:hAnsi="Jost" w:cs="Calibri"/>
          <w:sz w:val="22"/>
          <w:szCs w:val="22"/>
        </w:rPr>
        <w:t xml:space="preserve">siekiant </w:t>
      </w:r>
      <w:r w:rsidRPr="0000304B">
        <w:rPr>
          <w:rFonts w:ascii="Jost" w:hAnsi="Jost" w:cs="Calibri"/>
          <w:sz w:val="22"/>
          <w:szCs w:val="22"/>
        </w:rPr>
        <w:t xml:space="preserve">sudaryti sąlygas </w:t>
      </w:r>
      <w:r w:rsidR="00F0485B" w:rsidRPr="0000304B">
        <w:rPr>
          <w:rFonts w:ascii="Jost" w:hAnsi="Jost" w:cs="Calibri"/>
          <w:sz w:val="22"/>
          <w:szCs w:val="22"/>
        </w:rPr>
        <w:t xml:space="preserve">tiekėjams </w:t>
      </w:r>
      <w:r w:rsidRPr="0000304B">
        <w:rPr>
          <w:rFonts w:ascii="Jost" w:hAnsi="Jost" w:cs="Calibri"/>
          <w:sz w:val="22"/>
          <w:szCs w:val="22"/>
        </w:rPr>
        <w:t xml:space="preserve">tinkamai parengti </w:t>
      </w:r>
      <w:r w:rsidR="00F0485B" w:rsidRPr="0000304B">
        <w:rPr>
          <w:rFonts w:ascii="Jost" w:hAnsi="Jost" w:cs="Calibri"/>
          <w:sz w:val="22"/>
          <w:szCs w:val="22"/>
        </w:rPr>
        <w:t>pasiūlymus</w:t>
      </w:r>
      <w:r w:rsidRPr="0000304B">
        <w:rPr>
          <w:rFonts w:ascii="Jost" w:hAnsi="Jost" w:cs="Calibri"/>
          <w:sz w:val="22"/>
          <w:szCs w:val="22"/>
        </w:rPr>
        <w:t xml:space="preserve">, pasiūlymų pateikimo </w:t>
      </w:r>
      <w:r w:rsidR="00F0485B" w:rsidRPr="0000304B">
        <w:rPr>
          <w:rFonts w:ascii="Jost" w:hAnsi="Jost" w:cs="Calibri"/>
          <w:sz w:val="22"/>
          <w:szCs w:val="22"/>
        </w:rPr>
        <w:t xml:space="preserve">terminas nukeliamas </w:t>
      </w:r>
      <w:r w:rsidRPr="0000304B">
        <w:rPr>
          <w:rFonts w:ascii="Jost" w:hAnsi="Jost" w:cs="Calibri"/>
          <w:b/>
          <w:bCs/>
          <w:sz w:val="22"/>
          <w:szCs w:val="22"/>
        </w:rPr>
        <w:t>iš 2025-11-24 9.00 val. į 2025-11-26 9.00 val.</w:t>
      </w:r>
    </w:p>
    <w:p w14:paraId="1BE0E291" w14:textId="77777777" w:rsidR="001F7E79" w:rsidRPr="0000304B" w:rsidRDefault="001F7E79" w:rsidP="004724B7">
      <w:pPr>
        <w:tabs>
          <w:tab w:val="left" w:pos="1605"/>
        </w:tabs>
        <w:spacing w:line="288" w:lineRule="auto"/>
        <w:jc w:val="both"/>
        <w:rPr>
          <w:rFonts w:ascii="Jost" w:eastAsia="Times New Roman" w:hAnsi="Jost"/>
          <w:color w:val="000000"/>
          <w:sz w:val="22"/>
          <w:szCs w:val="22"/>
        </w:rPr>
      </w:pPr>
    </w:p>
    <w:p w14:paraId="1DEC13F8" w14:textId="77777777" w:rsidR="001F7E79" w:rsidRPr="0000304B" w:rsidRDefault="001F7E79" w:rsidP="004724B7">
      <w:pPr>
        <w:tabs>
          <w:tab w:val="left" w:pos="1605"/>
        </w:tabs>
        <w:spacing w:line="288" w:lineRule="auto"/>
        <w:jc w:val="both"/>
        <w:rPr>
          <w:rFonts w:ascii="Jost" w:eastAsia="Times New Roman" w:hAnsi="Jost"/>
          <w:color w:val="000000"/>
          <w:sz w:val="22"/>
          <w:szCs w:val="22"/>
        </w:rPr>
      </w:pPr>
    </w:p>
    <w:p w14:paraId="2FC7F03D" w14:textId="1D609976" w:rsidR="004724B7" w:rsidRPr="0000304B" w:rsidRDefault="004724B7" w:rsidP="004724B7">
      <w:pPr>
        <w:tabs>
          <w:tab w:val="left" w:pos="1605"/>
        </w:tabs>
        <w:spacing w:line="288" w:lineRule="auto"/>
        <w:jc w:val="both"/>
        <w:rPr>
          <w:rFonts w:ascii="Jost" w:eastAsia="Times New Roman" w:hAnsi="Jost"/>
          <w:color w:val="000000"/>
          <w:sz w:val="22"/>
          <w:szCs w:val="22"/>
        </w:rPr>
      </w:pPr>
      <w:r w:rsidRPr="0000304B">
        <w:rPr>
          <w:rFonts w:ascii="Jost" w:eastAsia="Times New Roman" w:hAnsi="Jost"/>
          <w:color w:val="000000"/>
          <w:sz w:val="22"/>
          <w:szCs w:val="22"/>
        </w:rPr>
        <w:t>Pagarbiai</w:t>
      </w:r>
    </w:p>
    <w:p w14:paraId="24581294" w14:textId="77777777" w:rsidR="004724B7" w:rsidRPr="0000304B" w:rsidRDefault="004724B7" w:rsidP="004724B7">
      <w:pPr>
        <w:tabs>
          <w:tab w:val="left" w:pos="1605"/>
        </w:tabs>
        <w:jc w:val="both"/>
        <w:rPr>
          <w:rFonts w:ascii="Jost" w:eastAsia="Times New Roman" w:hAnsi="Jost"/>
          <w:color w:val="000000"/>
          <w:sz w:val="22"/>
          <w:szCs w:val="22"/>
        </w:rPr>
      </w:pPr>
    </w:p>
    <w:p w14:paraId="7478A476" w14:textId="081681EA" w:rsidR="00E4040A" w:rsidRPr="0000304B" w:rsidRDefault="004724B7" w:rsidP="000A535B">
      <w:pPr>
        <w:tabs>
          <w:tab w:val="left" w:pos="1605"/>
        </w:tabs>
        <w:spacing w:line="288" w:lineRule="auto"/>
        <w:jc w:val="both"/>
        <w:rPr>
          <w:rFonts w:ascii="Jost" w:hAnsi="Jost"/>
          <w:sz w:val="22"/>
          <w:szCs w:val="22"/>
        </w:rPr>
      </w:pPr>
      <w:r w:rsidRPr="0000304B">
        <w:rPr>
          <w:rFonts w:ascii="Jost" w:eastAsia="Times New Roman" w:hAnsi="Jost"/>
          <w:color w:val="000000"/>
          <w:sz w:val="22"/>
          <w:szCs w:val="22"/>
        </w:rPr>
        <w:t>Komisija</w:t>
      </w:r>
    </w:p>
    <w:sectPr w:rsidR="00E4040A" w:rsidRPr="0000304B" w:rsidSect="000F17D6">
      <w:headerReference w:type="default" r:id="rId11"/>
      <w:footerReference w:type="default" r:id="rId12"/>
      <w:headerReference w:type="first" r:id="rId13"/>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1600" w14:textId="77777777" w:rsidR="007724DB" w:rsidRDefault="007724DB" w:rsidP="000F17D6">
      <w:r>
        <w:separator/>
      </w:r>
    </w:p>
  </w:endnote>
  <w:endnote w:type="continuationSeparator" w:id="0">
    <w:p w14:paraId="73178326" w14:textId="77777777" w:rsidR="007724DB" w:rsidRDefault="007724DB"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charset w:val="00"/>
    <w:family w:val="auto"/>
    <w:pitch w:val="variable"/>
    <w:sig w:usb0="A00002EF" w:usb1="0000205B" w:usb2="00000010" w:usb3="00000000" w:csb0="000000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2161" w14:textId="77777777" w:rsidR="007724DB" w:rsidRDefault="007724DB" w:rsidP="000F17D6">
      <w:r>
        <w:separator/>
      </w:r>
    </w:p>
  </w:footnote>
  <w:footnote w:type="continuationSeparator" w:id="0">
    <w:p w14:paraId="6D873377" w14:textId="77777777" w:rsidR="007724DB" w:rsidRDefault="007724DB"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70012"/>
    <w:multiLevelType w:val="hybridMultilevel"/>
    <w:tmpl w:val="144C0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A2DB1"/>
    <w:multiLevelType w:val="multilevel"/>
    <w:tmpl w:val="34728102"/>
    <w:lvl w:ilvl="0">
      <w:start w:val="1"/>
      <w:numFmt w:val="decimal"/>
      <w:lvlText w:val="%1."/>
      <w:lvlJc w:val="left"/>
      <w:pPr>
        <w:ind w:left="1920" w:hanging="360"/>
      </w:pPr>
      <w:rPr>
        <w:b w:val="0"/>
        <w:color w:val="auto"/>
      </w:rPr>
    </w:lvl>
    <w:lvl w:ilvl="1">
      <w:start w:val="1"/>
      <w:numFmt w:val="decimal"/>
      <w:isLgl/>
      <w:lvlText w:val="%1.%2."/>
      <w:lvlJc w:val="left"/>
      <w:pPr>
        <w:ind w:left="1892" w:hanging="615"/>
      </w:pPr>
      <w:rPr>
        <w:rFonts w:ascii="Times New Roman" w:hAnsi="Times New Roman" w:cs="Times New Roman" w:hint="default"/>
        <w:b w:val="0"/>
        <w:color w:val="auto"/>
        <w:sz w:val="24"/>
        <w:szCs w:val="24"/>
      </w:rPr>
    </w:lvl>
    <w:lvl w:ilvl="2">
      <w:start w:val="1"/>
      <w:numFmt w:val="decimal"/>
      <w:isLgl/>
      <w:lvlText w:val="%1.%2.%3."/>
      <w:lvlJc w:val="left"/>
      <w:pPr>
        <w:ind w:left="862" w:hanging="720"/>
      </w:pPr>
      <w:rPr>
        <w:rFonts w:ascii="Times New Roman" w:hAnsi="Times New Roman" w:cs="Times New Roman" w:hint="default"/>
        <w:b w:val="0"/>
        <w:color w:val="auto"/>
        <w:sz w:val="24"/>
        <w:szCs w:val="24"/>
        <w:vertAlign w:val="baseline"/>
      </w:rPr>
    </w:lvl>
    <w:lvl w:ilvl="3">
      <w:start w:val="1"/>
      <w:numFmt w:val="decimal"/>
      <w:isLgl/>
      <w:lvlText w:val="%1.%2.%3.%4."/>
      <w:lvlJc w:val="left"/>
      <w:pPr>
        <w:ind w:left="1800" w:hanging="720"/>
      </w:pPr>
      <w:rPr>
        <w:rFonts w:ascii="Times New Roman" w:hAnsi="Times New Roman" w:cs="Times New Roman" w:hint="default"/>
        <w:color w:val="auto"/>
        <w:sz w:val="24"/>
        <w:szCs w:val="24"/>
      </w:rPr>
    </w:lvl>
    <w:lvl w:ilvl="4">
      <w:start w:val="1"/>
      <w:numFmt w:val="decimal"/>
      <w:isLgl/>
      <w:lvlText w:val="%1.%2.%3.%4.%5."/>
      <w:lvlJc w:val="left"/>
      <w:pPr>
        <w:ind w:left="2160" w:hanging="1080"/>
      </w:pPr>
      <w:rPr>
        <w:rFonts w:ascii="Cambria" w:hAnsi="Cambria" w:cstheme="minorBidi" w:hint="default"/>
        <w:color w:val="auto"/>
        <w:sz w:val="28"/>
      </w:rPr>
    </w:lvl>
    <w:lvl w:ilvl="5">
      <w:start w:val="1"/>
      <w:numFmt w:val="decimal"/>
      <w:isLgl/>
      <w:lvlText w:val="%1.%2.%3.%4.%5.%6."/>
      <w:lvlJc w:val="left"/>
      <w:pPr>
        <w:ind w:left="2160" w:hanging="1080"/>
      </w:pPr>
      <w:rPr>
        <w:rFonts w:ascii="Cambria" w:hAnsi="Cambria" w:cstheme="minorBidi" w:hint="default"/>
        <w:color w:val="auto"/>
        <w:sz w:val="28"/>
      </w:rPr>
    </w:lvl>
    <w:lvl w:ilvl="6">
      <w:start w:val="1"/>
      <w:numFmt w:val="decimal"/>
      <w:isLgl/>
      <w:lvlText w:val="%1.%2.%3.%4.%5.%6.%7."/>
      <w:lvlJc w:val="left"/>
      <w:pPr>
        <w:ind w:left="2520" w:hanging="1440"/>
      </w:pPr>
      <w:rPr>
        <w:rFonts w:ascii="Cambria" w:hAnsi="Cambria" w:cstheme="minorBidi" w:hint="default"/>
        <w:color w:val="auto"/>
        <w:sz w:val="28"/>
      </w:rPr>
    </w:lvl>
    <w:lvl w:ilvl="7">
      <w:start w:val="1"/>
      <w:numFmt w:val="decimal"/>
      <w:isLgl/>
      <w:lvlText w:val="%1.%2.%3.%4.%5.%6.%7.%8."/>
      <w:lvlJc w:val="left"/>
      <w:pPr>
        <w:ind w:left="2520" w:hanging="1440"/>
      </w:pPr>
      <w:rPr>
        <w:rFonts w:ascii="Cambria" w:hAnsi="Cambria" w:cstheme="minorBidi" w:hint="default"/>
        <w:color w:val="auto"/>
        <w:sz w:val="28"/>
      </w:rPr>
    </w:lvl>
    <w:lvl w:ilvl="8">
      <w:start w:val="1"/>
      <w:numFmt w:val="decimal"/>
      <w:isLgl/>
      <w:lvlText w:val="%1.%2.%3.%4.%5.%6.%7.%8.%9."/>
      <w:lvlJc w:val="left"/>
      <w:pPr>
        <w:ind w:left="2880" w:hanging="1800"/>
      </w:pPr>
      <w:rPr>
        <w:rFonts w:ascii="Cambria" w:hAnsi="Cambria" w:cstheme="minorBidi" w:hint="default"/>
        <w:color w:val="auto"/>
        <w:sz w:val="28"/>
      </w:rPr>
    </w:lvl>
  </w:abstractNum>
  <w:num w:numId="1" w16cid:durableId="947930672">
    <w:abstractNumId w:val="0"/>
  </w:num>
  <w:num w:numId="2" w16cid:durableId="934439856">
    <w:abstractNumId w:val="3"/>
  </w:num>
  <w:num w:numId="3" w16cid:durableId="2111776423">
    <w:abstractNumId w:val="1"/>
  </w:num>
  <w:num w:numId="4" w16cid:durableId="1864856641">
    <w:abstractNumId w:val="4"/>
  </w:num>
  <w:num w:numId="5" w16cid:durableId="1091198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304B"/>
    <w:rsid w:val="00003977"/>
    <w:rsid w:val="00021AAF"/>
    <w:rsid w:val="0003099E"/>
    <w:rsid w:val="00045674"/>
    <w:rsid w:val="00051BE0"/>
    <w:rsid w:val="00055963"/>
    <w:rsid w:val="000673B7"/>
    <w:rsid w:val="00077CE9"/>
    <w:rsid w:val="000841CC"/>
    <w:rsid w:val="00095D5F"/>
    <w:rsid w:val="000A535B"/>
    <w:rsid w:val="000B64AE"/>
    <w:rsid w:val="000C032D"/>
    <w:rsid w:val="000D02DA"/>
    <w:rsid w:val="000D4F70"/>
    <w:rsid w:val="000F17D6"/>
    <w:rsid w:val="000F3B8C"/>
    <w:rsid w:val="00106B1F"/>
    <w:rsid w:val="00122EDB"/>
    <w:rsid w:val="00126391"/>
    <w:rsid w:val="001276CB"/>
    <w:rsid w:val="001330B6"/>
    <w:rsid w:val="001333D0"/>
    <w:rsid w:val="00135FD6"/>
    <w:rsid w:val="001424B9"/>
    <w:rsid w:val="001558F6"/>
    <w:rsid w:val="001622FE"/>
    <w:rsid w:val="00180221"/>
    <w:rsid w:val="0018467C"/>
    <w:rsid w:val="00192136"/>
    <w:rsid w:val="001954C2"/>
    <w:rsid w:val="001A2F7E"/>
    <w:rsid w:val="001B7339"/>
    <w:rsid w:val="001C257D"/>
    <w:rsid w:val="001E1058"/>
    <w:rsid w:val="001E1E8D"/>
    <w:rsid w:val="001E5687"/>
    <w:rsid w:val="001F7E79"/>
    <w:rsid w:val="0021571A"/>
    <w:rsid w:val="00223999"/>
    <w:rsid w:val="0023122B"/>
    <w:rsid w:val="002379A1"/>
    <w:rsid w:val="00240BAB"/>
    <w:rsid w:val="00271041"/>
    <w:rsid w:val="0027706E"/>
    <w:rsid w:val="00283410"/>
    <w:rsid w:val="00284547"/>
    <w:rsid w:val="002B07B1"/>
    <w:rsid w:val="002C037D"/>
    <w:rsid w:val="002D0BC5"/>
    <w:rsid w:val="002E0DBC"/>
    <w:rsid w:val="002F416F"/>
    <w:rsid w:val="00300312"/>
    <w:rsid w:val="00300758"/>
    <w:rsid w:val="00322AFC"/>
    <w:rsid w:val="00323C05"/>
    <w:rsid w:val="0032721B"/>
    <w:rsid w:val="00334834"/>
    <w:rsid w:val="00345578"/>
    <w:rsid w:val="003512B1"/>
    <w:rsid w:val="0036075B"/>
    <w:rsid w:val="00362939"/>
    <w:rsid w:val="00366A19"/>
    <w:rsid w:val="003700F4"/>
    <w:rsid w:val="0037557A"/>
    <w:rsid w:val="00376B34"/>
    <w:rsid w:val="00383BA7"/>
    <w:rsid w:val="003845B9"/>
    <w:rsid w:val="003962BC"/>
    <w:rsid w:val="003A1D23"/>
    <w:rsid w:val="003A5742"/>
    <w:rsid w:val="003A6492"/>
    <w:rsid w:val="003B217B"/>
    <w:rsid w:val="003B610D"/>
    <w:rsid w:val="003B6880"/>
    <w:rsid w:val="003C6C5D"/>
    <w:rsid w:val="003D08CE"/>
    <w:rsid w:val="003E1BFD"/>
    <w:rsid w:val="003E6BB5"/>
    <w:rsid w:val="004230F7"/>
    <w:rsid w:val="00424191"/>
    <w:rsid w:val="0043535C"/>
    <w:rsid w:val="00437B35"/>
    <w:rsid w:val="00445645"/>
    <w:rsid w:val="004657AE"/>
    <w:rsid w:val="00466590"/>
    <w:rsid w:val="004724B7"/>
    <w:rsid w:val="0048126B"/>
    <w:rsid w:val="004841E0"/>
    <w:rsid w:val="00490A3C"/>
    <w:rsid w:val="00492DDB"/>
    <w:rsid w:val="004941A1"/>
    <w:rsid w:val="00494710"/>
    <w:rsid w:val="00494CBC"/>
    <w:rsid w:val="004A5103"/>
    <w:rsid w:val="004B4774"/>
    <w:rsid w:val="004B53CE"/>
    <w:rsid w:val="004B73A5"/>
    <w:rsid w:val="004C0FED"/>
    <w:rsid w:val="004C601C"/>
    <w:rsid w:val="004D062C"/>
    <w:rsid w:val="004D1F07"/>
    <w:rsid w:val="004D30AD"/>
    <w:rsid w:val="004F6AD6"/>
    <w:rsid w:val="00511FDB"/>
    <w:rsid w:val="00512F79"/>
    <w:rsid w:val="0051460F"/>
    <w:rsid w:val="00520B18"/>
    <w:rsid w:val="00524B8D"/>
    <w:rsid w:val="00530740"/>
    <w:rsid w:val="005348BA"/>
    <w:rsid w:val="005642C6"/>
    <w:rsid w:val="005718E6"/>
    <w:rsid w:val="00573F82"/>
    <w:rsid w:val="005837C4"/>
    <w:rsid w:val="005935E3"/>
    <w:rsid w:val="005A59B2"/>
    <w:rsid w:val="005A775A"/>
    <w:rsid w:val="005B2B66"/>
    <w:rsid w:val="005B3B84"/>
    <w:rsid w:val="005B4238"/>
    <w:rsid w:val="005C0F29"/>
    <w:rsid w:val="005D01EA"/>
    <w:rsid w:val="005E36C0"/>
    <w:rsid w:val="006149DD"/>
    <w:rsid w:val="006157FF"/>
    <w:rsid w:val="00624367"/>
    <w:rsid w:val="006369F5"/>
    <w:rsid w:val="00643516"/>
    <w:rsid w:val="00646836"/>
    <w:rsid w:val="00672827"/>
    <w:rsid w:val="006810B3"/>
    <w:rsid w:val="006862E0"/>
    <w:rsid w:val="006908B5"/>
    <w:rsid w:val="006A333C"/>
    <w:rsid w:val="006A3975"/>
    <w:rsid w:val="006B7195"/>
    <w:rsid w:val="006E7A99"/>
    <w:rsid w:val="006F5CF6"/>
    <w:rsid w:val="007150FC"/>
    <w:rsid w:val="00716ED8"/>
    <w:rsid w:val="00717D5C"/>
    <w:rsid w:val="007254B9"/>
    <w:rsid w:val="007271E9"/>
    <w:rsid w:val="00731643"/>
    <w:rsid w:val="007408EC"/>
    <w:rsid w:val="00746E14"/>
    <w:rsid w:val="007724DB"/>
    <w:rsid w:val="00774325"/>
    <w:rsid w:val="007772DB"/>
    <w:rsid w:val="0078244E"/>
    <w:rsid w:val="007960EE"/>
    <w:rsid w:val="007A1699"/>
    <w:rsid w:val="007B0CCA"/>
    <w:rsid w:val="007C7652"/>
    <w:rsid w:val="007F0445"/>
    <w:rsid w:val="007F072F"/>
    <w:rsid w:val="007F123E"/>
    <w:rsid w:val="00801512"/>
    <w:rsid w:val="00801E82"/>
    <w:rsid w:val="0080655C"/>
    <w:rsid w:val="00806A25"/>
    <w:rsid w:val="00811008"/>
    <w:rsid w:val="0081367D"/>
    <w:rsid w:val="00820E67"/>
    <w:rsid w:val="008218BB"/>
    <w:rsid w:val="00826D39"/>
    <w:rsid w:val="008308EF"/>
    <w:rsid w:val="00831F2B"/>
    <w:rsid w:val="008463F4"/>
    <w:rsid w:val="00860FEB"/>
    <w:rsid w:val="00876804"/>
    <w:rsid w:val="00876EDD"/>
    <w:rsid w:val="008814A7"/>
    <w:rsid w:val="0088508D"/>
    <w:rsid w:val="00892698"/>
    <w:rsid w:val="008B4D2F"/>
    <w:rsid w:val="008B59AC"/>
    <w:rsid w:val="008C03EA"/>
    <w:rsid w:val="008C4514"/>
    <w:rsid w:val="008D5736"/>
    <w:rsid w:val="008D7719"/>
    <w:rsid w:val="008E62D4"/>
    <w:rsid w:val="00901F52"/>
    <w:rsid w:val="00913764"/>
    <w:rsid w:val="009210E6"/>
    <w:rsid w:val="009300FE"/>
    <w:rsid w:val="00935834"/>
    <w:rsid w:val="00940C42"/>
    <w:rsid w:val="00940E74"/>
    <w:rsid w:val="00943813"/>
    <w:rsid w:val="009848BB"/>
    <w:rsid w:val="00992541"/>
    <w:rsid w:val="009A0E23"/>
    <w:rsid w:val="009A6FF3"/>
    <w:rsid w:val="009A7E52"/>
    <w:rsid w:val="009C00D7"/>
    <w:rsid w:val="009C6D53"/>
    <w:rsid w:val="009D7016"/>
    <w:rsid w:val="009E5672"/>
    <w:rsid w:val="009F3B08"/>
    <w:rsid w:val="009F3B6B"/>
    <w:rsid w:val="00A0048D"/>
    <w:rsid w:val="00A0291C"/>
    <w:rsid w:val="00A06DBF"/>
    <w:rsid w:val="00A1363C"/>
    <w:rsid w:val="00A25314"/>
    <w:rsid w:val="00A32CDF"/>
    <w:rsid w:val="00A54493"/>
    <w:rsid w:val="00A67D15"/>
    <w:rsid w:val="00A71CBF"/>
    <w:rsid w:val="00A7578F"/>
    <w:rsid w:val="00A7668B"/>
    <w:rsid w:val="00A809D7"/>
    <w:rsid w:val="00A84892"/>
    <w:rsid w:val="00AB3947"/>
    <w:rsid w:val="00AB476D"/>
    <w:rsid w:val="00AB7038"/>
    <w:rsid w:val="00AC0DC4"/>
    <w:rsid w:val="00AD0C9D"/>
    <w:rsid w:val="00AF0680"/>
    <w:rsid w:val="00AF54D6"/>
    <w:rsid w:val="00B10B28"/>
    <w:rsid w:val="00B16CC8"/>
    <w:rsid w:val="00B51631"/>
    <w:rsid w:val="00B6175A"/>
    <w:rsid w:val="00B62F87"/>
    <w:rsid w:val="00B635A5"/>
    <w:rsid w:val="00B731A5"/>
    <w:rsid w:val="00B77E46"/>
    <w:rsid w:val="00B83BD1"/>
    <w:rsid w:val="00B8706B"/>
    <w:rsid w:val="00B87797"/>
    <w:rsid w:val="00BA5C25"/>
    <w:rsid w:val="00BB77D4"/>
    <w:rsid w:val="00BC0266"/>
    <w:rsid w:val="00BC4BBB"/>
    <w:rsid w:val="00BC5B88"/>
    <w:rsid w:val="00BC630E"/>
    <w:rsid w:val="00BD075A"/>
    <w:rsid w:val="00BD3FF5"/>
    <w:rsid w:val="00BD61F3"/>
    <w:rsid w:val="00BE57C2"/>
    <w:rsid w:val="00C0001C"/>
    <w:rsid w:val="00C04902"/>
    <w:rsid w:val="00C137AE"/>
    <w:rsid w:val="00C206F7"/>
    <w:rsid w:val="00C36859"/>
    <w:rsid w:val="00C628F6"/>
    <w:rsid w:val="00C67EAA"/>
    <w:rsid w:val="00C725E2"/>
    <w:rsid w:val="00C773F1"/>
    <w:rsid w:val="00C802B5"/>
    <w:rsid w:val="00C918C4"/>
    <w:rsid w:val="00CA0D16"/>
    <w:rsid w:val="00CA5407"/>
    <w:rsid w:val="00CB6EAD"/>
    <w:rsid w:val="00CC5F6C"/>
    <w:rsid w:val="00CD1404"/>
    <w:rsid w:val="00CE0AAE"/>
    <w:rsid w:val="00CE0EA3"/>
    <w:rsid w:val="00D163F3"/>
    <w:rsid w:val="00D24506"/>
    <w:rsid w:val="00D458AF"/>
    <w:rsid w:val="00D534D3"/>
    <w:rsid w:val="00D545CB"/>
    <w:rsid w:val="00D61618"/>
    <w:rsid w:val="00D66618"/>
    <w:rsid w:val="00D66B6A"/>
    <w:rsid w:val="00D803EE"/>
    <w:rsid w:val="00D80BD3"/>
    <w:rsid w:val="00D811A2"/>
    <w:rsid w:val="00DA0901"/>
    <w:rsid w:val="00DB5547"/>
    <w:rsid w:val="00DC2E25"/>
    <w:rsid w:val="00DD3F9D"/>
    <w:rsid w:val="00DD4DA4"/>
    <w:rsid w:val="00DE0558"/>
    <w:rsid w:val="00DE0A01"/>
    <w:rsid w:val="00DF3CE3"/>
    <w:rsid w:val="00DF403B"/>
    <w:rsid w:val="00E04159"/>
    <w:rsid w:val="00E158EF"/>
    <w:rsid w:val="00E15D43"/>
    <w:rsid w:val="00E2476A"/>
    <w:rsid w:val="00E27A21"/>
    <w:rsid w:val="00E37569"/>
    <w:rsid w:val="00E4040A"/>
    <w:rsid w:val="00E4335A"/>
    <w:rsid w:val="00E44E3B"/>
    <w:rsid w:val="00E525BB"/>
    <w:rsid w:val="00E62888"/>
    <w:rsid w:val="00E65F29"/>
    <w:rsid w:val="00E70E69"/>
    <w:rsid w:val="00E72F3A"/>
    <w:rsid w:val="00E806E2"/>
    <w:rsid w:val="00E9653F"/>
    <w:rsid w:val="00EA3DE5"/>
    <w:rsid w:val="00EB0D67"/>
    <w:rsid w:val="00ED2A08"/>
    <w:rsid w:val="00ED5612"/>
    <w:rsid w:val="00ED7F88"/>
    <w:rsid w:val="00EE2B53"/>
    <w:rsid w:val="00EE5266"/>
    <w:rsid w:val="00EF08AB"/>
    <w:rsid w:val="00F0485B"/>
    <w:rsid w:val="00F05A3F"/>
    <w:rsid w:val="00F2264C"/>
    <w:rsid w:val="00F25B46"/>
    <w:rsid w:val="00F275AB"/>
    <w:rsid w:val="00F3217E"/>
    <w:rsid w:val="00F36B90"/>
    <w:rsid w:val="00F37442"/>
    <w:rsid w:val="00F423B7"/>
    <w:rsid w:val="00F52AEA"/>
    <w:rsid w:val="00F64A61"/>
    <w:rsid w:val="00F67EB9"/>
    <w:rsid w:val="00F71DC1"/>
    <w:rsid w:val="00F91071"/>
    <w:rsid w:val="00F9235A"/>
    <w:rsid w:val="00F93255"/>
    <w:rsid w:val="00FC6BEF"/>
    <w:rsid w:val="00FF16E5"/>
    <w:rsid w:val="00FF6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qFormat/>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Fußnotentext Char,Fußnotentext Char1 Char,Schriftart: 9 pt Char1 Char,Schriftart: 8 pt Char Char1 Char,Fußnotentext Char Char Char,f"/>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Fußnotentext Char Diagrama,Fußnotentext Char1 Char Diagrama,f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qFormat/>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ipersaitas">
    <w:name w:val="Hyperlink"/>
    <w:basedOn w:val="Numatytasispastraiposriftas"/>
    <w:uiPriority w:val="99"/>
    <w:unhideWhenUsed/>
    <w:rsid w:val="00E44E3B"/>
    <w:rPr>
      <w:color w:val="467886" w:themeColor="hyperlink"/>
      <w:u w:val="single"/>
    </w:rPr>
  </w:style>
  <w:style w:type="character" w:styleId="Neapdorotaspaminjimas">
    <w:name w:val="Unresolved Mention"/>
    <w:basedOn w:val="Numatytasispastraiposriftas"/>
    <w:uiPriority w:val="99"/>
    <w:semiHidden/>
    <w:unhideWhenUsed/>
    <w:rsid w:val="00E44E3B"/>
    <w:rPr>
      <w:color w:val="605E5C"/>
      <w:shd w:val="clear" w:color="auto" w:fill="E1DFDD"/>
    </w:rPr>
  </w:style>
  <w:style w:type="character" w:styleId="Komentaronuoroda">
    <w:name w:val="annotation reference"/>
    <w:basedOn w:val="Numatytasispastraiposriftas"/>
    <w:uiPriority w:val="99"/>
    <w:semiHidden/>
    <w:unhideWhenUsed/>
    <w:rsid w:val="00624367"/>
    <w:rPr>
      <w:sz w:val="16"/>
      <w:szCs w:val="16"/>
    </w:rPr>
  </w:style>
  <w:style w:type="paragraph" w:styleId="Komentarotekstas">
    <w:name w:val="annotation text"/>
    <w:basedOn w:val="prastasis"/>
    <w:link w:val="KomentarotekstasDiagrama"/>
    <w:uiPriority w:val="99"/>
    <w:unhideWhenUsed/>
    <w:rsid w:val="00624367"/>
    <w:rPr>
      <w:sz w:val="20"/>
      <w:szCs w:val="20"/>
    </w:rPr>
  </w:style>
  <w:style w:type="character" w:customStyle="1" w:styleId="KomentarotekstasDiagrama">
    <w:name w:val="Komentaro tekstas Diagrama"/>
    <w:basedOn w:val="Numatytasispastraiposriftas"/>
    <w:link w:val="Komentarotekstas"/>
    <w:uiPriority w:val="99"/>
    <w:rsid w:val="00624367"/>
    <w:rPr>
      <w:rFonts w:ascii="Times New Roman" w:eastAsia="Arial Unicode MS" w:hAnsi="Times New Roman" w:cs="Times New Roman"/>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624367"/>
    <w:rPr>
      <w:b/>
      <w:bCs/>
    </w:rPr>
  </w:style>
  <w:style w:type="character" w:customStyle="1" w:styleId="KomentarotemaDiagrama">
    <w:name w:val="Komentaro tema Diagrama"/>
    <w:basedOn w:val="KomentarotekstasDiagrama"/>
    <w:link w:val="Komentarotema"/>
    <w:uiPriority w:val="99"/>
    <w:semiHidden/>
    <w:rsid w:val="00624367"/>
    <w:rPr>
      <w:rFonts w:ascii="Times New Roman" w:eastAsia="Arial Unicode MS" w:hAnsi="Times New Roman" w:cs="Times New Roman"/>
      <w:b/>
      <w:bCs/>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649791391">
      <w:bodyDiv w:val="1"/>
      <w:marLeft w:val="0"/>
      <w:marRight w:val="0"/>
      <w:marTop w:val="0"/>
      <w:marBottom w:val="0"/>
      <w:divBdr>
        <w:top w:val="none" w:sz="0" w:space="0" w:color="auto"/>
        <w:left w:val="none" w:sz="0" w:space="0" w:color="auto"/>
        <w:bottom w:val="none" w:sz="0" w:space="0" w:color="auto"/>
        <w:right w:val="none" w:sz="0" w:space="0" w:color="auto"/>
      </w:divBdr>
    </w:div>
    <w:div w:id="730811469">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988628898">
      <w:bodyDiv w:val="1"/>
      <w:marLeft w:val="0"/>
      <w:marRight w:val="0"/>
      <w:marTop w:val="0"/>
      <w:marBottom w:val="0"/>
      <w:divBdr>
        <w:top w:val="none" w:sz="0" w:space="0" w:color="auto"/>
        <w:left w:val="none" w:sz="0" w:space="0" w:color="auto"/>
        <w:bottom w:val="none" w:sz="0" w:space="0" w:color="auto"/>
        <w:right w:val="none" w:sz="0" w:space="0" w:color="auto"/>
      </w:divBdr>
    </w:div>
    <w:div w:id="1023092971">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559052725">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24196646">
      <w:bodyDiv w:val="1"/>
      <w:marLeft w:val="0"/>
      <w:marRight w:val="0"/>
      <w:marTop w:val="0"/>
      <w:marBottom w:val="0"/>
      <w:divBdr>
        <w:top w:val="none" w:sz="0" w:space="0" w:color="auto"/>
        <w:left w:val="none" w:sz="0" w:space="0" w:color="auto"/>
        <w:bottom w:val="none" w:sz="0" w:space="0" w:color="auto"/>
        <w:right w:val="none" w:sz="0" w:space="0" w:color="auto"/>
      </w:divBdr>
      <w:divsChild>
        <w:div w:id="65195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4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5140</Words>
  <Characters>2931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Ana Sosulina</cp:lastModifiedBy>
  <cp:revision>7</cp:revision>
  <dcterms:created xsi:type="dcterms:W3CDTF">2025-11-21T11:47:00Z</dcterms:created>
  <dcterms:modified xsi:type="dcterms:W3CDTF">2025-11-21T11:58:00Z</dcterms:modified>
</cp:coreProperties>
</file>