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D6471"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HOLTERIO MONITORAVIMO SISTEMA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A37717" w:rsidRDefault="00A37717" w:rsidP="00A37717">
      <w:pPr>
        <w:keepNext/>
        <w:tabs>
          <w:tab w:val="left" w:pos="5174"/>
        </w:tabs>
        <w:ind w:right="140"/>
        <w:jc w:val="both"/>
        <w:outlineLvl w:val="0"/>
        <w:rPr>
          <w:rFonts w:asciiTheme="majorHAnsi" w:eastAsia="Calibri" w:hAnsiTheme="majorHAnsi"/>
          <w:sz w:val="22"/>
          <w:szCs w:val="22"/>
          <w:bdr w:val="none" w:sz="0" w:space="0" w:color="auto"/>
          <w:lang w:val="lt-LT"/>
        </w:rPr>
      </w:pPr>
      <w:r>
        <w:rPr>
          <w:rFonts w:asciiTheme="majorHAnsi" w:hAnsiTheme="majorHAnsi"/>
          <w:sz w:val="22"/>
          <w:szCs w:val="22"/>
        </w:rPr>
        <w:t>7</w:t>
      </w:r>
      <w:r w:rsidRPr="003714C3">
        <w:rPr>
          <w:rFonts w:asciiTheme="majorHAnsi" w:hAnsiTheme="majorHAnsi"/>
          <w:sz w:val="22"/>
          <w:szCs w:val="22"/>
        </w:rPr>
        <w:t xml:space="preserve">. </w:t>
      </w:r>
      <w:r w:rsidRPr="003714C3">
        <w:rPr>
          <w:rFonts w:asciiTheme="majorHAnsi" w:eastAsia="Times New Roman" w:hAnsiTheme="majorHAnsi"/>
          <w:sz w:val="22"/>
          <w:szCs w:val="22"/>
          <w:bdr w:val="none" w:sz="0" w:space="0" w:color="auto"/>
          <w:lang w:val="lt-LT" w:eastAsia="x-none"/>
        </w:rPr>
        <w:t xml:space="preserve">Tiekėjo deklaracija </w:t>
      </w:r>
      <w:r w:rsidRPr="003714C3">
        <w:rPr>
          <w:rFonts w:asciiTheme="majorHAnsi" w:eastAsia="Calibri" w:hAnsiTheme="majorHAnsi"/>
          <w:sz w:val="22"/>
          <w:szCs w:val="22"/>
          <w:bdr w:val="none" w:sz="0" w:space="0" w:color="auto"/>
          <w:lang w:val="lt-LT"/>
        </w:rPr>
        <w:t xml:space="preserve">dėl Tarybos Reglamente </w:t>
      </w:r>
      <w:r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w:t>
      </w:r>
      <w:r>
        <w:rPr>
          <w:rFonts w:asciiTheme="majorHAnsi" w:eastAsia="Calibri" w:hAnsiTheme="majorHAnsi"/>
          <w:sz w:val="22"/>
          <w:szCs w:val="22"/>
          <w:bdr w:val="none" w:sz="0" w:space="0" w:color="auto"/>
          <w:lang w:val="lt-LT"/>
        </w:rPr>
        <w:t>7</w:t>
      </w:r>
      <w:r w:rsidRPr="003714C3">
        <w:rPr>
          <w:rFonts w:asciiTheme="majorHAnsi" w:eastAsia="Calibri" w:hAnsiTheme="majorHAnsi"/>
          <w:sz w:val="22"/>
          <w:szCs w:val="22"/>
          <w:bdr w:val="none" w:sz="0" w:space="0" w:color="auto"/>
          <w:lang w:val="lt-LT"/>
        </w:rPr>
        <w:t xml:space="preserve"> priedas);</w:t>
      </w:r>
    </w:p>
    <w:p w:rsidR="000D6471" w:rsidRPr="003E632A" w:rsidRDefault="00A37717" w:rsidP="000D6471">
      <w:pPr>
        <w:keepNext/>
        <w:tabs>
          <w:tab w:val="left" w:pos="5174"/>
        </w:tabs>
        <w:ind w:right="140"/>
        <w:jc w:val="both"/>
        <w:outlineLvl w:val="0"/>
        <w:rPr>
          <w:rFonts w:asciiTheme="majorHAnsi" w:eastAsia="Calibri" w:hAnsiTheme="majorHAnsi"/>
          <w:sz w:val="22"/>
          <w:szCs w:val="22"/>
          <w:bdr w:val="none" w:sz="0" w:space="0" w:color="auto"/>
          <w:lang w:val="lt-LT"/>
        </w:rPr>
      </w:pPr>
      <w:r>
        <w:rPr>
          <w:rFonts w:asciiTheme="majorHAnsi" w:eastAsia="Calibri" w:hAnsiTheme="majorHAnsi"/>
          <w:sz w:val="22"/>
          <w:szCs w:val="22"/>
          <w:bdr w:val="none" w:sz="0" w:space="0" w:color="auto"/>
          <w:lang w:val="lt-LT"/>
        </w:rPr>
        <w:t>8</w:t>
      </w:r>
      <w:r w:rsidR="000D6471" w:rsidRPr="003E632A">
        <w:rPr>
          <w:rFonts w:asciiTheme="majorHAnsi" w:eastAsia="Calibri" w:hAnsiTheme="majorHAnsi"/>
          <w:sz w:val="22"/>
          <w:szCs w:val="22"/>
          <w:bdr w:val="none" w:sz="0" w:space="0" w:color="auto"/>
          <w:lang w:val="lt-LT"/>
        </w:rPr>
        <w:t>. Tiekėjo deklaracija dėl Nacionalinio saugumo reikalavimų atitikties (</w:t>
      </w:r>
      <w:r>
        <w:rPr>
          <w:rFonts w:asciiTheme="majorHAnsi" w:eastAsia="Calibri" w:hAnsiTheme="majorHAnsi"/>
          <w:sz w:val="22"/>
          <w:szCs w:val="22"/>
          <w:bdr w:val="none" w:sz="0" w:space="0" w:color="auto"/>
          <w:lang w:val="lt-LT"/>
        </w:rPr>
        <w:t>8</w:t>
      </w:r>
      <w:r w:rsidR="000D6471" w:rsidRPr="003E632A">
        <w:rPr>
          <w:rFonts w:asciiTheme="majorHAnsi" w:eastAsia="Calibri" w:hAnsiTheme="majorHAnsi"/>
          <w:sz w:val="22"/>
          <w:szCs w:val="22"/>
          <w:bdr w:val="none" w:sz="0" w:space="0" w:color="auto"/>
          <w:lang w:val="lt-LT"/>
        </w:rPr>
        <w:t xml:space="preserve"> priedas).</w:t>
      </w:r>
    </w:p>
    <w:p w:rsidR="000D6471" w:rsidRPr="007750CB" w:rsidRDefault="000D6471" w:rsidP="004D62AC">
      <w:pPr>
        <w:ind w:left="-907" w:firstLine="284"/>
        <w:rPr>
          <w:rFonts w:asciiTheme="majorHAnsi" w:hAnsiTheme="majorHAnsi"/>
          <w:sz w:val="22"/>
          <w:szCs w:val="22"/>
          <w:lang w:eastAsia="lt-LT"/>
        </w:rPr>
      </w:pP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D6471">
        <w:rPr>
          <w:rFonts w:asciiTheme="majorHAnsi" w:hAnsiTheme="majorHAnsi"/>
          <w:b/>
          <w:color w:val="1F497D" w:themeColor="text2"/>
          <w:sz w:val="22"/>
          <w:szCs w:val="22"/>
        </w:rPr>
        <w:t xml:space="preserve">holterio monitoravimo sistemą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AD7C62"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D6471">
        <w:rPr>
          <w:rFonts w:asciiTheme="majorHAnsi" w:hAnsiTheme="majorHAnsi"/>
          <w:b/>
          <w:color w:val="1F497D" w:themeColor="text2"/>
        </w:rPr>
        <w:t>holterio monitoravimo sistema</w:t>
      </w:r>
      <w:r w:rsidR="002E6EC5">
        <w:rPr>
          <w:rFonts w:asciiTheme="majorHAnsi" w:hAnsiTheme="majorHAnsi"/>
          <w:b/>
          <w:color w:val="1F497D" w:themeColor="text2"/>
        </w:rPr>
        <w:t>.</w:t>
      </w:r>
    </w:p>
    <w:p w:rsidR="00B96E33" w:rsidRPr="00AD7C62" w:rsidRDefault="00B96E33"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D7C62">
        <w:rPr>
          <w:rFonts w:ascii="Cambria" w:hAnsi="Cambria"/>
        </w:rPr>
        <w:t xml:space="preserve">Didžiausia priimtina pasiūlymo kaina – </w:t>
      </w:r>
      <w:r w:rsidR="000D6471">
        <w:rPr>
          <w:rFonts w:ascii="Cambria" w:hAnsi="Cambria"/>
          <w:b/>
        </w:rPr>
        <w:t>15.600,00</w:t>
      </w:r>
      <w:r w:rsidRPr="00AD7C62">
        <w:rPr>
          <w:rFonts w:ascii="Cambria" w:hAnsi="Cambria"/>
          <w:b/>
        </w:rPr>
        <w:t xml:space="preserve"> Eur (su PVM)</w:t>
      </w:r>
      <w:r w:rsidRPr="00AD7C62">
        <w:rPr>
          <w:rFonts w:ascii="Cambria" w:hAnsi="Cambria"/>
        </w:rPr>
        <w:t>, šią kainą viršijantys pasiūlymai bus atmesti.</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w:t>
      </w:r>
      <w:r w:rsidR="00015AC7">
        <w:rPr>
          <w:rFonts w:ascii="Cambria" w:hAnsi="Cambria"/>
          <w:szCs w:val="24"/>
        </w:rPr>
        <w:t xml:space="preserve">techninių charakteristikų </w:t>
      </w:r>
      <w:r w:rsidRPr="00CC150A">
        <w:rPr>
          <w:rFonts w:ascii="Cambria" w:hAnsi="Cambria"/>
          <w:szCs w:val="24"/>
        </w:rPr>
        <w:t>prekių CPO</w:t>
      </w:r>
      <w:r w:rsidR="00D566F1">
        <w:rPr>
          <w:rFonts w:ascii="Cambria" w:hAnsi="Cambria"/>
          <w:szCs w:val="24"/>
        </w:rPr>
        <w:t xml:space="preserve"> </w:t>
      </w:r>
      <w:r w:rsidRPr="00CC150A">
        <w:rPr>
          <w:rFonts w:ascii="Cambria" w:hAnsi="Cambria"/>
          <w:szCs w:val="24"/>
        </w:rPr>
        <w:t>LT kataloge nėra</w:t>
      </w:r>
      <w:r w:rsidR="00015AC7">
        <w:rPr>
          <w:rFonts w:ascii="Cambria" w:hAnsi="Cambria"/>
          <w:szCs w:val="24"/>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D6471">
        <w:rPr>
          <w:rFonts w:asciiTheme="majorHAnsi" w:hAnsiTheme="majorHAnsi"/>
          <w:i/>
          <w:color w:val="1F497D" w:themeColor="text2"/>
        </w:rPr>
        <w:t>holterio monitoravimo sistemos</w:t>
      </w:r>
      <w:r w:rsidR="002D711B">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D6471">
        <w:rPr>
          <w:rFonts w:asciiTheme="majorHAnsi" w:hAnsiTheme="majorHAnsi" w:cs="Calibri"/>
          <w:i/>
          <w:color w:val="1F497D" w:themeColor="text2"/>
          <w:shd w:val="clear" w:color="auto" w:fill="FFFFFF"/>
        </w:rPr>
        <w:t>3644756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2D711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 xml:space="preserve">Pasiūlymai vertinami pagal </w:t>
      </w:r>
      <w:r w:rsidRPr="002D711B">
        <w:rPr>
          <w:rFonts w:asciiTheme="majorHAnsi" w:hAnsiTheme="majorHAnsi" w:cstheme="minorHAnsi"/>
          <w:bCs/>
          <w:i/>
          <w:iCs/>
          <w:color w:val="auto"/>
        </w:rPr>
        <w:t>kainos ir kokybės santykį</w:t>
      </w:r>
      <w:r w:rsidRPr="002D711B">
        <w:rPr>
          <w:rFonts w:asciiTheme="majorHAnsi" w:hAnsiTheme="majorHAnsi"/>
          <w:i/>
          <w:color w:val="auto"/>
          <w:lang w:eastAsia="lt-LT"/>
        </w:rPr>
        <w:t>.</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804C87" w:rsidRDefault="009A78AE" w:rsidP="00244C11">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3033A9">
              <w:rPr>
                <w:rFonts w:asciiTheme="majorHAnsi" w:hAnsiTheme="majorHAnsi"/>
                <w:sz w:val="22"/>
                <w:szCs w:val="22"/>
                <w:lang w:eastAsia="lt-LT"/>
              </w:rPr>
              <w:lastRenderedPageBreak/>
              <w:t xml:space="preserve">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F2011"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3033A9">
              <w:rPr>
                <w:rFonts w:asciiTheme="majorHAnsi" w:hAnsiTheme="majorHAnsi"/>
                <w:sz w:val="22"/>
                <w:szCs w:val="22"/>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F2011"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F2011"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F2011"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9F2011"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25317F" w:rsidRPr="009C2EED" w:rsidRDefault="0025317F" w:rsidP="0025317F">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25317F" w:rsidRPr="003714C3" w:rsidRDefault="0025317F" w:rsidP="002531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w:t>
      </w:r>
      <w:r>
        <w:rPr>
          <w:rFonts w:asciiTheme="majorHAnsi" w:eastAsia="Times New Roman" w:hAnsiTheme="majorHAnsi" w:cs="Calibri"/>
          <w:color w:val="000000"/>
          <w:sz w:val="22"/>
          <w:szCs w:val="22"/>
          <w:bdr w:val="none" w:sz="0" w:space="0" w:color="auto"/>
          <w:lang w:val="lt-LT" w:eastAsia="lt-LT"/>
        </w:rPr>
        <w:t>7</w:t>
      </w:r>
      <w:r w:rsidRPr="003714C3">
        <w:rPr>
          <w:rFonts w:asciiTheme="majorHAnsi" w:eastAsia="Times New Roman" w:hAnsiTheme="majorHAnsi"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25317F" w:rsidRPr="003714C3" w:rsidRDefault="0025317F" w:rsidP="002531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25317F" w:rsidRPr="003714C3" w:rsidRDefault="0025317F" w:rsidP="002531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25317F" w:rsidRPr="0025317F" w:rsidRDefault="0025317F" w:rsidP="0025317F">
      <w:pPr>
        <w:ind w:firstLine="567"/>
        <w:contextualSpacing/>
        <w:jc w:val="both"/>
        <w:rPr>
          <w:rFonts w:ascii="Cambria" w:eastAsia="Calibri" w:hAnsi="Cambria"/>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(8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25317F">
        <w:rPr>
          <w:rFonts w:ascii="Cambria" w:eastAsia="Calibri" w:hAnsi="Cambria"/>
          <w:sz w:val="22"/>
          <w:szCs w:val="22"/>
          <w:lang w:eastAsia="lt-LT"/>
        </w:rPr>
        <w:t xml:space="preserve">39 straipsnio 3 dalyje </w:t>
      </w:r>
      <w:r w:rsidRPr="0025317F">
        <w:rPr>
          <w:rFonts w:ascii="Cambria" w:eastAsia="Calibri" w:hAnsi="Cambria"/>
          <w:color w:val="4F81BD" w:themeColor="accent1"/>
          <w:sz w:val="22"/>
          <w:szCs w:val="22"/>
          <w:lang w:eastAsia="lt-LT"/>
        </w:rPr>
        <w:t>(taikoma prekėms</w:t>
      </w:r>
      <w:r w:rsidRPr="0025317F">
        <w:rPr>
          <w:rFonts w:ascii="Cambria" w:hAnsi="Cambria"/>
          <w:color w:val="4F81BD" w:themeColor="accent1"/>
          <w:sz w:val="22"/>
          <w:szCs w:val="22"/>
        </w:rPr>
        <w:t>, kurių BVPŽ kodai 48180000-3 (</w:t>
      </w:r>
      <w:r w:rsidRPr="0025317F">
        <w:rPr>
          <w:rFonts w:ascii="Cambria" w:hAnsi="Cambria" w:cs="Arial"/>
          <w:color w:val="4F81BD" w:themeColor="accent1"/>
          <w:sz w:val="22"/>
          <w:szCs w:val="22"/>
          <w:shd w:val="clear" w:color="auto" w:fill="FFFFFF"/>
        </w:rPr>
        <w:t>Medicinos programinės įrangos paketai</w:t>
      </w:r>
      <w:r w:rsidRPr="0025317F">
        <w:rPr>
          <w:rFonts w:ascii="Cambria" w:eastAsia="Calibri" w:hAnsi="Cambria"/>
          <w:color w:val="4F81BD" w:themeColor="accent1"/>
          <w:sz w:val="22"/>
          <w:szCs w:val="22"/>
          <w:lang w:eastAsia="lt-LT"/>
        </w:rPr>
        <w:t>) ir 48218000-9 (</w:t>
      </w:r>
      <w:r w:rsidRPr="0025317F">
        <w:rPr>
          <w:rFonts w:ascii="Cambria" w:hAnsi="Cambria" w:cs="Arial"/>
          <w:color w:val="4F81BD" w:themeColor="accent1"/>
          <w:sz w:val="22"/>
          <w:szCs w:val="22"/>
          <w:shd w:val="clear" w:color="auto" w:fill="FFFFFF"/>
        </w:rPr>
        <w:t>Licencijų valdymo programinės įrangos paketai).</w:t>
      </w:r>
    </w:p>
    <w:p w:rsidR="0025317F" w:rsidRPr="00EA468A" w:rsidRDefault="0025317F" w:rsidP="0025317F">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25317F" w:rsidRPr="00EA468A" w:rsidRDefault="0025317F" w:rsidP="0025317F">
      <w:pPr>
        <w:ind w:firstLine="567"/>
        <w:jc w:val="both"/>
        <w:rPr>
          <w:rFonts w:ascii="Cambria" w:hAnsi="Cambria"/>
          <w:i/>
          <w:iCs/>
          <w:sz w:val="22"/>
          <w:szCs w:val="20"/>
        </w:rPr>
      </w:pPr>
      <w:r w:rsidRPr="00EA468A">
        <w:rPr>
          <w:rFonts w:ascii="Cambria" w:hAnsi="Cambria"/>
          <w:i/>
          <w:iCs/>
          <w:sz w:val="22"/>
          <w:szCs w:val="20"/>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F70CFA" w:rsidRPr="0025317F" w:rsidRDefault="0025317F" w:rsidP="00F70CFA">
      <w:pPr>
        <w:ind w:firstLine="567"/>
        <w:contextualSpacing/>
        <w:jc w:val="both"/>
        <w:rPr>
          <w:rFonts w:ascii="Cambria" w:eastAsia="Calibri" w:hAnsi="Cambria"/>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w:t>
      </w:r>
      <w:r w:rsidR="00F70CFA">
        <w:rPr>
          <w:rFonts w:ascii="Cambria" w:eastAsia="Calibri" w:hAnsi="Cambria"/>
          <w:sz w:val="22"/>
          <w:szCs w:val="20"/>
          <w:lang w:eastAsia="lt-LT"/>
        </w:rPr>
        <w:t>8</w:t>
      </w:r>
      <w:r>
        <w:rPr>
          <w:rFonts w:ascii="Cambria" w:eastAsia="Calibri" w:hAnsi="Cambria"/>
          <w:sz w:val="22"/>
          <w:szCs w:val="20"/>
          <w:lang w:eastAsia="lt-LT"/>
        </w:rPr>
        <w:t xml:space="preserve">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F70CFA" w:rsidRPr="0025317F">
        <w:rPr>
          <w:rFonts w:ascii="Cambria" w:eastAsia="Calibri" w:hAnsi="Cambria"/>
          <w:color w:val="4F81BD" w:themeColor="accent1"/>
          <w:sz w:val="22"/>
          <w:szCs w:val="22"/>
          <w:lang w:eastAsia="lt-LT"/>
        </w:rPr>
        <w:t>(taikoma prekėms</w:t>
      </w:r>
      <w:r w:rsidR="00F70CFA" w:rsidRPr="0025317F">
        <w:rPr>
          <w:rFonts w:ascii="Cambria" w:hAnsi="Cambria"/>
          <w:color w:val="4F81BD" w:themeColor="accent1"/>
          <w:sz w:val="22"/>
          <w:szCs w:val="22"/>
        </w:rPr>
        <w:t>, kurių BVPŽ kodai 48180000-3 (</w:t>
      </w:r>
      <w:r w:rsidR="00F70CFA" w:rsidRPr="0025317F">
        <w:rPr>
          <w:rFonts w:ascii="Cambria" w:hAnsi="Cambria" w:cs="Arial"/>
          <w:color w:val="4F81BD" w:themeColor="accent1"/>
          <w:sz w:val="22"/>
          <w:szCs w:val="22"/>
          <w:shd w:val="clear" w:color="auto" w:fill="FFFFFF"/>
        </w:rPr>
        <w:t>Medicinos programinės įrangos paketai</w:t>
      </w:r>
      <w:r w:rsidR="00F70CFA" w:rsidRPr="0025317F">
        <w:rPr>
          <w:rFonts w:ascii="Cambria" w:eastAsia="Calibri" w:hAnsi="Cambria"/>
          <w:color w:val="4F81BD" w:themeColor="accent1"/>
          <w:sz w:val="22"/>
          <w:szCs w:val="22"/>
          <w:lang w:eastAsia="lt-LT"/>
        </w:rPr>
        <w:t>) ir 48218000-9 (</w:t>
      </w:r>
      <w:r w:rsidR="00F70CFA" w:rsidRPr="0025317F">
        <w:rPr>
          <w:rFonts w:ascii="Cambria" w:hAnsi="Cambria" w:cs="Arial"/>
          <w:color w:val="4F81BD" w:themeColor="accent1"/>
          <w:sz w:val="22"/>
          <w:szCs w:val="22"/>
          <w:shd w:val="clear" w:color="auto" w:fill="FFFFFF"/>
        </w:rPr>
        <w:t>Licencijų valdymo programinės įrangos paketai).</w:t>
      </w:r>
    </w:p>
    <w:p w:rsidR="0025317F" w:rsidRPr="00EA468A" w:rsidRDefault="0025317F" w:rsidP="00F70CFA">
      <w:pPr>
        <w:ind w:firstLine="567"/>
        <w:contextualSpacing/>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25317F" w:rsidRPr="00EA468A" w:rsidRDefault="0025317F" w:rsidP="0025317F">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5317F" w:rsidRPr="007750CB" w:rsidRDefault="0025317F"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w:t>
      </w:r>
      <w:r w:rsidRPr="007750CB">
        <w:rPr>
          <w:rFonts w:asciiTheme="majorHAnsi" w:hAnsiTheme="majorHAnsi" w:cs="Times New Roman"/>
        </w:rPr>
        <w:lastRenderedPageBreak/>
        <w:t xml:space="preserve">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601BC9">
        <w:rPr>
          <w:rFonts w:asciiTheme="majorHAnsi" w:hAnsiTheme="majorHAnsi" w:cs="Times New Roman"/>
          <w:color w:val="auto"/>
        </w:rPr>
        <w:t xml:space="preserve">5.4. </w:t>
      </w:r>
      <w:r w:rsidRPr="00601BC9">
        <w:rPr>
          <w:rFonts w:asciiTheme="majorHAnsi" w:hAnsiTheme="majorHAnsi" w:cs="Times New Roman"/>
          <w:iCs/>
          <w:color w:val="auto"/>
        </w:rPr>
        <w:t xml:space="preserve">Pasiūlymas turi būti pateiktas iki </w:t>
      </w:r>
      <w:r w:rsidR="00ED05BF" w:rsidRPr="00601BC9">
        <w:rPr>
          <w:rFonts w:asciiTheme="majorHAnsi" w:hAnsiTheme="majorHAnsi" w:cs="Times New Roman"/>
          <w:b/>
          <w:iCs/>
          <w:color w:val="548DD4" w:themeColor="text2" w:themeTint="99"/>
        </w:rPr>
        <w:t>2025 m</w:t>
      </w:r>
      <w:r w:rsidR="00244C11" w:rsidRPr="00601BC9">
        <w:rPr>
          <w:rFonts w:asciiTheme="majorHAnsi" w:hAnsiTheme="majorHAnsi" w:cs="Times New Roman"/>
          <w:b/>
          <w:iCs/>
          <w:color w:val="548DD4" w:themeColor="text2" w:themeTint="99"/>
        </w:rPr>
        <w:t xml:space="preserve">. </w:t>
      </w:r>
      <w:r w:rsidR="004D0A9A" w:rsidRPr="00601BC9">
        <w:rPr>
          <w:rFonts w:asciiTheme="majorHAnsi" w:hAnsiTheme="majorHAnsi" w:cs="Times New Roman"/>
          <w:b/>
          <w:iCs/>
          <w:color w:val="548DD4" w:themeColor="text2" w:themeTint="99"/>
        </w:rPr>
        <w:t>gruodžio</w:t>
      </w:r>
      <w:r w:rsidR="00F064F2" w:rsidRPr="00601BC9">
        <w:rPr>
          <w:rFonts w:asciiTheme="majorHAnsi" w:hAnsiTheme="majorHAnsi" w:cs="Times New Roman"/>
          <w:b/>
          <w:iCs/>
          <w:color w:val="548DD4" w:themeColor="text2" w:themeTint="99"/>
        </w:rPr>
        <w:t xml:space="preserve"> </w:t>
      </w:r>
      <w:r w:rsidR="00601BC9" w:rsidRPr="00601BC9">
        <w:rPr>
          <w:rFonts w:asciiTheme="majorHAnsi" w:hAnsiTheme="majorHAnsi" w:cs="Times New Roman"/>
          <w:b/>
          <w:iCs/>
          <w:color w:val="548DD4" w:themeColor="text2" w:themeTint="99"/>
        </w:rPr>
        <w:t xml:space="preserve">8 </w:t>
      </w:r>
      <w:r w:rsidR="00366696" w:rsidRPr="00601BC9">
        <w:rPr>
          <w:rFonts w:asciiTheme="majorHAnsi" w:hAnsiTheme="majorHAnsi" w:cs="Times New Roman"/>
          <w:b/>
          <w:iCs/>
          <w:color w:val="548DD4" w:themeColor="text2" w:themeTint="99"/>
        </w:rPr>
        <w:t>d. 0</w:t>
      </w:r>
      <w:r w:rsidR="0086485E" w:rsidRPr="00601BC9">
        <w:rPr>
          <w:rFonts w:asciiTheme="majorHAnsi" w:hAnsiTheme="majorHAnsi" w:cs="Times New Roman"/>
          <w:b/>
          <w:iCs/>
          <w:color w:val="548DD4" w:themeColor="text2" w:themeTint="99"/>
        </w:rPr>
        <w:t>8</w:t>
      </w:r>
      <w:r w:rsidRPr="00601BC9">
        <w:rPr>
          <w:rFonts w:asciiTheme="majorHAnsi" w:hAnsiTheme="majorHAnsi" w:cs="Times New Roman"/>
          <w:b/>
          <w:iCs/>
          <w:color w:val="548DD4" w:themeColor="text2" w:themeTint="99"/>
        </w:rPr>
        <w:t xml:space="preserve"> val. </w:t>
      </w:r>
      <w:r w:rsidR="00286455" w:rsidRPr="00601BC9">
        <w:rPr>
          <w:rFonts w:asciiTheme="majorHAnsi" w:hAnsiTheme="majorHAnsi" w:cs="Times New Roman"/>
          <w:b/>
          <w:iCs/>
          <w:color w:val="548DD4" w:themeColor="text2" w:themeTint="99"/>
        </w:rPr>
        <w:t>00</w:t>
      </w:r>
      <w:r w:rsidRPr="00601BC9">
        <w:rPr>
          <w:rFonts w:asciiTheme="majorHAnsi" w:hAnsiTheme="majorHAnsi" w:cs="Times New Roman"/>
          <w:b/>
          <w:iCs/>
          <w:color w:val="548DD4" w:themeColor="text2" w:themeTint="99"/>
        </w:rPr>
        <w:t xml:space="preserve"> min.</w:t>
      </w:r>
      <w:r w:rsidRPr="00601BC9">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601BC9">
        <w:rPr>
          <w:rFonts w:asciiTheme="majorHAnsi" w:hAnsiTheme="majorHAnsi" w:cs="Times New Roman"/>
          <w:lang w:val="it-IT"/>
        </w:rPr>
        <w:t xml:space="preserve">trumpiau </w:t>
      </w:r>
      <w:r w:rsidRPr="00601BC9">
        <w:rPr>
          <w:rFonts w:asciiTheme="majorHAnsi" w:hAnsiTheme="majorHAnsi" w:cs="Times New Roman"/>
          <w:lang w:val="lt-LT"/>
        </w:rPr>
        <w:t xml:space="preserve">kaip iki </w:t>
      </w:r>
      <w:r w:rsidR="007B7CB6" w:rsidRPr="00601BC9">
        <w:rPr>
          <w:rFonts w:asciiTheme="majorHAnsi" w:hAnsiTheme="majorHAnsi" w:cs="Times New Roman"/>
          <w:b/>
          <w:color w:val="548DD4" w:themeColor="text2" w:themeTint="99"/>
          <w:lang w:val="lt-LT"/>
        </w:rPr>
        <w:t>202</w:t>
      </w:r>
      <w:r w:rsidR="00B611A0" w:rsidRPr="00601BC9">
        <w:rPr>
          <w:rFonts w:asciiTheme="majorHAnsi" w:hAnsiTheme="majorHAnsi" w:cs="Times New Roman"/>
          <w:b/>
          <w:color w:val="548DD4" w:themeColor="text2" w:themeTint="99"/>
          <w:lang w:val="lt-LT"/>
        </w:rPr>
        <w:t>6-0</w:t>
      </w:r>
      <w:r w:rsidR="004D0A9A" w:rsidRPr="00601BC9">
        <w:rPr>
          <w:rFonts w:asciiTheme="majorHAnsi" w:hAnsiTheme="majorHAnsi" w:cs="Times New Roman"/>
          <w:b/>
          <w:color w:val="548DD4" w:themeColor="text2" w:themeTint="99"/>
          <w:lang w:val="lt-LT"/>
        </w:rPr>
        <w:t>4-</w:t>
      </w:r>
      <w:r w:rsidR="00601BC9" w:rsidRPr="00601BC9">
        <w:rPr>
          <w:rFonts w:asciiTheme="majorHAnsi" w:hAnsiTheme="majorHAnsi" w:cs="Times New Roman"/>
          <w:b/>
          <w:color w:val="548DD4" w:themeColor="text2" w:themeTint="99"/>
          <w:lang w:val="lt-LT"/>
        </w:rPr>
        <w:t>08</w:t>
      </w:r>
      <w:r w:rsidR="00B36E1F" w:rsidRPr="00601BC9">
        <w:rPr>
          <w:rFonts w:asciiTheme="majorHAnsi" w:hAnsiTheme="majorHAnsi" w:cs="Times New Roman"/>
          <w:b/>
          <w:color w:val="548DD4" w:themeColor="text2" w:themeTint="99"/>
          <w:lang w:val="lt-LT"/>
        </w:rPr>
        <w:t>.</w:t>
      </w:r>
      <w:r w:rsidRPr="00601BC9">
        <w:rPr>
          <w:rFonts w:asciiTheme="majorHAnsi" w:hAnsiTheme="majorHAnsi" w:cs="Times New Roman"/>
          <w:lang w:val="pt-PT"/>
        </w:rPr>
        <w:t xml:space="preserve"> Jeigu pasi</w:t>
      </w:r>
      <w:r w:rsidRPr="00601BC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lastRenderedPageBreak/>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5B6A10" w:rsidRPr="005B6A10">
        <w:rPr>
          <w:rFonts w:asciiTheme="majorHAnsi" w:eastAsia="Times New Roman" w:hAnsiTheme="majorHAnsi"/>
          <w:b/>
          <w:bCs/>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5B6A10">
        <w:rPr>
          <w:rFonts w:asciiTheme="majorHAnsi" w:hAnsiTheme="majorHAnsi"/>
          <w:b/>
          <w:sz w:val="22"/>
          <w:szCs w:val="22"/>
        </w:rPr>
        <w:t>)</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44C11" w:rsidRPr="00D05B06" w:rsidRDefault="00244C11" w:rsidP="00244C1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44C11" w:rsidRPr="00D05B06" w:rsidRDefault="00244C11" w:rsidP="00244C1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601BC9">
        <w:rPr>
          <w:rFonts w:asciiTheme="majorHAnsi" w:hAnsiTheme="majorHAnsi"/>
          <w:sz w:val="22"/>
          <w:szCs w:val="22"/>
        </w:rPr>
        <w:t>ligoninėje Kauno klinikos</w:t>
      </w:r>
      <w:r w:rsidR="00C77BDE" w:rsidRPr="00601BC9">
        <w:rPr>
          <w:rFonts w:asciiTheme="majorHAnsi" w:hAnsiTheme="majorHAnsi"/>
          <w:sz w:val="22"/>
          <w:szCs w:val="22"/>
        </w:rPr>
        <w:t>e</w:t>
      </w:r>
      <w:r w:rsidRPr="00601BC9">
        <w:rPr>
          <w:rFonts w:asciiTheme="majorHAnsi" w:hAnsiTheme="majorHAnsi"/>
          <w:sz w:val="22"/>
          <w:szCs w:val="22"/>
        </w:rPr>
        <w:t xml:space="preserve">, </w:t>
      </w:r>
      <w:r w:rsidR="00C77BDE" w:rsidRPr="00601BC9">
        <w:rPr>
          <w:rFonts w:asciiTheme="majorHAnsi" w:hAnsiTheme="majorHAnsi"/>
          <w:sz w:val="22"/>
          <w:szCs w:val="22"/>
        </w:rPr>
        <w:t xml:space="preserve">adresu </w:t>
      </w:r>
      <w:r w:rsidRPr="00601BC9">
        <w:rPr>
          <w:rFonts w:asciiTheme="majorHAnsi" w:hAnsiTheme="majorHAnsi"/>
          <w:sz w:val="22"/>
          <w:szCs w:val="22"/>
        </w:rPr>
        <w:t xml:space="preserve">Eivenių g. 2, LT-50161 Kaunas, Viešųjų pirkimų </w:t>
      </w:r>
      <w:proofErr w:type="gramStart"/>
      <w:r w:rsidR="00C77BDE" w:rsidRPr="00601BC9">
        <w:rPr>
          <w:rFonts w:asciiTheme="majorHAnsi" w:hAnsiTheme="majorHAnsi"/>
          <w:sz w:val="22"/>
          <w:szCs w:val="22"/>
        </w:rPr>
        <w:t>tarnyboje</w:t>
      </w:r>
      <w:r w:rsidRPr="00601BC9">
        <w:rPr>
          <w:rFonts w:asciiTheme="majorHAnsi" w:hAnsiTheme="majorHAnsi"/>
          <w:sz w:val="22"/>
          <w:szCs w:val="22"/>
        </w:rPr>
        <w:t>,</w:t>
      </w:r>
      <w:r w:rsidR="00C77BDE" w:rsidRPr="00601BC9">
        <w:rPr>
          <w:rFonts w:asciiTheme="majorHAnsi" w:hAnsiTheme="majorHAnsi"/>
          <w:sz w:val="22"/>
          <w:szCs w:val="22"/>
        </w:rPr>
        <w:t xml:space="preserve">   </w:t>
      </w:r>
      <w:proofErr w:type="gramEnd"/>
      <w:r w:rsidR="00C77BDE" w:rsidRPr="00601BC9">
        <w:rPr>
          <w:rFonts w:asciiTheme="majorHAnsi" w:hAnsiTheme="majorHAnsi"/>
          <w:sz w:val="22"/>
          <w:szCs w:val="22"/>
        </w:rPr>
        <w:t xml:space="preserve">                                           </w:t>
      </w:r>
      <w:r w:rsidR="00AF7788" w:rsidRPr="00601BC9">
        <w:rPr>
          <w:rFonts w:asciiTheme="majorHAnsi" w:hAnsiTheme="majorHAnsi"/>
          <w:b/>
          <w:iCs/>
          <w:color w:val="548DD4" w:themeColor="text2" w:themeTint="99"/>
          <w:sz w:val="22"/>
          <w:szCs w:val="22"/>
        </w:rPr>
        <w:t xml:space="preserve">2025 m. </w:t>
      </w:r>
      <w:r w:rsidR="00796843" w:rsidRPr="00601BC9">
        <w:rPr>
          <w:rFonts w:asciiTheme="majorHAnsi" w:hAnsiTheme="majorHAnsi"/>
          <w:b/>
          <w:iCs/>
          <w:color w:val="548DD4" w:themeColor="text2" w:themeTint="99"/>
          <w:sz w:val="22"/>
          <w:szCs w:val="22"/>
        </w:rPr>
        <w:t xml:space="preserve">gruodžio </w:t>
      </w:r>
      <w:r w:rsidR="00601BC9" w:rsidRPr="00601BC9">
        <w:rPr>
          <w:rFonts w:asciiTheme="majorHAnsi" w:hAnsiTheme="majorHAnsi"/>
          <w:b/>
          <w:iCs/>
          <w:color w:val="548DD4" w:themeColor="text2" w:themeTint="99"/>
          <w:sz w:val="22"/>
          <w:szCs w:val="22"/>
        </w:rPr>
        <w:t>8</w:t>
      </w:r>
      <w:r w:rsidR="00366696" w:rsidRPr="00601BC9">
        <w:rPr>
          <w:rFonts w:asciiTheme="majorHAnsi" w:hAnsiTheme="majorHAnsi"/>
          <w:b/>
          <w:iCs/>
          <w:color w:val="548DD4" w:themeColor="text2" w:themeTint="99"/>
          <w:sz w:val="22"/>
          <w:szCs w:val="22"/>
        </w:rPr>
        <w:t xml:space="preserve"> d. 0</w:t>
      </w:r>
      <w:r w:rsidR="0086485E" w:rsidRPr="00601BC9">
        <w:rPr>
          <w:rFonts w:asciiTheme="majorHAnsi" w:hAnsiTheme="majorHAnsi"/>
          <w:b/>
          <w:iCs/>
          <w:color w:val="548DD4" w:themeColor="text2" w:themeTint="99"/>
          <w:sz w:val="22"/>
          <w:szCs w:val="22"/>
        </w:rPr>
        <w:t>8</w:t>
      </w:r>
      <w:r w:rsidR="00AF7788" w:rsidRPr="00601BC9">
        <w:rPr>
          <w:rFonts w:asciiTheme="majorHAnsi" w:hAnsiTheme="majorHAnsi"/>
          <w:b/>
          <w:iCs/>
          <w:color w:val="548DD4" w:themeColor="text2" w:themeTint="99"/>
          <w:sz w:val="22"/>
          <w:szCs w:val="22"/>
        </w:rPr>
        <w:t xml:space="preserve"> val. </w:t>
      </w:r>
      <w:r w:rsidR="00286455" w:rsidRPr="00601BC9">
        <w:rPr>
          <w:rFonts w:asciiTheme="majorHAnsi" w:hAnsiTheme="majorHAnsi"/>
          <w:b/>
          <w:iCs/>
          <w:color w:val="548DD4" w:themeColor="text2" w:themeTint="99"/>
          <w:sz w:val="22"/>
          <w:szCs w:val="22"/>
        </w:rPr>
        <w:t>30</w:t>
      </w:r>
      <w:r w:rsidR="00AF7788" w:rsidRPr="00601BC9">
        <w:rPr>
          <w:rFonts w:asciiTheme="majorHAnsi" w:hAnsiTheme="majorHAnsi"/>
          <w:b/>
          <w:iCs/>
          <w:color w:val="548DD4" w:themeColor="text2" w:themeTint="99"/>
          <w:sz w:val="22"/>
          <w:szCs w:val="22"/>
        </w:rPr>
        <w:t xml:space="preserve"> min</w:t>
      </w:r>
      <w:r w:rsidR="00AF7788" w:rsidRPr="00601BC9">
        <w:rPr>
          <w:rFonts w:asciiTheme="majorHAnsi" w:hAnsiTheme="majorHAnsi"/>
          <w:b/>
          <w:iCs/>
          <w:sz w:val="22"/>
          <w:szCs w:val="22"/>
        </w:rPr>
        <w:t>.</w:t>
      </w:r>
      <w:r w:rsidR="00AF7788" w:rsidRPr="00601BC9">
        <w:rPr>
          <w:rFonts w:asciiTheme="majorHAnsi" w:hAnsiTheme="majorHAnsi"/>
          <w:iCs/>
          <w:sz w:val="22"/>
          <w:szCs w:val="22"/>
        </w:rPr>
        <w:t xml:space="preserve"> </w:t>
      </w:r>
      <w:r w:rsidR="00AF7788" w:rsidRPr="00601BC9">
        <w:rPr>
          <w:rFonts w:asciiTheme="majorHAnsi" w:hAnsiTheme="majorHAnsi"/>
          <w:iCs/>
          <w:sz w:val="22"/>
          <w:szCs w:val="22"/>
          <w:u w:val="single"/>
        </w:rPr>
        <w:t xml:space="preserve">Jei pasiūlymas teikiamas šifruotas, slaptažodis turi būti pateiktas </w:t>
      </w:r>
      <w:r w:rsidR="00AF7788" w:rsidRPr="00601BC9">
        <w:rPr>
          <w:rFonts w:asciiTheme="majorHAnsi" w:hAnsiTheme="majorHAnsi"/>
          <w:b/>
          <w:iCs/>
          <w:color w:val="548DD4" w:themeColor="text2" w:themeTint="99"/>
          <w:sz w:val="22"/>
          <w:szCs w:val="22"/>
          <w:u w:val="single"/>
        </w:rPr>
        <w:t xml:space="preserve">2025 m. </w:t>
      </w:r>
      <w:r w:rsidR="00796843" w:rsidRPr="00601BC9">
        <w:rPr>
          <w:rFonts w:asciiTheme="majorHAnsi" w:hAnsiTheme="majorHAnsi"/>
          <w:b/>
          <w:iCs/>
          <w:color w:val="548DD4" w:themeColor="text2" w:themeTint="99"/>
          <w:sz w:val="22"/>
          <w:szCs w:val="22"/>
          <w:u w:val="single"/>
        </w:rPr>
        <w:t>gruodžio</w:t>
      </w:r>
      <w:r w:rsidR="00601BC9" w:rsidRPr="00601BC9">
        <w:rPr>
          <w:rFonts w:asciiTheme="majorHAnsi" w:hAnsiTheme="majorHAnsi"/>
          <w:b/>
          <w:iCs/>
          <w:color w:val="548DD4" w:themeColor="text2" w:themeTint="99"/>
          <w:sz w:val="22"/>
          <w:szCs w:val="22"/>
          <w:u w:val="single"/>
        </w:rPr>
        <w:t xml:space="preserve"> 8</w:t>
      </w:r>
      <w:r w:rsidR="00AF7788" w:rsidRPr="00601BC9">
        <w:rPr>
          <w:rFonts w:asciiTheme="majorHAnsi" w:hAnsiTheme="majorHAnsi"/>
          <w:b/>
          <w:iCs/>
          <w:color w:val="548DD4" w:themeColor="text2" w:themeTint="99"/>
          <w:sz w:val="22"/>
          <w:szCs w:val="22"/>
          <w:u w:val="single"/>
        </w:rPr>
        <w:t xml:space="preserve"> d.</w:t>
      </w:r>
      <w:r w:rsidR="00AF7788" w:rsidRPr="00601BC9">
        <w:rPr>
          <w:rFonts w:asciiTheme="majorHAnsi" w:hAnsiTheme="majorHAnsi"/>
          <w:iCs/>
          <w:color w:val="548DD4" w:themeColor="text2" w:themeTint="99"/>
          <w:sz w:val="22"/>
          <w:szCs w:val="22"/>
          <w:u w:val="single"/>
        </w:rPr>
        <w:t xml:space="preserve"> intervale </w:t>
      </w:r>
      <w:r w:rsidR="0053650B" w:rsidRPr="00601BC9">
        <w:rPr>
          <w:rFonts w:asciiTheme="majorHAnsi" w:hAnsiTheme="majorHAnsi"/>
          <w:b/>
          <w:iCs/>
          <w:color w:val="548DD4" w:themeColor="text2" w:themeTint="99"/>
          <w:sz w:val="22"/>
          <w:szCs w:val="22"/>
          <w:u w:val="single"/>
        </w:rPr>
        <w:t>0</w:t>
      </w:r>
      <w:r w:rsidR="0086485E" w:rsidRPr="00601BC9">
        <w:rPr>
          <w:rFonts w:asciiTheme="majorHAnsi" w:hAnsiTheme="majorHAnsi"/>
          <w:b/>
          <w:iCs/>
          <w:color w:val="548DD4" w:themeColor="text2" w:themeTint="99"/>
          <w:sz w:val="22"/>
          <w:szCs w:val="22"/>
          <w:u w:val="single"/>
        </w:rPr>
        <w:t>8</w:t>
      </w:r>
      <w:r w:rsidR="00366696" w:rsidRPr="00601BC9">
        <w:rPr>
          <w:rFonts w:asciiTheme="majorHAnsi" w:hAnsiTheme="majorHAnsi"/>
          <w:b/>
          <w:iCs/>
          <w:color w:val="548DD4" w:themeColor="text2" w:themeTint="99"/>
          <w:sz w:val="22"/>
          <w:szCs w:val="22"/>
          <w:u w:val="single"/>
        </w:rPr>
        <w:t>.</w:t>
      </w:r>
      <w:r w:rsidR="00286455" w:rsidRPr="00601BC9">
        <w:rPr>
          <w:rFonts w:asciiTheme="majorHAnsi" w:hAnsiTheme="majorHAnsi"/>
          <w:b/>
          <w:iCs/>
          <w:color w:val="548DD4" w:themeColor="text2" w:themeTint="99"/>
          <w:sz w:val="22"/>
          <w:szCs w:val="22"/>
          <w:u w:val="single"/>
        </w:rPr>
        <w:t>00</w:t>
      </w:r>
      <w:r w:rsidR="00366696" w:rsidRPr="00601BC9">
        <w:rPr>
          <w:rFonts w:asciiTheme="majorHAnsi" w:hAnsiTheme="majorHAnsi"/>
          <w:b/>
          <w:iCs/>
          <w:color w:val="548DD4" w:themeColor="text2" w:themeTint="99"/>
          <w:sz w:val="22"/>
          <w:szCs w:val="22"/>
          <w:u w:val="single"/>
        </w:rPr>
        <w:t xml:space="preserve"> – 0</w:t>
      </w:r>
      <w:r w:rsidR="0086485E" w:rsidRPr="00601BC9">
        <w:rPr>
          <w:rFonts w:asciiTheme="majorHAnsi" w:hAnsiTheme="majorHAnsi"/>
          <w:b/>
          <w:iCs/>
          <w:color w:val="548DD4" w:themeColor="text2" w:themeTint="99"/>
          <w:sz w:val="22"/>
          <w:szCs w:val="22"/>
          <w:u w:val="single"/>
        </w:rPr>
        <w:t>8</w:t>
      </w:r>
      <w:r w:rsidR="00AF7788" w:rsidRPr="00601BC9">
        <w:rPr>
          <w:rFonts w:asciiTheme="majorHAnsi" w:hAnsiTheme="majorHAnsi"/>
          <w:b/>
          <w:iCs/>
          <w:color w:val="548DD4" w:themeColor="text2" w:themeTint="99"/>
          <w:sz w:val="22"/>
          <w:szCs w:val="22"/>
          <w:u w:val="single"/>
        </w:rPr>
        <w:t>.</w:t>
      </w:r>
      <w:r w:rsidR="00286455" w:rsidRPr="00601BC9">
        <w:rPr>
          <w:rFonts w:asciiTheme="majorHAnsi" w:hAnsiTheme="majorHAnsi"/>
          <w:b/>
          <w:iCs/>
          <w:color w:val="548DD4" w:themeColor="text2" w:themeTint="99"/>
          <w:sz w:val="22"/>
          <w:szCs w:val="22"/>
          <w:u w:val="single"/>
        </w:rPr>
        <w:t>30</w:t>
      </w:r>
      <w:r w:rsidR="00AF7788" w:rsidRPr="00601BC9">
        <w:rPr>
          <w:rFonts w:asciiTheme="majorHAnsi" w:hAnsiTheme="majorHAnsi"/>
          <w:b/>
          <w:iCs/>
          <w:color w:val="548DD4" w:themeColor="text2" w:themeTint="99"/>
          <w:sz w:val="22"/>
          <w:szCs w:val="22"/>
          <w:u w:val="single"/>
        </w:rPr>
        <w:t xml:space="preserve"> val.</w:t>
      </w:r>
      <w:r w:rsidR="00AF7788" w:rsidRPr="00601BC9">
        <w:rPr>
          <w:rFonts w:asciiTheme="majorHAnsi" w:hAnsiTheme="majorHAnsi"/>
          <w:iCs/>
          <w:color w:val="548DD4" w:themeColor="text2" w:themeTint="99"/>
          <w:sz w:val="22"/>
          <w:szCs w:val="22"/>
          <w:u w:val="single"/>
        </w:rPr>
        <w:t xml:space="preserve"> </w:t>
      </w:r>
      <w:r w:rsidR="00AF7788" w:rsidRPr="00601BC9">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Default="00043BC5" w:rsidP="00043BC5">
      <w:pPr>
        <w:pStyle w:val="Body2"/>
        <w:spacing w:after="0"/>
        <w:rPr>
          <w:rFonts w:asciiTheme="majorHAnsi" w:hAnsiTheme="majorHAnsi" w:cs="Times New Roman"/>
          <w:color w:val="auto"/>
          <w:lang w:val="es-ES_tradnl"/>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 xml:space="preserve">nurodytus kvalifikacijos reikalavimus (jeigu </w:t>
      </w:r>
      <w:r w:rsidRPr="007750CB">
        <w:rPr>
          <w:rFonts w:asciiTheme="majorHAnsi" w:hAnsiTheme="majorHAnsi" w:cs="Times New Roman"/>
          <w:color w:val="auto"/>
        </w:rPr>
        <w:lastRenderedPageBreak/>
        <w:t>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796843" w:rsidRPr="007750CB" w:rsidRDefault="00796843" w:rsidP="00796843">
      <w:pPr>
        <w:pStyle w:val="Body2"/>
        <w:spacing w:after="0"/>
        <w:ind w:firstLine="1276"/>
        <w:rPr>
          <w:rFonts w:asciiTheme="majorHAnsi" w:hAnsiTheme="majorHAnsi" w:cs="Times New Roman"/>
        </w:rPr>
      </w:pPr>
      <w:r w:rsidRPr="00143DD6">
        <w:rPr>
          <w:rFonts w:ascii="Cambria" w:hAnsi="Cambria"/>
          <w:lang w:val="es-ES_tradnl" w:eastAsia="lt-LT"/>
        </w:rPr>
        <w:t>11.1.7.</w:t>
      </w:r>
      <w:r w:rsidRPr="00143DD6">
        <w:rPr>
          <w:rFonts w:ascii="Cambria" w:hAnsi="Cambria"/>
          <w:lang w:val="it-IT" w:eastAsia="lt-LT"/>
        </w:rPr>
        <w:t xml:space="preserve"> Perkančioji organizacija iš ekonomiškai naudingiausią pasiūlymą pateikusio tiekėjo reikalaus pateikti vieną (esant poreikiui – kelis) VPĮ 39 straipsnio 3 dalyje </w:t>
      </w:r>
      <w:r>
        <w:rPr>
          <w:rFonts w:ascii="Cambria" w:hAnsi="Cambria"/>
          <w:lang w:val="it-IT" w:eastAsia="lt-LT"/>
        </w:rPr>
        <w:t xml:space="preserve">ir </w:t>
      </w:r>
      <w:r w:rsidRPr="00EA468A">
        <w:rPr>
          <w:rFonts w:ascii="Cambria" w:hAnsi="Cambria"/>
          <w:lang w:eastAsia="lt-LT"/>
        </w:rPr>
        <w:t xml:space="preserve">51 straipsnio 12 dalyje </w:t>
      </w:r>
      <w:r w:rsidRPr="00143DD6">
        <w:rPr>
          <w:rFonts w:ascii="Cambria" w:hAnsi="Cambria"/>
          <w:lang w:val="it-IT" w:eastAsia="lt-LT"/>
        </w:rPr>
        <w:t>numatytą dokumentą. Perkančioji organizacija bet kuriuo pirkimo procedūros metu turi teisę pareikalauti dalyvių pateikti visus ar dalį dokumentų, nurodytų VPĮ 39 straipsnio 3 dalyje</w:t>
      </w:r>
      <w:r>
        <w:rPr>
          <w:rFonts w:ascii="Cambria" w:hAnsi="Cambria"/>
          <w:lang w:val="it-IT" w:eastAsia="lt-LT"/>
        </w:rPr>
        <w:t xml:space="preserve"> ir </w:t>
      </w:r>
      <w:r w:rsidRPr="00EA468A">
        <w:rPr>
          <w:rFonts w:ascii="Cambria" w:hAnsi="Cambria"/>
          <w:lang w:eastAsia="lt-LT"/>
        </w:rPr>
        <w:t>51 straipsnio 12 dalyje</w:t>
      </w:r>
      <w:r>
        <w:rPr>
          <w:rFonts w:ascii="Cambria" w:hAnsi="Cambria"/>
          <w:lang w:val="it-IT" w:eastAsia="lt-LT"/>
        </w:rPr>
        <w:t xml:space="preserve"> (jei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796843" w:rsidRPr="00DC593B" w:rsidRDefault="00796843" w:rsidP="00796843">
      <w:pPr>
        <w:suppressAutoHyphens/>
        <w:ind w:firstLine="1276"/>
        <w:jc w:val="both"/>
        <w:rPr>
          <w:rFonts w:ascii="Cambria" w:hAnsi="Cambria"/>
          <w:sz w:val="22"/>
          <w:szCs w:val="22"/>
        </w:rPr>
      </w:pPr>
      <w:r w:rsidRPr="00143DD6">
        <w:rPr>
          <w:rFonts w:ascii="Cambria" w:hAnsi="Cambria"/>
          <w:color w:val="000000"/>
          <w:sz w:val="22"/>
          <w:szCs w:val="22"/>
          <w:lang w:eastAsia="lt-LT"/>
        </w:rPr>
        <w:t>13.1.</w:t>
      </w:r>
      <w:r>
        <w:rPr>
          <w:rFonts w:ascii="Cambria" w:hAnsi="Cambria"/>
          <w:color w:val="000000"/>
          <w:sz w:val="22"/>
          <w:szCs w:val="22"/>
          <w:lang w:eastAsia="lt-LT"/>
        </w:rPr>
        <w:t>6</w:t>
      </w:r>
      <w:r w:rsidRPr="00143DD6">
        <w:rPr>
          <w:rFonts w:ascii="Cambria" w:hAnsi="Cambria"/>
          <w:color w:val="000000"/>
          <w:sz w:val="22"/>
          <w:szCs w:val="22"/>
          <w:lang w:eastAsia="lt-LT"/>
        </w:rPr>
        <w:t>.</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796843" w:rsidRPr="000C520E" w:rsidRDefault="00796843" w:rsidP="0079684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w:t>
      </w:r>
      <w:r>
        <w:rPr>
          <w:rFonts w:ascii="Cambria" w:hAnsi="Cambria"/>
          <w:color w:val="000000"/>
          <w:sz w:val="22"/>
          <w:szCs w:val="22"/>
          <w:lang w:eastAsia="lt-LT"/>
        </w:rPr>
        <w:t>7</w:t>
      </w:r>
      <w:r w:rsidRPr="00DC593B">
        <w:rPr>
          <w:rFonts w:ascii="Cambria" w:hAnsi="Cambria"/>
          <w:color w:val="000000"/>
          <w:sz w:val="22"/>
          <w:szCs w:val="22"/>
          <w:lang w:eastAsia="lt-LT"/>
        </w:rPr>
        <w:t>.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796843" w:rsidRPr="007750CB" w:rsidRDefault="00796843" w:rsidP="00260070">
      <w:pPr>
        <w:pStyle w:val="Body2"/>
        <w:spacing w:after="0"/>
        <w:ind w:firstLine="851"/>
        <w:rPr>
          <w:rFonts w:asciiTheme="majorHAnsi" w:hAnsiTheme="majorHAnsi" w:cs="Times New Roman"/>
          <w:color w:val="auto"/>
          <w:lang w:val="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w:t>
      </w:r>
      <w:r w:rsidR="00796843">
        <w:rPr>
          <w:rFonts w:asciiTheme="majorHAnsi" w:hAnsiTheme="majorHAnsi" w:cs="Times New Roman"/>
        </w:rPr>
        <w:t>8</w:t>
      </w:r>
      <w:r w:rsidRPr="007750CB">
        <w:rPr>
          <w:rFonts w:asciiTheme="majorHAnsi" w:hAnsiTheme="majorHAnsi" w:cs="Times New Roman"/>
        </w:rPr>
        <w:t xml:space="preserve">.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w:t>
      </w:r>
      <w:r w:rsidR="00796843">
        <w:rPr>
          <w:rFonts w:asciiTheme="majorHAnsi" w:hAnsiTheme="majorHAnsi" w:cs="Times New Roman"/>
          <w:lang w:eastAsia="lt-LT"/>
        </w:rPr>
        <w:t>9</w:t>
      </w:r>
      <w:r w:rsidRPr="00BA3FD1">
        <w:rPr>
          <w:rFonts w:asciiTheme="majorHAnsi" w:hAnsiTheme="majorHAnsi" w:cs="Times New Roman"/>
          <w:lang w:eastAsia="lt-LT"/>
        </w:rPr>
        <w:t>.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w:t>
      </w:r>
      <w:r w:rsidR="00796843">
        <w:rPr>
          <w:rFonts w:asciiTheme="majorHAnsi" w:hAnsiTheme="majorHAnsi" w:cs="Times New Roman"/>
        </w:rPr>
        <w:t>1.</w:t>
      </w:r>
      <w:r w:rsidRPr="007750CB">
        <w:rPr>
          <w:rFonts w:asciiTheme="majorHAnsi" w:hAnsiTheme="majorHAnsi" w:cs="Times New Roman"/>
        </w:rPr>
        <w:t>1</w:t>
      </w:r>
      <w:r w:rsidR="00796843">
        <w:rPr>
          <w:rFonts w:asciiTheme="majorHAnsi" w:hAnsiTheme="majorHAnsi" w:cs="Times New Roman"/>
        </w:rPr>
        <w:t>0</w:t>
      </w:r>
      <w:r w:rsidRPr="007750CB">
        <w:rPr>
          <w:rFonts w:asciiTheme="majorHAnsi" w:hAnsiTheme="majorHAnsi" w:cs="Times New Roman"/>
        </w:rPr>
        <w:t>.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w:t>
      </w:r>
      <w:r w:rsidR="00796843">
        <w:rPr>
          <w:rFonts w:asciiTheme="majorHAnsi" w:hAnsiTheme="majorHAnsi" w:cs="Times New Roman"/>
        </w:rPr>
        <w:t>.11</w:t>
      </w:r>
      <w:r w:rsidRPr="007750CB">
        <w:rPr>
          <w:rFonts w:asciiTheme="majorHAnsi" w:hAnsiTheme="majorHAnsi" w:cs="Times New Roman"/>
        </w:rPr>
        <w:t>.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w:t>
      </w:r>
      <w:r w:rsidR="00796843">
        <w:rPr>
          <w:rFonts w:asciiTheme="majorHAnsi" w:hAnsiTheme="majorHAnsi" w:cs="Times New Roman"/>
        </w:rPr>
        <w:t>2</w:t>
      </w:r>
      <w:r w:rsidRPr="007750CB">
        <w:rPr>
          <w:rFonts w:asciiTheme="majorHAnsi" w:hAnsiTheme="majorHAnsi" w:cs="Times New Roman"/>
        </w:rPr>
        <w:t xml:space="preserve">.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w:t>
      </w:r>
      <w:r w:rsidR="00796843">
        <w:rPr>
          <w:rFonts w:asciiTheme="majorHAnsi" w:hAnsiTheme="majorHAnsi" w:cs="Times New Roman"/>
        </w:rPr>
        <w:t>3</w:t>
      </w:r>
      <w:r w:rsidRPr="007750CB">
        <w:rPr>
          <w:rFonts w:asciiTheme="majorHAnsi" w:hAnsiTheme="majorHAnsi" w:cs="Times New Roman"/>
        </w:rPr>
        <w:t>.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AD7C62"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AD7C62" w:rsidRPr="008012C2" w:rsidRDefault="00AD7C62" w:rsidP="00AD7C62">
      <w:pPr>
        <w:pStyle w:val="Body2"/>
        <w:ind w:firstLine="1418"/>
        <w:rPr>
          <w:rFonts w:ascii="Cambria" w:hAnsi="Cambria"/>
          <w:highlight w:val="green"/>
        </w:rPr>
      </w:pPr>
      <w:r w:rsidRPr="008012C2">
        <w:rPr>
          <w:rFonts w:ascii="Cambria" w:hAnsi="Cambria"/>
          <w:noProof/>
          <w:highlight w:val="green"/>
          <w:lang w:val="lt-LT"/>
        </w:rPr>
        <w:t xml:space="preserve">14.3. </w:t>
      </w:r>
      <w:r w:rsidRPr="008012C2">
        <w:rPr>
          <w:rFonts w:ascii="Cambria" w:hAnsi="Cambria"/>
          <w:highlight w:val="green"/>
        </w:rPr>
        <w:t xml:space="preserve">Didžiausia priimtina pasiūlymo kaina yra </w:t>
      </w:r>
      <w:r w:rsidR="00796843">
        <w:rPr>
          <w:rFonts w:ascii="Cambria" w:hAnsi="Cambria"/>
          <w:b/>
          <w:highlight w:val="green"/>
        </w:rPr>
        <w:t>15.600,00</w:t>
      </w:r>
      <w:r w:rsidRPr="008012C2">
        <w:rPr>
          <w:rFonts w:ascii="Cambria" w:hAnsi="Cambria"/>
          <w:b/>
          <w:highlight w:val="green"/>
        </w:rPr>
        <w:t xml:space="preserve"> Eur (su PVM)</w:t>
      </w:r>
      <w:r w:rsidRPr="008012C2">
        <w:rPr>
          <w:rFonts w:ascii="Cambria" w:hAnsi="Cambria"/>
          <w:highlight w:val="green"/>
        </w:rPr>
        <w:t>. Šią kainą viršijantys pasiūlymai bus atmesti.</w:t>
      </w:r>
    </w:p>
    <w:p w:rsidR="00AD7C62" w:rsidRPr="008012C2" w:rsidRDefault="00AD7C62" w:rsidP="00AD7C62">
      <w:pPr>
        <w:pStyle w:val="Body2"/>
        <w:rPr>
          <w:rFonts w:ascii="Cambria" w:hAnsi="Cambria"/>
          <w:noProof/>
          <w:lang w:val="lt-LT"/>
        </w:rPr>
      </w:pPr>
    </w:p>
    <w:p w:rsidR="00D72F95" w:rsidRPr="00D72F95" w:rsidRDefault="00D72F95" w:rsidP="00D72F95">
      <w:pPr>
        <w:suppressAutoHyphens/>
        <w:ind w:firstLine="567"/>
        <w:jc w:val="both"/>
        <w:rPr>
          <w:rFonts w:asciiTheme="majorHAnsi" w:hAnsiTheme="majorHAnsi"/>
          <w:sz w:val="22"/>
          <w:szCs w:val="22"/>
        </w:rPr>
      </w:pPr>
      <w:r w:rsidRPr="00D72F95">
        <w:rPr>
          <w:rFonts w:asciiTheme="majorHAnsi" w:hAnsiTheme="majorHAnsi"/>
          <w:sz w:val="22"/>
          <w:szCs w:val="22"/>
        </w:rPr>
        <w:t xml:space="preserve">Nustatomas maksimalus bendras balų skaičius – 100 balų. Kriterijų tarpusavio santykis bendrame bale yra nustatomas pagal lyginamuosius svorius: </w:t>
      </w:r>
    </w:p>
    <w:p w:rsidR="00D72F95" w:rsidRPr="00D72F95" w:rsidRDefault="00D72F95" w:rsidP="00D72F95">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D72F95">
        <w:rPr>
          <w:rFonts w:asciiTheme="majorHAnsi" w:eastAsia="Arial Unicode MS" w:hAnsiTheme="majorHAnsi"/>
          <w:bdr w:val="nil"/>
        </w:rPr>
        <w:t>kaina (K) – 70;</w:t>
      </w:r>
    </w:p>
    <w:p w:rsidR="00D72F95" w:rsidRPr="00D72F95" w:rsidRDefault="00D72F95" w:rsidP="00D72F95">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D72F95">
        <w:rPr>
          <w:rFonts w:asciiTheme="majorHAnsi" w:eastAsia="Arial Unicode MS" w:hAnsiTheme="majorHAnsi"/>
          <w:bdr w:val="nil"/>
        </w:rPr>
        <w:t>techniniai privalumai (T) – 30.</w:t>
      </w:r>
    </w:p>
    <w:p w:rsidR="00D72F95" w:rsidRPr="00D72F95" w:rsidRDefault="00D72F95" w:rsidP="00D72F95">
      <w:pPr>
        <w:suppressAutoHyphens/>
        <w:jc w:val="both"/>
        <w:rPr>
          <w:rFonts w:asciiTheme="majorHAnsi" w:hAnsiTheme="majorHAnsi"/>
          <w:sz w:val="22"/>
          <w:szCs w:val="22"/>
        </w:rPr>
      </w:pPr>
    </w:p>
    <w:p w:rsidR="00D72F95" w:rsidRPr="00D72F95" w:rsidRDefault="00D72F95" w:rsidP="00D72F95">
      <w:pPr>
        <w:ind w:left="567"/>
        <w:jc w:val="both"/>
        <w:rPr>
          <w:rFonts w:asciiTheme="majorHAnsi" w:hAnsiTheme="majorHAnsi"/>
          <w:sz w:val="22"/>
          <w:szCs w:val="22"/>
        </w:rPr>
      </w:pPr>
      <w:r w:rsidRPr="00D72F95">
        <w:rPr>
          <w:rFonts w:asciiTheme="majorHAnsi" w:hAnsiTheme="majorHAnsi"/>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D72F95" w:rsidRPr="00D72F95" w:rsidTr="00D72F95">
        <w:tc>
          <w:tcPr>
            <w:tcW w:w="296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72F95" w:rsidRPr="00D72F95" w:rsidRDefault="00D72F95" w:rsidP="008F4FA6">
            <w:pPr>
              <w:tabs>
                <w:tab w:val="left" w:pos="14175"/>
              </w:tabs>
              <w:ind w:right="56"/>
              <w:jc w:val="center"/>
              <w:rPr>
                <w:rFonts w:asciiTheme="majorHAnsi" w:hAnsiTheme="majorHAnsi"/>
                <w:color w:val="000000"/>
                <w:sz w:val="22"/>
                <w:szCs w:val="22"/>
              </w:rPr>
            </w:pPr>
            <w:r w:rsidRPr="00D72F95">
              <w:rPr>
                <w:rFonts w:asciiTheme="majorHAnsi" w:hAnsiTheme="majorHAnsi"/>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72F95" w:rsidRPr="00D72F95" w:rsidRDefault="00D72F95" w:rsidP="008F4FA6">
            <w:pPr>
              <w:tabs>
                <w:tab w:val="left" w:pos="14175"/>
              </w:tabs>
              <w:ind w:left="-14"/>
              <w:jc w:val="center"/>
              <w:rPr>
                <w:rFonts w:asciiTheme="majorHAnsi" w:hAnsiTheme="majorHAnsi"/>
                <w:b/>
                <w:color w:val="000000"/>
                <w:sz w:val="22"/>
                <w:szCs w:val="22"/>
              </w:rPr>
            </w:pPr>
            <w:r w:rsidRPr="00D72F95">
              <w:rPr>
                <w:rFonts w:asciiTheme="majorHAnsi" w:hAnsiTheme="majorHAnsi"/>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72F95" w:rsidRPr="00D72F95" w:rsidRDefault="00D72F95" w:rsidP="008F4FA6">
            <w:pPr>
              <w:tabs>
                <w:tab w:val="left" w:pos="14175"/>
              </w:tabs>
              <w:ind w:right="-5"/>
              <w:jc w:val="center"/>
              <w:rPr>
                <w:rFonts w:asciiTheme="majorHAnsi" w:hAnsiTheme="majorHAnsi"/>
                <w:b/>
                <w:color w:val="000000"/>
                <w:sz w:val="22"/>
                <w:szCs w:val="22"/>
              </w:rPr>
            </w:pPr>
            <w:r w:rsidRPr="00D72F95">
              <w:rPr>
                <w:rFonts w:asciiTheme="majorHAnsi" w:hAnsiTheme="majorHAnsi"/>
                <w:b/>
                <w:color w:val="000000"/>
                <w:sz w:val="22"/>
                <w:szCs w:val="22"/>
              </w:rPr>
              <w:t>Lyginamasis svoris ekonominio naudingumo įvertinime</w:t>
            </w:r>
          </w:p>
        </w:tc>
      </w:tr>
      <w:tr w:rsidR="00D72F95" w:rsidRPr="00D72F95" w:rsidTr="00D72F95">
        <w:tc>
          <w:tcPr>
            <w:tcW w:w="3605"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72F95" w:rsidRPr="00D72F95" w:rsidRDefault="00D72F95" w:rsidP="008F4FA6">
            <w:pPr>
              <w:tabs>
                <w:tab w:val="left" w:pos="14175"/>
              </w:tabs>
              <w:ind w:right="-92"/>
              <w:rPr>
                <w:rFonts w:asciiTheme="majorHAnsi" w:hAnsiTheme="majorHAnsi"/>
                <w:color w:val="000000"/>
                <w:sz w:val="22"/>
                <w:szCs w:val="22"/>
              </w:rPr>
            </w:pPr>
            <w:r w:rsidRPr="00D72F95">
              <w:rPr>
                <w:rFonts w:asciiTheme="majorHAnsi" w:hAnsiTheme="majorHAnsi"/>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D72F95" w:rsidRPr="00D72F95" w:rsidRDefault="00D72F95" w:rsidP="008F4FA6">
            <w:pPr>
              <w:tabs>
                <w:tab w:val="left" w:pos="14175"/>
              </w:tabs>
              <w:ind w:right="-92"/>
              <w:jc w:val="center"/>
              <w:rPr>
                <w:rFonts w:asciiTheme="majorHAnsi" w:hAnsiTheme="majorHAnsi"/>
                <w:color w:val="000000"/>
                <w:sz w:val="22"/>
                <w:szCs w:val="22"/>
              </w:rPr>
            </w:pPr>
            <w:r w:rsidRPr="00D72F95">
              <w:rPr>
                <w:rFonts w:asciiTheme="majorHAnsi" w:hAnsiTheme="majorHAnsi"/>
                <w:b/>
                <w:color w:val="000000"/>
                <w:sz w:val="22"/>
                <w:szCs w:val="22"/>
              </w:rPr>
              <w:t>X = 70</w:t>
            </w:r>
          </w:p>
        </w:tc>
      </w:tr>
      <w:tr w:rsidR="00D72F95" w:rsidRPr="00D72F95" w:rsidTr="00D72F95">
        <w:tc>
          <w:tcPr>
            <w:tcW w:w="3605"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72F95" w:rsidRPr="00D72F95" w:rsidRDefault="00D72F95" w:rsidP="008F4FA6">
            <w:pPr>
              <w:tabs>
                <w:tab w:val="left" w:pos="14175"/>
              </w:tabs>
              <w:ind w:right="-92"/>
              <w:rPr>
                <w:rFonts w:asciiTheme="majorHAnsi" w:hAnsiTheme="majorHAnsi"/>
                <w:b/>
                <w:color w:val="000000"/>
                <w:sz w:val="22"/>
                <w:szCs w:val="22"/>
              </w:rPr>
            </w:pPr>
            <w:r w:rsidRPr="00D72F95">
              <w:rPr>
                <w:rFonts w:asciiTheme="majorHAnsi" w:hAnsiTheme="majorHAnsi"/>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D72F95" w:rsidRPr="00D72F95" w:rsidRDefault="00D72F95" w:rsidP="008F4FA6">
            <w:pPr>
              <w:tabs>
                <w:tab w:val="left" w:pos="14175"/>
              </w:tabs>
              <w:ind w:right="-92"/>
              <w:jc w:val="center"/>
              <w:rPr>
                <w:rFonts w:asciiTheme="majorHAnsi" w:hAnsiTheme="majorHAnsi"/>
                <w:color w:val="000000"/>
                <w:sz w:val="22"/>
                <w:szCs w:val="22"/>
              </w:rPr>
            </w:pPr>
            <w:r w:rsidRPr="00D72F95">
              <w:rPr>
                <w:rFonts w:asciiTheme="majorHAnsi" w:hAnsiTheme="majorHAnsi"/>
                <w:b/>
                <w:color w:val="000000"/>
                <w:sz w:val="22"/>
                <w:szCs w:val="22"/>
              </w:rPr>
              <w:t>Y = 30</w:t>
            </w:r>
          </w:p>
        </w:tc>
      </w:tr>
      <w:tr w:rsidR="00D72F95" w:rsidRPr="00D72F95" w:rsidTr="008F4FA6">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2F95" w:rsidRPr="00D72F95" w:rsidRDefault="00D72F95" w:rsidP="008F4FA6">
            <w:pPr>
              <w:tabs>
                <w:tab w:val="left" w:pos="14175"/>
              </w:tabs>
              <w:ind w:left="-112" w:right="-92"/>
              <w:jc w:val="center"/>
              <w:rPr>
                <w:rFonts w:asciiTheme="majorHAnsi" w:hAnsiTheme="majorHAnsi"/>
                <w:b/>
                <w:color w:val="000000"/>
                <w:sz w:val="22"/>
                <w:szCs w:val="22"/>
              </w:rPr>
            </w:pPr>
            <w:r w:rsidRPr="00D72F95">
              <w:rPr>
                <w:rFonts w:asciiTheme="majorHAnsi" w:hAnsiTheme="majorHAnsi"/>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2F95" w:rsidRPr="00D72F95" w:rsidRDefault="00D72F95" w:rsidP="008F4FA6">
            <w:pPr>
              <w:tabs>
                <w:tab w:val="left" w:pos="14175"/>
              </w:tabs>
              <w:jc w:val="center"/>
              <w:rPr>
                <w:rFonts w:asciiTheme="majorHAnsi" w:hAnsiTheme="majorHAnsi"/>
                <w:b/>
                <w:color w:val="000000"/>
                <w:sz w:val="22"/>
                <w:szCs w:val="22"/>
              </w:rPr>
            </w:pPr>
            <w:r w:rsidRPr="00D72F95">
              <w:rPr>
                <w:rFonts w:asciiTheme="majorHAnsi" w:hAnsiTheme="majorHAnsi"/>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2F95" w:rsidRPr="00D72F95" w:rsidRDefault="00D72F95" w:rsidP="008F4FA6">
            <w:pPr>
              <w:tabs>
                <w:tab w:val="left" w:pos="14175"/>
              </w:tabs>
              <w:ind w:right="-85"/>
              <w:jc w:val="center"/>
              <w:rPr>
                <w:rFonts w:asciiTheme="majorHAnsi" w:hAnsiTheme="majorHAnsi"/>
                <w:b/>
                <w:bCs/>
                <w:color w:val="000000"/>
                <w:sz w:val="22"/>
                <w:szCs w:val="22"/>
              </w:rPr>
            </w:pPr>
            <w:r w:rsidRPr="00D72F95">
              <w:rPr>
                <w:rFonts w:asciiTheme="majorHAnsi" w:hAnsiTheme="majorHAnsi"/>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ind w:right="-92"/>
              <w:rPr>
                <w:rFonts w:asciiTheme="majorHAnsi" w:hAnsiTheme="majorHAnsi"/>
                <w:b/>
                <w:color w:val="000000"/>
                <w:sz w:val="22"/>
                <w:szCs w:val="22"/>
              </w:rPr>
            </w:pPr>
          </w:p>
        </w:tc>
      </w:tr>
      <w:tr w:rsidR="00D72F95" w:rsidRPr="00D72F95" w:rsidTr="008F4FA6">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ind w:left="-112" w:right="-91"/>
              <w:jc w:val="center"/>
              <w:rPr>
                <w:rFonts w:asciiTheme="majorHAnsi" w:hAnsiTheme="majorHAnsi"/>
                <w:color w:val="000000"/>
                <w:sz w:val="22"/>
                <w:szCs w:val="22"/>
              </w:rPr>
            </w:pPr>
            <w:r w:rsidRPr="00D72F95">
              <w:rPr>
                <w:rFonts w:asciiTheme="majorHAnsi" w:hAnsiTheme="majorHAnsi"/>
                <w:color w:val="000000"/>
                <w:sz w:val="22"/>
                <w:szCs w:val="22"/>
              </w:rPr>
              <w:t>T</w:t>
            </w:r>
            <w:r w:rsidRPr="00D72F95">
              <w:rPr>
                <w:rFonts w:asciiTheme="majorHAnsi" w:hAnsiTheme="majorHAnsi"/>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ind w:right="-86"/>
              <w:rPr>
                <w:rFonts w:asciiTheme="majorHAnsi" w:hAnsiTheme="majorHAnsi"/>
                <w:sz w:val="22"/>
                <w:szCs w:val="22"/>
                <w:lang w:bidi="lt-LT"/>
              </w:rPr>
            </w:pPr>
            <w:r w:rsidRPr="00D72F95">
              <w:rPr>
                <w:rFonts w:asciiTheme="majorHAnsi" w:hAnsiTheme="majorHAnsi"/>
                <w:sz w:val="22"/>
                <w:szCs w:val="22"/>
                <w:lang w:bidi="lt-LT"/>
              </w:rPr>
              <w:t xml:space="preserve">Įrangai suteikiama ilgesnė negu 24 mėn. garantija. </w:t>
            </w:r>
          </w:p>
          <w:p w:rsidR="00D72F95" w:rsidRPr="00D72F95" w:rsidRDefault="00D72F95" w:rsidP="008F4FA6">
            <w:pPr>
              <w:tabs>
                <w:tab w:val="left" w:pos="14175"/>
              </w:tabs>
              <w:ind w:right="-86"/>
              <w:rPr>
                <w:rFonts w:asciiTheme="majorHAnsi" w:hAnsiTheme="majorHAnsi"/>
                <w:sz w:val="22"/>
                <w:szCs w:val="22"/>
                <w:lang w:bidi="lt-LT"/>
              </w:rPr>
            </w:pPr>
          </w:p>
          <w:p w:rsidR="00D72F95" w:rsidRPr="00D72F95" w:rsidRDefault="00D72F95" w:rsidP="008F4FA6">
            <w:pPr>
              <w:tabs>
                <w:tab w:val="left" w:pos="14175"/>
              </w:tabs>
              <w:ind w:right="55"/>
              <w:rPr>
                <w:rFonts w:asciiTheme="majorHAnsi" w:hAnsiTheme="majorHAnsi"/>
                <w:i/>
                <w:sz w:val="22"/>
                <w:szCs w:val="22"/>
              </w:rPr>
            </w:pPr>
            <w:r w:rsidRPr="00D72F95">
              <w:rPr>
                <w:rFonts w:asciiTheme="majorHAnsi" w:hAnsiTheme="majorHAnsi"/>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jc w:val="center"/>
              <w:rPr>
                <w:rFonts w:asciiTheme="majorHAnsi" w:hAnsiTheme="majorHAnsi"/>
                <w:b/>
                <w:sz w:val="22"/>
                <w:szCs w:val="22"/>
              </w:rPr>
            </w:pPr>
            <w:r w:rsidRPr="00D72F95">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D72F95" w:rsidRPr="00D72F95" w:rsidRDefault="00D72F95" w:rsidP="008F4FA6">
            <w:pPr>
              <w:tabs>
                <w:tab w:val="left" w:pos="14175"/>
              </w:tabs>
              <w:jc w:val="center"/>
              <w:rPr>
                <w:rFonts w:asciiTheme="majorHAnsi" w:hAnsiTheme="majorHAnsi"/>
                <w:b/>
                <w:sz w:val="22"/>
                <w:szCs w:val="22"/>
              </w:rPr>
            </w:pPr>
            <w:r w:rsidRPr="00D72F95">
              <w:rPr>
                <w:rFonts w:asciiTheme="majorHAnsi" w:hAnsiTheme="majorHAnsi"/>
                <w:sz w:val="22"/>
                <w:szCs w:val="22"/>
              </w:rPr>
              <w:t>L</w:t>
            </w:r>
            <w:r w:rsidRPr="00D72F95">
              <w:rPr>
                <w:rFonts w:asciiTheme="majorHAnsi" w:hAnsiTheme="majorHAnsi"/>
                <w:sz w:val="22"/>
                <w:szCs w:val="22"/>
                <w:vertAlign w:val="subscript"/>
              </w:rPr>
              <w:t>1</w:t>
            </w:r>
            <w:r w:rsidRPr="00D72F95">
              <w:rPr>
                <w:rFonts w:asciiTheme="majorHAnsi" w:hAnsiTheme="majorHAnsi"/>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jc w:val="center"/>
              <w:rPr>
                <w:rFonts w:asciiTheme="majorHAnsi" w:eastAsia="Times New Roman" w:hAnsiTheme="majorHAnsi"/>
                <w:color w:val="808080" w:themeColor="background1" w:themeShade="80"/>
                <w:sz w:val="22"/>
                <w:szCs w:val="22"/>
              </w:rPr>
            </w:pPr>
            <w:r w:rsidRPr="00D72F95">
              <w:rPr>
                <w:rFonts w:asciiTheme="majorHAnsi" w:hAnsiTheme="majorHAnsi"/>
                <w:color w:val="808080" w:themeColor="background1" w:themeShade="80"/>
                <w:sz w:val="22"/>
                <w:szCs w:val="22"/>
              </w:rPr>
              <w:t>Įrašyti suteikiamą garantinį terminą (mėn.)</w:t>
            </w:r>
          </w:p>
        </w:tc>
      </w:tr>
      <w:tr w:rsidR="00D72F95" w:rsidRPr="00D72F95" w:rsidTr="008F4FA6">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ind w:left="-112" w:right="-92"/>
              <w:jc w:val="center"/>
              <w:rPr>
                <w:rFonts w:asciiTheme="majorHAnsi" w:hAnsiTheme="majorHAnsi"/>
                <w:color w:val="000000"/>
                <w:sz w:val="22"/>
                <w:szCs w:val="22"/>
              </w:rPr>
            </w:pPr>
            <w:r w:rsidRPr="00D72F95">
              <w:rPr>
                <w:rFonts w:asciiTheme="majorHAnsi" w:hAnsiTheme="majorHAnsi"/>
                <w:color w:val="000000"/>
                <w:sz w:val="22"/>
                <w:szCs w:val="22"/>
              </w:rPr>
              <w:lastRenderedPageBreak/>
              <w:t>T</w:t>
            </w:r>
            <w:r w:rsidRPr="00D72F95">
              <w:rPr>
                <w:rFonts w:asciiTheme="majorHAnsi" w:hAnsiTheme="majorHAnsi"/>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ind w:right="-86"/>
              <w:rPr>
                <w:rFonts w:asciiTheme="majorHAnsi" w:hAnsiTheme="majorHAnsi"/>
                <w:sz w:val="22"/>
                <w:szCs w:val="22"/>
              </w:rPr>
            </w:pPr>
            <w:r w:rsidRPr="00D72F95">
              <w:rPr>
                <w:rFonts w:asciiTheme="majorHAnsi" w:hAnsiTheme="majorHAnsi"/>
                <w:sz w:val="22"/>
                <w:szCs w:val="22"/>
                <w:lang w:bidi="lt-LT"/>
              </w:rPr>
              <w:t>Didžiausias diskretizavimo dažnis.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jc w:val="center"/>
              <w:rPr>
                <w:rFonts w:asciiTheme="majorHAnsi" w:hAnsiTheme="majorHAnsi"/>
                <w:color w:val="000000"/>
                <w:sz w:val="22"/>
                <w:szCs w:val="22"/>
              </w:rPr>
            </w:pPr>
            <w:r w:rsidRPr="00D72F95">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jc w:val="center"/>
              <w:rPr>
                <w:rFonts w:asciiTheme="majorHAnsi" w:hAnsiTheme="majorHAnsi"/>
                <w:sz w:val="22"/>
                <w:szCs w:val="22"/>
              </w:rPr>
            </w:pPr>
            <w:r w:rsidRPr="00D72F95">
              <w:rPr>
                <w:rFonts w:asciiTheme="majorHAnsi" w:hAnsiTheme="majorHAnsi"/>
                <w:sz w:val="22"/>
                <w:szCs w:val="22"/>
              </w:rPr>
              <w:t>L</w:t>
            </w:r>
            <w:r w:rsidRPr="00D72F95">
              <w:rPr>
                <w:rFonts w:asciiTheme="majorHAnsi" w:hAnsiTheme="majorHAnsi"/>
                <w:sz w:val="22"/>
                <w:szCs w:val="22"/>
                <w:vertAlign w:val="subscript"/>
              </w:rPr>
              <w:t>2</w:t>
            </w:r>
            <w:r w:rsidRPr="00D72F95">
              <w:rPr>
                <w:rFonts w:asciiTheme="majorHAnsi" w:hAnsiTheme="majorHAnsi"/>
                <w:sz w:val="22"/>
                <w:szCs w:val="22"/>
              </w:rPr>
              <w:t xml:space="preserve"> = 0,40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jc w:val="center"/>
              <w:rPr>
                <w:rFonts w:asciiTheme="majorHAnsi" w:hAnsiTheme="majorHAnsi"/>
                <w:color w:val="808080" w:themeColor="background1" w:themeShade="80"/>
                <w:sz w:val="22"/>
                <w:szCs w:val="22"/>
              </w:rPr>
            </w:pPr>
            <w:r w:rsidRPr="00D72F95">
              <w:rPr>
                <w:rFonts w:asciiTheme="majorHAnsi" w:hAnsiTheme="majorHAnsi"/>
                <w:color w:val="808080" w:themeColor="background1" w:themeShade="80"/>
                <w:sz w:val="22"/>
                <w:szCs w:val="22"/>
              </w:rPr>
              <w:t>Įrašyti siūlomo registratoriaus didžiausią diskretizavimo dažnį (Hz)</w:t>
            </w:r>
          </w:p>
        </w:tc>
      </w:tr>
      <w:tr w:rsidR="00D72F95" w:rsidRPr="00D72F95" w:rsidTr="008F4FA6">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ind w:left="-112" w:right="-92"/>
              <w:jc w:val="center"/>
              <w:rPr>
                <w:rFonts w:asciiTheme="majorHAnsi" w:hAnsiTheme="majorHAnsi"/>
                <w:color w:val="000000"/>
                <w:sz w:val="22"/>
                <w:szCs w:val="22"/>
              </w:rPr>
            </w:pPr>
            <w:r w:rsidRPr="00D72F95">
              <w:rPr>
                <w:rFonts w:asciiTheme="majorHAnsi" w:hAnsiTheme="majorHAnsi"/>
                <w:color w:val="000000"/>
                <w:sz w:val="22"/>
                <w:szCs w:val="22"/>
              </w:rPr>
              <w:t>T</w:t>
            </w:r>
            <w:r w:rsidRPr="00D72F95">
              <w:rPr>
                <w:rFonts w:asciiTheme="majorHAnsi" w:hAnsiTheme="majorHAnsi"/>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pStyle w:val="prastasis1"/>
              <w:tabs>
                <w:tab w:val="left" w:pos="14175"/>
              </w:tabs>
              <w:spacing w:after="0" w:line="240" w:lineRule="auto"/>
              <w:rPr>
                <w:rFonts w:asciiTheme="majorHAnsi" w:hAnsiTheme="majorHAnsi" w:cs="Times New Roman"/>
                <w:sz w:val="22"/>
                <w:szCs w:val="22"/>
                <w:lang w:val="lt-LT"/>
              </w:rPr>
            </w:pPr>
            <w:r w:rsidRPr="00D72F95">
              <w:rPr>
                <w:rFonts w:asciiTheme="majorHAnsi" w:hAnsiTheme="majorHAnsi"/>
                <w:sz w:val="22"/>
                <w:szCs w:val="22"/>
                <w:lang w:val="lt-LT" w:bidi="lt-LT"/>
              </w:rPr>
              <w:t>Ateityje galima įsigyti ir prijungti suderinamą SpO</w:t>
            </w:r>
            <w:r w:rsidRPr="00D72F95">
              <w:rPr>
                <w:rFonts w:asciiTheme="majorHAnsi" w:hAnsiTheme="majorHAnsi"/>
                <w:sz w:val="22"/>
                <w:szCs w:val="22"/>
                <w:vertAlign w:val="subscript"/>
                <w:lang w:val="lt-LT" w:bidi="lt-LT"/>
              </w:rPr>
              <w:t>2</w:t>
            </w:r>
            <w:r w:rsidRPr="00D72F95">
              <w:rPr>
                <w:rFonts w:asciiTheme="majorHAnsi" w:hAnsiTheme="majorHAnsi"/>
                <w:sz w:val="22"/>
                <w:szCs w:val="22"/>
                <w:lang w:val="lt-LT" w:bidi="lt-LT"/>
              </w:rPr>
              <w:t xml:space="preserve"> daviklį.</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jc w:val="center"/>
              <w:rPr>
                <w:rFonts w:asciiTheme="majorHAnsi" w:hAnsiTheme="majorHAnsi"/>
                <w:color w:val="000000"/>
                <w:sz w:val="22"/>
                <w:szCs w:val="22"/>
              </w:rPr>
            </w:pPr>
            <w:r w:rsidRPr="00D72F95">
              <w:rPr>
                <w:rFonts w:asciiTheme="majorHAnsi" w:hAnsiTheme="majorHAnsi"/>
                <w:sz w:val="22"/>
                <w:szCs w:val="22"/>
              </w:rPr>
              <w:t>Statinis:</w:t>
            </w:r>
            <w:r w:rsidRPr="00D72F95">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jc w:val="center"/>
              <w:rPr>
                <w:rFonts w:asciiTheme="majorHAnsi" w:hAnsiTheme="majorHAnsi"/>
                <w:sz w:val="22"/>
                <w:szCs w:val="22"/>
              </w:rPr>
            </w:pPr>
            <w:r w:rsidRPr="00D72F95">
              <w:rPr>
                <w:rFonts w:asciiTheme="majorHAnsi" w:hAnsiTheme="majorHAnsi"/>
                <w:sz w:val="22"/>
                <w:szCs w:val="22"/>
              </w:rPr>
              <w:t>L</w:t>
            </w:r>
            <w:r w:rsidRPr="00D72F95">
              <w:rPr>
                <w:rFonts w:asciiTheme="majorHAnsi" w:hAnsiTheme="majorHAnsi"/>
                <w:sz w:val="22"/>
                <w:szCs w:val="22"/>
                <w:vertAlign w:val="subscript"/>
              </w:rPr>
              <w:t>3</w:t>
            </w:r>
            <w:r w:rsidRPr="00D72F95">
              <w:rPr>
                <w:rFonts w:asciiTheme="majorHAnsi" w:hAnsiTheme="majorHAnsi"/>
                <w:sz w:val="22"/>
                <w:szCs w:val="22"/>
              </w:rPr>
              <w:t xml:space="preserve"> = 0,40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F95" w:rsidRPr="00D72F95" w:rsidRDefault="00D72F95" w:rsidP="008F4FA6">
            <w:pPr>
              <w:tabs>
                <w:tab w:val="left" w:pos="14175"/>
              </w:tabs>
              <w:jc w:val="center"/>
              <w:rPr>
                <w:rFonts w:asciiTheme="majorHAnsi" w:hAnsiTheme="majorHAnsi"/>
                <w:color w:val="808080" w:themeColor="background1" w:themeShade="80"/>
                <w:sz w:val="22"/>
                <w:szCs w:val="22"/>
              </w:rPr>
            </w:pPr>
            <w:r w:rsidRPr="00D72F95">
              <w:rPr>
                <w:rFonts w:asciiTheme="majorHAnsi" w:hAnsiTheme="majorHAnsi"/>
                <w:color w:val="808080" w:themeColor="background1" w:themeShade="80"/>
                <w:sz w:val="22"/>
                <w:szCs w:val="22"/>
              </w:rPr>
              <w:t xml:space="preserve">Įrašyti parametro vertę: </w:t>
            </w:r>
            <w:r w:rsidRPr="00D72F95">
              <w:rPr>
                <w:rFonts w:asciiTheme="majorHAnsi" w:hAnsiTheme="majorHAnsi"/>
                <w:b/>
                <w:bCs/>
                <w:color w:val="808080" w:themeColor="background1" w:themeShade="80"/>
                <w:sz w:val="22"/>
                <w:szCs w:val="22"/>
              </w:rPr>
              <w:t>yra / nėra</w:t>
            </w:r>
          </w:p>
        </w:tc>
      </w:tr>
    </w:tbl>
    <w:p w:rsidR="00D72F95" w:rsidRPr="00D72F95" w:rsidRDefault="00D72F95" w:rsidP="00D72F95">
      <w:pPr>
        <w:rPr>
          <w:rFonts w:asciiTheme="majorHAnsi" w:hAnsiTheme="majorHAnsi"/>
          <w:sz w:val="22"/>
          <w:szCs w:val="22"/>
        </w:rPr>
      </w:pPr>
    </w:p>
    <w:p w:rsidR="00D72F95" w:rsidRPr="00D72F95" w:rsidRDefault="00D72F95" w:rsidP="00D72F95">
      <w:pPr>
        <w:jc w:val="both"/>
        <w:rPr>
          <w:rFonts w:asciiTheme="majorHAnsi" w:hAnsiTheme="majorHAnsi"/>
          <w:sz w:val="22"/>
          <w:szCs w:val="22"/>
        </w:rPr>
      </w:pPr>
    </w:p>
    <w:p w:rsidR="00D72F95" w:rsidRPr="00D72F95" w:rsidRDefault="00D72F95" w:rsidP="00D72F95">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D72F95">
        <w:rPr>
          <w:rFonts w:asciiTheme="majorHAnsi" w:eastAsia="Arial Unicode MS" w:hAnsiTheme="majorHAnsi"/>
          <w:b/>
          <w:bCs/>
          <w:caps/>
          <w:spacing w:val="4"/>
          <w:bdr w:val="nil"/>
        </w:rPr>
        <w:t>BALŲ APSKAIČIAVIMAS</w:t>
      </w:r>
    </w:p>
    <w:p w:rsidR="00D72F95" w:rsidRPr="00D72F95" w:rsidRDefault="00D72F95" w:rsidP="00D72F95">
      <w:pPr>
        <w:suppressAutoHyphens/>
        <w:jc w:val="both"/>
        <w:rPr>
          <w:rFonts w:asciiTheme="majorHAnsi" w:hAnsiTheme="majorHAnsi"/>
          <w:sz w:val="22"/>
          <w:szCs w:val="22"/>
        </w:rPr>
      </w:pPr>
    </w:p>
    <w:p w:rsidR="00D72F95" w:rsidRPr="00D72F95" w:rsidRDefault="00D72F95" w:rsidP="00D72F95">
      <w:pPr>
        <w:shd w:val="clear" w:color="auto" w:fill="FFFFFF"/>
        <w:ind w:firstLine="567"/>
        <w:jc w:val="both"/>
        <w:rPr>
          <w:rFonts w:asciiTheme="majorHAnsi" w:hAnsiTheme="majorHAnsi"/>
          <w:sz w:val="22"/>
          <w:szCs w:val="22"/>
        </w:rPr>
      </w:pPr>
      <w:r w:rsidRPr="00D72F95">
        <w:rPr>
          <w:rFonts w:asciiTheme="majorHAnsi" w:hAnsiTheme="majorHAnsi"/>
          <w:sz w:val="22"/>
          <w:szCs w:val="22"/>
        </w:rPr>
        <w:t>Pasiūlymo ekonominio naudingumo (kainos ir kokybės santykio) apskaičiavimo tvarka (formulė) yra pateikiama žemiau:</w:t>
      </w:r>
    </w:p>
    <w:p w:rsidR="00D72F95" w:rsidRPr="00D72F95" w:rsidRDefault="00D72F95" w:rsidP="00D72F95">
      <w:pPr>
        <w:tabs>
          <w:tab w:val="left" w:pos="1134"/>
        </w:tabs>
        <w:suppressAutoHyphens/>
        <w:ind w:firstLine="567"/>
        <w:jc w:val="both"/>
        <w:rPr>
          <w:rFonts w:asciiTheme="majorHAnsi" w:hAnsiTheme="majorHAnsi"/>
          <w:sz w:val="22"/>
          <w:szCs w:val="22"/>
        </w:rPr>
      </w:pPr>
      <w:r w:rsidRPr="00D72F95">
        <w:rPr>
          <w:rFonts w:asciiTheme="majorHAnsi" w:hAnsiTheme="majorHAnsi"/>
          <w:sz w:val="22"/>
          <w:szCs w:val="22"/>
        </w:rPr>
        <w:t>Pasiūlymo ekonominis naudingumas (E) apskaičiuojamas sudedant tiekėjo pasiūlymo kainos (K) ir techninių pranašumu (T) balus:</w:t>
      </w:r>
    </w:p>
    <w:p w:rsidR="00D72F95" w:rsidRPr="00D72F95" w:rsidRDefault="00D72F95" w:rsidP="00D72F95">
      <w:pPr>
        <w:tabs>
          <w:tab w:val="left" w:pos="851"/>
        </w:tabs>
        <w:suppressAutoHyphens/>
        <w:ind w:left="360"/>
        <w:rPr>
          <w:rFonts w:asciiTheme="majorHAnsi" w:hAnsiTheme="majorHAnsi"/>
          <w:sz w:val="22"/>
          <w:szCs w:val="22"/>
        </w:rPr>
      </w:pPr>
    </w:p>
    <w:p w:rsidR="00D72F95" w:rsidRPr="00D72F95" w:rsidRDefault="00D72F95" w:rsidP="00D72F95">
      <w:pPr>
        <w:shd w:val="clear" w:color="auto" w:fill="FFFFFF"/>
        <w:jc w:val="center"/>
        <w:rPr>
          <w:rFonts w:asciiTheme="majorHAnsi" w:hAnsiTheme="majorHAnsi"/>
          <w:i/>
          <w:iCs/>
          <w:sz w:val="22"/>
          <w:szCs w:val="22"/>
        </w:rPr>
      </w:pPr>
      <w:r w:rsidRPr="00D72F95">
        <w:rPr>
          <w:rFonts w:asciiTheme="majorHAnsi" w:hAnsiTheme="majorHAnsi"/>
          <w:i/>
          <w:iCs/>
          <w:sz w:val="22"/>
          <w:szCs w:val="22"/>
        </w:rPr>
        <w:t xml:space="preserve">E </w:t>
      </w:r>
      <w:r w:rsidRPr="00D72F95">
        <w:rPr>
          <w:rFonts w:asciiTheme="majorHAnsi" w:hAnsiTheme="majorHAnsi"/>
          <w:sz w:val="22"/>
          <w:szCs w:val="22"/>
        </w:rPr>
        <w:t xml:space="preserve">= </w:t>
      </w:r>
      <w:r w:rsidRPr="00D72F95">
        <w:rPr>
          <w:rFonts w:asciiTheme="majorHAnsi" w:hAnsiTheme="majorHAnsi"/>
          <w:i/>
          <w:sz w:val="22"/>
          <w:szCs w:val="22"/>
        </w:rPr>
        <w:t>K</w:t>
      </w:r>
      <w:r w:rsidRPr="00D72F95">
        <w:rPr>
          <w:rFonts w:asciiTheme="majorHAnsi" w:hAnsiTheme="majorHAnsi"/>
          <w:i/>
          <w:iCs/>
          <w:sz w:val="22"/>
          <w:szCs w:val="22"/>
        </w:rPr>
        <w:t>+ T.</w:t>
      </w:r>
    </w:p>
    <w:p w:rsidR="00D72F95" w:rsidRPr="00D72F95" w:rsidRDefault="00D72F95" w:rsidP="00D72F95">
      <w:pPr>
        <w:shd w:val="clear" w:color="auto" w:fill="FFFFFF"/>
        <w:jc w:val="center"/>
        <w:rPr>
          <w:rFonts w:asciiTheme="majorHAnsi" w:hAnsiTheme="majorHAnsi"/>
          <w:sz w:val="22"/>
          <w:szCs w:val="22"/>
        </w:rPr>
      </w:pPr>
    </w:p>
    <w:p w:rsidR="00D72F95" w:rsidRPr="00D72F95" w:rsidRDefault="00D72F95" w:rsidP="00D72F95">
      <w:pPr>
        <w:tabs>
          <w:tab w:val="left" w:pos="851"/>
        </w:tabs>
        <w:suppressAutoHyphens/>
        <w:ind w:firstLine="567"/>
        <w:jc w:val="both"/>
        <w:rPr>
          <w:rFonts w:asciiTheme="majorHAnsi" w:hAnsiTheme="majorHAnsi"/>
          <w:sz w:val="22"/>
          <w:szCs w:val="22"/>
        </w:rPr>
      </w:pPr>
      <w:r w:rsidRPr="00D72F95">
        <w:rPr>
          <w:rFonts w:asciiTheme="majorHAnsi" w:hAnsiTheme="majorHAnsi"/>
          <w:sz w:val="22"/>
          <w:szCs w:val="22"/>
        </w:rPr>
        <w:t>Pasiūlymo kainos (K) balai apskaičiuojami mažiausios pasiūlytos kainos (K</w:t>
      </w:r>
      <w:r w:rsidRPr="00D72F95">
        <w:rPr>
          <w:rFonts w:asciiTheme="majorHAnsi" w:hAnsiTheme="majorHAnsi"/>
          <w:sz w:val="22"/>
          <w:szCs w:val="22"/>
          <w:vertAlign w:val="subscript"/>
        </w:rPr>
        <w:t>min</w:t>
      </w:r>
      <w:r w:rsidRPr="00D72F95">
        <w:rPr>
          <w:rFonts w:asciiTheme="majorHAnsi" w:hAnsiTheme="majorHAnsi"/>
          <w:sz w:val="22"/>
          <w:szCs w:val="22"/>
        </w:rPr>
        <w:t>) ir vertinamo pasiūlymo kainos (K</w:t>
      </w:r>
      <w:r w:rsidRPr="00D72F95">
        <w:rPr>
          <w:rFonts w:asciiTheme="majorHAnsi" w:hAnsiTheme="majorHAnsi"/>
          <w:sz w:val="22"/>
          <w:szCs w:val="22"/>
          <w:vertAlign w:val="subscript"/>
        </w:rPr>
        <w:t>v</w:t>
      </w:r>
      <w:r w:rsidRPr="00D72F95">
        <w:rPr>
          <w:rFonts w:asciiTheme="majorHAnsi" w:hAnsiTheme="majorHAnsi"/>
          <w:sz w:val="22"/>
          <w:szCs w:val="22"/>
        </w:rPr>
        <w:t>) santykį padauginant iš kainos lyginamojo svorio (X):</w:t>
      </w:r>
    </w:p>
    <w:p w:rsidR="00D72F95" w:rsidRPr="00D72F95" w:rsidRDefault="00D72F95" w:rsidP="00D72F95">
      <w:pPr>
        <w:tabs>
          <w:tab w:val="left" w:pos="851"/>
        </w:tabs>
        <w:suppressAutoHyphens/>
        <w:ind w:left="360" w:firstLine="567"/>
        <w:rPr>
          <w:rFonts w:asciiTheme="majorHAnsi" w:hAnsiTheme="majorHAnsi"/>
          <w:sz w:val="22"/>
          <w:szCs w:val="22"/>
        </w:rPr>
      </w:pPr>
    </w:p>
    <w:p w:rsidR="00D72F95" w:rsidRPr="00D72F95" w:rsidRDefault="00D72F95" w:rsidP="00D72F95">
      <w:pPr>
        <w:shd w:val="clear" w:color="auto" w:fill="FFFFFF"/>
        <w:ind w:firstLine="567"/>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D72F95" w:rsidRPr="00D72F95" w:rsidRDefault="00D72F95" w:rsidP="00D72F95">
      <w:pPr>
        <w:shd w:val="clear" w:color="auto" w:fill="FFFFFF"/>
        <w:ind w:firstLine="567"/>
        <w:jc w:val="center"/>
        <w:rPr>
          <w:rFonts w:asciiTheme="majorHAnsi" w:eastAsiaTheme="minorEastAsia" w:hAnsiTheme="majorHAnsi"/>
          <w:sz w:val="22"/>
          <w:szCs w:val="22"/>
        </w:rPr>
      </w:pPr>
    </w:p>
    <w:p w:rsidR="00D72F95" w:rsidRPr="00D72F95" w:rsidRDefault="00D72F95" w:rsidP="00D72F95">
      <w:pPr>
        <w:tabs>
          <w:tab w:val="left" w:pos="1134"/>
        </w:tabs>
        <w:suppressAutoHyphens/>
        <w:ind w:firstLine="567"/>
        <w:jc w:val="both"/>
        <w:rPr>
          <w:rFonts w:asciiTheme="majorHAnsi" w:hAnsiTheme="majorHAnsi"/>
          <w:sz w:val="22"/>
          <w:szCs w:val="22"/>
        </w:rPr>
      </w:pPr>
      <w:r w:rsidRPr="00D72F95">
        <w:rPr>
          <w:rFonts w:asciiTheme="majorHAnsi" w:hAnsiTheme="majorHAnsi"/>
          <w:sz w:val="22"/>
          <w:szCs w:val="22"/>
        </w:rPr>
        <w:t>Kadangi siūlomo objekto techniniai pranašumai įvertinami dviem skirtingais vertinimo būdais, todėl parametrų įvertinimas apskaičiuojamas skirtingais metodais:</w:t>
      </w:r>
    </w:p>
    <w:p w:rsidR="00D72F95" w:rsidRPr="00D72F95" w:rsidRDefault="00D72F95" w:rsidP="00D72F95">
      <w:pPr>
        <w:tabs>
          <w:tab w:val="left" w:pos="1560"/>
        </w:tabs>
        <w:suppressAutoHyphens/>
        <w:ind w:firstLine="851"/>
        <w:jc w:val="both"/>
        <w:rPr>
          <w:rFonts w:asciiTheme="majorHAnsi" w:hAnsiTheme="majorHAnsi"/>
          <w:sz w:val="22"/>
          <w:szCs w:val="22"/>
        </w:rPr>
      </w:pPr>
      <w:r w:rsidRPr="00D72F95">
        <w:rPr>
          <w:rFonts w:asciiTheme="majorHAnsi" w:hAnsiTheme="majorHAnsi"/>
          <w:sz w:val="22"/>
          <w:szCs w:val="22"/>
        </w:rPr>
        <w:t>Siūlomo objekto T</w:t>
      </w:r>
      <w:r w:rsidRPr="00D72F95">
        <w:rPr>
          <w:rFonts w:asciiTheme="majorHAnsi" w:hAnsiTheme="majorHAnsi"/>
          <w:sz w:val="22"/>
          <w:szCs w:val="22"/>
          <w:vertAlign w:val="subscript"/>
        </w:rPr>
        <w:t>1</w:t>
      </w:r>
      <w:r w:rsidRPr="00D72F95">
        <w:rPr>
          <w:rFonts w:asciiTheme="majorHAnsi" w:hAnsiTheme="majorHAnsi"/>
          <w:sz w:val="22"/>
          <w:szCs w:val="22"/>
        </w:rPr>
        <w:t>, T</w:t>
      </w:r>
      <w:r w:rsidRPr="00D72F95">
        <w:rPr>
          <w:rFonts w:asciiTheme="majorHAnsi" w:hAnsiTheme="majorHAnsi"/>
          <w:sz w:val="22"/>
          <w:szCs w:val="22"/>
          <w:vertAlign w:val="subscript"/>
        </w:rPr>
        <w:t xml:space="preserve">2 </w:t>
      </w:r>
      <w:r w:rsidRPr="00D72F95">
        <w:rPr>
          <w:rFonts w:asciiTheme="majorHAnsi" w:hAnsiTheme="majorHAnsi"/>
          <w:sz w:val="22"/>
          <w:szCs w:val="22"/>
        </w:rPr>
        <w:t>techniniai parametrai aprašomi palyginamuoju interpoliaciniu vertinimo būdu, todėl parametro įvertinimas apskaičiuojamas pagal metodiką:</w:t>
      </w:r>
    </w:p>
    <w:p w:rsidR="00D72F95" w:rsidRPr="00D72F95" w:rsidRDefault="00D72F95" w:rsidP="006D6757">
      <w:pPr>
        <w:pStyle w:val="Sraopastraipa"/>
        <w:numPr>
          <w:ilvl w:val="0"/>
          <w:numId w:val="29"/>
        </w:numPr>
        <w:pBdr>
          <w:top w:val="nil"/>
          <w:left w:val="nil"/>
          <w:bottom w:val="nil"/>
          <w:right w:val="nil"/>
          <w:between w:val="nil"/>
          <w:bar w:val="nil"/>
        </w:pBdr>
        <w:tabs>
          <w:tab w:val="left" w:pos="1134"/>
        </w:tabs>
        <w:suppressAutoHyphens/>
        <w:spacing w:after="0" w:line="240" w:lineRule="auto"/>
        <w:ind w:left="1134" w:hanging="283"/>
        <w:jc w:val="both"/>
        <w:rPr>
          <w:rFonts w:asciiTheme="majorHAnsi" w:eastAsia="Arial Unicode MS" w:hAnsiTheme="majorHAnsi"/>
          <w:bdr w:val="nil"/>
        </w:rPr>
      </w:pPr>
      <w:r w:rsidRPr="00D72F95">
        <w:rPr>
          <w:rFonts w:asciiTheme="majorHAnsi" w:eastAsia="Arial Unicode MS" w:hAnsiTheme="majorHAnsi"/>
          <w:bdr w:val="nil"/>
        </w:rPr>
        <w:t>Jei siūlomas objektas turi parametro T</w:t>
      </w:r>
      <w:r w:rsidRPr="00D72F95">
        <w:rPr>
          <w:rFonts w:asciiTheme="majorHAnsi" w:eastAsia="Arial Unicode MS" w:hAnsiTheme="majorHAnsi"/>
          <w:bdr w:val="nil"/>
          <w:vertAlign w:val="subscript"/>
        </w:rPr>
        <w:t>1</w:t>
      </w:r>
      <w:r w:rsidRPr="00D72F95">
        <w:rPr>
          <w:rFonts w:asciiTheme="majorHAnsi" w:eastAsia="Arial Unicode MS" w:hAnsiTheme="majorHAnsi"/>
          <w:bdr w:val="nil"/>
        </w:rPr>
        <w:t>, T</w:t>
      </w:r>
      <w:r w:rsidRPr="00D72F95">
        <w:rPr>
          <w:rFonts w:asciiTheme="majorHAnsi" w:eastAsia="Arial Unicode MS" w:hAnsiTheme="majorHAnsi"/>
          <w:bdr w:val="nil"/>
          <w:vertAlign w:val="subscript"/>
        </w:rPr>
        <w:t>2</w:t>
      </w:r>
      <w:r w:rsidRPr="00D72F95">
        <w:rPr>
          <w:rFonts w:asciiTheme="majorHAnsi" w:eastAsia="Arial Unicode MS" w:hAnsiTheme="majorHAnsi"/>
          <w:bdr w:val="nil"/>
        </w:rPr>
        <w:t xml:space="preserve"> didžiausią skaitinę vertę (T</w:t>
      </w:r>
      <w:r w:rsidRPr="00D72F95">
        <w:rPr>
          <w:rFonts w:asciiTheme="majorHAnsi" w:eastAsia="Arial Unicode MS" w:hAnsiTheme="majorHAnsi"/>
          <w:bdr w:val="nil"/>
          <w:vertAlign w:val="subscript"/>
        </w:rPr>
        <w:t>max</w:t>
      </w:r>
      <w:r w:rsidRPr="00D72F95">
        <w:rPr>
          <w:rFonts w:asciiTheme="majorHAnsi" w:eastAsia="Arial Unicode MS" w:hAnsiTheme="majorHAnsi"/>
          <w:bdr w:val="nil"/>
        </w:rPr>
        <w:t>) gauna maksimalų balų skaičių pagal lyginamąjį svorį: T</w:t>
      </w:r>
      <w:r w:rsidRPr="00D72F95">
        <w:rPr>
          <w:rFonts w:asciiTheme="majorHAnsi" w:eastAsia="Arial Unicode MS" w:hAnsiTheme="majorHAnsi"/>
          <w:bdr w:val="nil"/>
          <w:vertAlign w:val="subscript"/>
        </w:rPr>
        <w:t>1</w:t>
      </w:r>
      <w:r w:rsidRPr="00D72F95">
        <w:rPr>
          <w:rFonts w:asciiTheme="majorHAnsi" w:eastAsia="Arial Unicode MS" w:hAnsiTheme="majorHAnsi"/>
          <w:bdr w:val="nil"/>
        </w:rPr>
        <w:t xml:space="preserve"> = L</w:t>
      </w:r>
      <w:r w:rsidRPr="00D72F95">
        <w:rPr>
          <w:rFonts w:asciiTheme="majorHAnsi" w:eastAsia="Arial Unicode MS" w:hAnsiTheme="majorHAnsi"/>
          <w:bdr w:val="nil"/>
          <w:vertAlign w:val="subscript"/>
        </w:rPr>
        <w:t>1</w:t>
      </w:r>
      <w:r w:rsidRPr="00D72F95">
        <w:rPr>
          <w:rFonts w:asciiTheme="majorHAnsi" w:eastAsia="Arial Unicode MS" w:hAnsiTheme="majorHAnsi"/>
          <w:bdr w:val="nil"/>
        </w:rPr>
        <w:t xml:space="preserve"> = 0,20; T</w:t>
      </w:r>
      <w:r w:rsidRPr="00D72F95">
        <w:rPr>
          <w:rFonts w:asciiTheme="majorHAnsi" w:eastAsia="Arial Unicode MS" w:hAnsiTheme="majorHAnsi"/>
          <w:bdr w:val="nil"/>
          <w:vertAlign w:val="subscript"/>
        </w:rPr>
        <w:t>2</w:t>
      </w:r>
      <w:r w:rsidRPr="00D72F95">
        <w:rPr>
          <w:rFonts w:asciiTheme="majorHAnsi" w:eastAsia="Arial Unicode MS" w:hAnsiTheme="majorHAnsi"/>
          <w:bdr w:val="nil"/>
        </w:rPr>
        <w:t xml:space="preserve"> = L</w:t>
      </w:r>
      <w:r w:rsidRPr="00D72F95">
        <w:rPr>
          <w:rFonts w:asciiTheme="majorHAnsi" w:eastAsia="Arial Unicode MS" w:hAnsiTheme="majorHAnsi"/>
          <w:bdr w:val="nil"/>
          <w:vertAlign w:val="subscript"/>
        </w:rPr>
        <w:t>2</w:t>
      </w:r>
      <w:r w:rsidRPr="00D72F95">
        <w:rPr>
          <w:rFonts w:asciiTheme="majorHAnsi" w:eastAsia="Arial Unicode MS" w:hAnsiTheme="majorHAnsi"/>
          <w:bdr w:val="nil"/>
        </w:rPr>
        <w:t xml:space="preserve"> = 0,40. Mažiausią parametrų T</w:t>
      </w:r>
      <w:r w:rsidRPr="00D72F95">
        <w:rPr>
          <w:rFonts w:asciiTheme="majorHAnsi" w:eastAsia="Arial Unicode MS" w:hAnsiTheme="majorHAnsi"/>
          <w:bdr w:val="nil"/>
          <w:vertAlign w:val="subscript"/>
        </w:rPr>
        <w:t>1</w:t>
      </w:r>
      <w:r w:rsidRPr="00D72F95">
        <w:rPr>
          <w:rFonts w:asciiTheme="majorHAnsi" w:eastAsia="Arial Unicode MS" w:hAnsiTheme="majorHAnsi"/>
          <w:bdr w:val="nil"/>
        </w:rPr>
        <w:t>, T</w:t>
      </w:r>
      <w:r w:rsidRPr="00D72F95">
        <w:rPr>
          <w:rFonts w:asciiTheme="majorHAnsi" w:eastAsia="Arial Unicode MS" w:hAnsiTheme="majorHAnsi"/>
          <w:bdr w:val="nil"/>
          <w:vertAlign w:val="subscript"/>
        </w:rPr>
        <w:t>2</w:t>
      </w:r>
      <w:r w:rsidRPr="00D72F95">
        <w:rPr>
          <w:rFonts w:asciiTheme="majorHAnsi" w:eastAsia="Arial Unicode MS" w:hAnsiTheme="majorHAnsi"/>
          <w:bdr w:val="nil"/>
        </w:rPr>
        <w:t xml:space="preserve"> skaitinę vertę (T</w:t>
      </w:r>
      <w:r w:rsidRPr="00D72F95">
        <w:rPr>
          <w:rFonts w:asciiTheme="majorHAnsi" w:eastAsia="Arial Unicode MS" w:hAnsiTheme="majorHAnsi"/>
          <w:bdr w:val="nil"/>
          <w:vertAlign w:val="subscript"/>
        </w:rPr>
        <w:t>min</w:t>
      </w:r>
      <w:r w:rsidRPr="00D72F95">
        <w:rPr>
          <w:rFonts w:asciiTheme="majorHAnsi" w:eastAsia="Arial Unicode MS" w:hAnsiTheme="majorHAnsi"/>
          <w:bdr w:val="nil"/>
        </w:rPr>
        <w:t>) turintis objektas gauna 0 balų: T</w:t>
      </w:r>
      <w:r w:rsidRPr="00D72F95">
        <w:rPr>
          <w:rFonts w:asciiTheme="majorHAnsi" w:eastAsia="Arial Unicode MS" w:hAnsiTheme="majorHAnsi"/>
          <w:bdr w:val="nil"/>
          <w:vertAlign w:val="subscript"/>
        </w:rPr>
        <w:t>1</w:t>
      </w:r>
      <w:r w:rsidRPr="00D72F95">
        <w:rPr>
          <w:rFonts w:asciiTheme="majorHAnsi" w:eastAsia="Arial Unicode MS" w:hAnsiTheme="majorHAnsi"/>
          <w:bdr w:val="nil"/>
        </w:rPr>
        <w:t xml:space="preserve"> = L</w:t>
      </w:r>
      <w:r w:rsidRPr="00D72F95">
        <w:rPr>
          <w:rFonts w:asciiTheme="majorHAnsi" w:eastAsia="Arial Unicode MS" w:hAnsiTheme="majorHAnsi"/>
          <w:bdr w:val="nil"/>
          <w:vertAlign w:val="subscript"/>
        </w:rPr>
        <w:t>1</w:t>
      </w:r>
      <w:r w:rsidRPr="00D72F95">
        <w:rPr>
          <w:rFonts w:asciiTheme="majorHAnsi" w:eastAsia="Arial Unicode MS" w:hAnsiTheme="majorHAnsi"/>
          <w:bdr w:val="nil"/>
        </w:rPr>
        <w:t xml:space="preserve"> = 0; T</w:t>
      </w:r>
      <w:r w:rsidRPr="00D72F95">
        <w:rPr>
          <w:rFonts w:asciiTheme="majorHAnsi" w:eastAsia="Arial Unicode MS" w:hAnsiTheme="majorHAnsi"/>
          <w:bdr w:val="nil"/>
          <w:vertAlign w:val="subscript"/>
        </w:rPr>
        <w:t>2</w:t>
      </w:r>
      <w:r w:rsidRPr="00D72F95">
        <w:rPr>
          <w:rFonts w:asciiTheme="majorHAnsi" w:eastAsia="Arial Unicode MS" w:hAnsiTheme="majorHAnsi"/>
          <w:bdr w:val="nil"/>
        </w:rPr>
        <w:t xml:space="preserve"> = L</w:t>
      </w:r>
      <w:r w:rsidRPr="00D72F95">
        <w:rPr>
          <w:rFonts w:asciiTheme="majorHAnsi" w:eastAsia="Arial Unicode MS" w:hAnsiTheme="majorHAnsi"/>
          <w:bdr w:val="nil"/>
          <w:vertAlign w:val="subscript"/>
        </w:rPr>
        <w:t>2</w:t>
      </w:r>
      <w:r w:rsidRPr="00D72F95">
        <w:rPr>
          <w:rFonts w:asciiTheme="majorHAnsi" w:eastAsia="Arial Unicode MS" w:hAnsiTheme="majorHAnsi"/>
          <w:bdr w:val="nil"/>
        </w:rPr>
        <w:t xml:space="preserve"> = 0. </w:t>
      </w:r>
    </w:p>
    <w:p w:rsidR="00D72F95" w:rsidRPr="00D72F95" w:rsidRDefault="00D72F95" w:rsidP="006D6757">
      <w:pPr>
        <w:pStyle w:val="Sraopastraipa"/>
        <w:numPr>
          <w:ilvl w:val="0"/>
          <w:numId w:val="29"/>
        </w:numPr>
        <w:pBdr>
          <w:top w:val="nil"/>
          <w:left w:val="nil"/>
          <w:bottom w:val="nil"/>
          <w:right w:val="nil"/>
          <w:between w:val="nil"/>
          <w:bar w:val="nil"/>
        </w:pBdr>
        <w:tabs>
          <w:tab w:val="left" w:pos="1134"/>
        </w:tabs>
        <w:suppressAutoHyphens/>
        <w:spacing w:after="0" w:line="240" w:lineRule="auto"/>
        <w:ind w:left="1134" w:hanging="283"/>
        <w:jc w:val="both"/>
        <w:rPr>
          <w:rFonts w:asciiTheme="majorHAnsi" w:eastAsia="Arial Unicode MS" w:hAnsiTheme="majorHAnsi"/>
          <w:bdr w:val="nil"/>
        </w:rPr>
      </w:pPr>
      <w:r w:rsidRPr="00D72F95">
        <w:rPr>
          <w:rFonts w:asciiTheme="majorHAnsi" w:eastAsia="Arial Unicode MS" w:hAnsiTheme="majorHAnsi"/>
          <w:bdr w:val="nil"/>
        </w:rPr>
        <w:t>Visais kitais atvejais vertinamo objekto (T</w:t>
      </w:r>
      <w:r w:rsidRPr="00D72F95">
        <w:rPr>
          <w:rFonts w:asciiTheme="majorHAnsi" w:eastAsia="Arial Unicode MS" w:hAnsiTheme="majorHAnsi"/>
          <w:bdr w:val="nil"/>
          <w:vertAlign w:val="subscript"/>
        </w:rPr>
        <w:t>v</w:t>
      </w:r>
      <w:r w:rsidRPr="00D72F95">
        <w:rPr>
          <w:rFonts w:asciiTheme="majorHAnsi" w:eastAsia="Arial Unicode MS" w:hAnsiTheme="majorHAnsi"/>
          <w:bdr w:val="nil"/>
        </w:rPr>
        <w:t>) parametro įvertinimas skaičiuojamas pagal formulę:</w:t>
      </w:r>
    </w:p>
    <w:p w:rsidR="00D72F95" w:rsidRPr="00D72F95" w:rsidRDefault="00D72F95" w:rsidP="006D6757">
      <w:pPr>
        <w:tabs>
          <w:tab w:val="left" w:pos="1134"/>
        </w:tabs>
        <w:suppressAutoHyphens/>
        <w:jc w:val="both"/>
        <w:rPr>
          <w:rFonts w:asciiTheme="majorHAnsi" w:hAnsiTheme="majorHAnsi"/>
          <w:sz w:val="22"/>
          <w:szCs w:val="22"/>
        </w:rPr>
      </w:pPr>
    </w:p>
    <w:p w:rsidR="00D72F95" w:rsidRPr="00D72F95" w:rsidRDefault="009F2011" w:rsidP="006D6757">
      <w:pPr>
        <w:tabs>
          <w:tab w:val="left" w:pos="1134"/>
        </w:tabs>
        <w:suppressAutoHyphens/>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D72F95" w:rsidRPr="00D72F95" w:rsidRDefault="00D72F95" w:rsidP="006D6757">
      <w:pPr>
        <w:tabs>
          <w:tab w:val="left" w:pos="1134"/>
        </w:tabs>
        <w:suppressAutoHyphens/>
        <w:jc w:val="both"/>
        <w:rPr>
          <w:rFonts w:asciiTheme="majorHAnsi" w:hAnsiTheme="majorHAnsi"/>
          <w:sz w:val="22"/>
          <w:szCs w:val="22"/>
        </w:rPr>
      </w:pPr>
    </w:p>
    <w:p w:rsidR="00D72F95" w:rsidRPr="00D72F95" w:rsidRDefault="00D72F95" w:rsidP="006D6757">
      <w:pPr>
        <w:tabs>
          <w:tab w:val="left" w:pos="1560"/>
        </w:tabs>
        <w:suppressAutoHyphens/>
        <w:ind w:firstLine="851"/>
        <w:jc w:val="both"/>
        <w:rPr>
          <w:rFonts w:asciiTheme="majorHAnsi" w:hAnsiTheme="majorHAnsi"/>
          <w:sz w:val="22"/>
          <w:szCs w:val="22"/>
        </w:rPr>
      </w:pPr>
      <w:r w:rsidRPr="00D72F95">
        <w:rPr>
          <w:rFonts w:asciiTheme="majorHAnsi" w:hAnsiTheme="majorHAnsi"/>
          <w:color w:val="000000" w:themeColor="text1"/>
          <w:sz w:val="22"/>
          <w:szCs w:val="22"/>
          <w:bdr w:val="none" w:sz="0" w:space="0" w:color="auto" w:frame="1"/>
        </w:rPr>
        <w:t>Siūlomo objekto T</w:t>
      </w:r>
      <w:r w:rsidRPr="00D72F95">
        <w:rPr>
          <w:rFonts w:asciiTheme="majorHAnsi" w:hAnsiTheme="majorHAnsi"/>
          <w:color w:val="000000" w:themeColor="text1"/>
          <w:sz w:val="22"/>
          <w:szCs w:val="22"/>
          <w:bdr w:val="none" w:sz="0" w:space="0" w:color="auto" w:frame="1"/>
          <w:vertAlign w:val="subscript"/>
        </w:rPr>
        <w:t>3</w:t>
      </w:r>
      <w:r w:rsidRPr="00D72F95">
        <w:rPr>
          <w:rFonts w:asciiTheme="majorHAnsi" w:hAnsiTheme="majorHAnsi"/>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D72F95" w:rsidRPr="00D72F95" w:rsidRDefault="00D72F95" w:rsidP="00D72F95">
      <w:pPr>
        <w:pStyle w:val="Sraopastraipa"/>
        <w:numPr>
          <w:ilvl w:val="0"/>
          <w:numId w:val="30"/>
        </w:numPr>
        <w:pBdr>
          <w:top w:val="nil"/>
          <w:left w:val="nil"/>
          <w:bottom w:val="nil"/>
          <w:right w:val="nil"/>
          <w:between w:val="nil"/>
          <w:bar w:val="nil"/>
        </w:pBdr>
        <w:tabs>
          <w:tab w:val="left" w:pos="851"/>
          <w:tab w:val="left" w:pos="2268"/>
        </w:tabs>
        <w:suppressAutoHyphens/>
        <w:spacing w:after="0" w:line="240" w:lineRule="auto"/>
        <w:ind w:left="1418"/>
        <w:jc w:val="both"/>
        <w:rPr>
          <w:rFonts w:asciiTheme="majorHAnsi" w:eastAsia="Arial Unicode MS" w:hAnsiTheme="majorHAnsi"/>
          <w:bdr w:val="nil"/>
        </w:rPr>
      </w:pPr>
      <w:r w:rsidRPr="00D72F95">
        <w:rPr>
          <w:rFonts w:asciiTheme="majorHAnsi" w:hAnsiTheme="majorHAnsi"/>
          <w:color w:val="000000" w:themeColor="text1"/>
          <w:bdr w:val="none" w:sz="0" w:space="0" w:color="auto" w:frame="1"/>
        </w:rPr>
        <w:t>Jei siūlomas objektas turi nurodytą pranašumą: T</w:t>
      </w:r>
      <w:r w:rsidRPr="00D72F95">
        <w:rPr>
          <w:rFonts w:asciiTheme="majorHAnsi" w:hAnsiTheme="majorHAnsi"/>
          <w:color w:val="000000" w:themeColor="text1"/>
          <w:bdr w:val="none" w:sz="0" w:space="0" w:color="auto" w:frame="1"/>
          <w:vertAlign w:val="subscript"/>
        </w:rPr>
        <w:t>3</w:t>
      </w:r>
      <w:r w:rsidRPr="00D72F95">
        <w:rPr>
          <w:rFonts w:asciiTheme="majorHAnsi" w:hAnsiTheme="majorHAnsi"/>
          <w:color w:val="000000" w:themeColor="text1"/>
          <w:bdr w:val="none" w:sz="0" w:space="0" w:color="auto" w:frame="1"/>
        </w:rPr>
        <w:t xml:space="preserve"> = L</w:t>
      </w:r>
      <w:r w:rsidRPr="00D72F95">
        <w:rPr>
          <w:rFonts w:asciiTheme="majorHAnsi" w:hAnsiTheme="majorHAnsi"/>
          <w:color w:val="000000" w:themeColor="text1"/>
          <w:bdr w:val="none" w:sz="0" w:space="0" w:color="auto" w:frame="1"/>
          <w:vertAlign w:val="subscript"/>
        </w:rPr>
        <w:t xml:space="preserve">3 </w:t>
      </w:r>
      <w:r w:rsidRPr="00D72F95">
        <w:rPr>
          <w:rFonts w:asciiTheme="majorHAnsi" w:hAnsiTheme="majorHAnsi"/>
          <w:color w:val="000000" w:themeColor="text1"/>
          <w:bdr w:val="none" w:sz="0" w:space="0" w:color="auto" w:frame="1"/>
        </w:rPr>
        <w:t>= 0,40;</w:t>
      </w:r>
    </w:p>
    <w:p w:rsidR="00D72F95" w:rsidRPr="00D72F95" w:rsidRDefault="00D72F95" w:rsidP="00D72F95">
      <w:pPr>
        <w:pStyle w:val="Sraopastraipa"/>
        <w:numPr>
          <w:ilvl w:val="0"/>
          <w:numId w:val="30"/>
        </w:numPr>
        <w:pBdr>
          <w:top w:val="nil"/>
          <w:left w:val="nil"/>
          <w:bottom w:val="nil"/>
          <w:right w:val="nil"/>
          <w:between w:val="nil"/>
          <w:bar w:val="nil"/>
        </w:pBdr>
        <w:tabs>
          <w:tab w:val="left" w:pos="851"/>
        </w:tabs>
        <w:suppressAutoHyphens/>
        <w:spacing w:after="0" w:line="240" w:lineRule="auto"/>
        <w:ind w:left="1418"/>
        <w:jc w:val="both"/>
        <w:rPr>
          <w:rFonts w:asciiTheme="majorHAnsi" w:eastAsia="Arial Unicode MS" w:hAnsiTheme="majorHAnsi"/>
          <w:bdr w:val="nil"/>
        </w:rPr>
      </w:pPr>
      <w:r w:rsidRPr="00D72F95">
        <w:rPr>
          <w:rFonts w:asciiTheme="majorHAnsi" w:hAnsiTheme="majorHAnsi"/>
          <w:color w:val="000000" w:themeColor="text1"/>
          <w:bdr w:val="none" w:sz="0" w:space="0" w:color="auto" w:frame="1"/>
        </w:rPr>
        <w:t>Jei siūlomas objektas neturi nurodyto pranašumo: T</w:t>
      </w:r>
      <w:r w:rsidRPr="00D72F95">
        <w:rPr>
          <w:rFonts w:asciiTheme="majorHAnsi" w:hAnsiTheme="majorHAnsi"/>
          <w:color w:val="000000" w:themeColor="text1"/>
          <w:bdr w:val="none" w:sz="0" w:space="0" w:color="auto" w:frame="1"/>
          <w:vertAlign w:val="subscript"/>
        </w:rPr>
        <w:t>3</w:t>
      </w:r>
      <w:r w:rsidRPr="00D72F95">
        <w:rPr>
          <w:rFonts w:asciiTheme="majorHAnsi" w:hAnsiTheme="majorHAnsi"/>
          <w:color w:val="000000" w:themeColor="text1"/>
          <w:bdr w:val="none" w:sz="0" w:space="0" w:color="auto" w:frame="1"/>
        </w:rPr>
        <w:t xml:space="preserve"> = L</w:t>
      </w:r>
      <w:r w:rsidRPr="00D72F95">
        <w:rPr>
          <w:rFonts w:asciiTheme="majorHAnsi" w:hAnsiTheme="majorHAnsi"/>
          <w:color w:val="000000" w:themeColor="text1"/>
          <w:bdr w:val="none" w:sz="0" w:space="0" w:color="auto" w:frame="1"/>
          <w:vertAlign w:val="subscript"/>
        </w:rPr>
        <w:t xml:space="preserve">3 </w:t>
      </w:r>
      <w:r w:rsidRPr="00D72F95">
        <w:rPr>
          <w:rFonts w:asciiTheme="majorHAnsi" w:hAnsiTheme="majorHAnsi"/>
          <w:color w:val="000000" w:themeColor="text1"/>
          <w:bdr w:val="none" w:sz="0" w:space="0" w:color="auto" w:frame="1"/>
        </w:rPr>
        <w:t>= 0.</w:t>
      </w:r>
    </w:p>
    <w:p w:rsidR="00D72F95" w:rsidRPr="00D72F95" w:rsidRDefault="00D72F95" w:rsidP="00D72F95">
      <w:pPr>
        <w:shd w:val="clear" w:color="auto" w:fill="FFFFFF"/>
        <w:jc w:val="both"/>
        <w:rPr>
          <w:rFonts w:asciiTheme="majorHAnsi" w:hAnsiTheme="majorHAnsi"/>
          <w:color w:val="000000" w:themeColor="text1"/>
          <w:sz w:val="22"/>
          <w:szCs w:val="22"/>
          <w:bdr w:val="none" w:sz="0" w:space="0" w:color="auto" w:frame="1"/>
        </w:rPr>
      </w:pPr>
    </w:p>
    <w:p w:rsidR="00D72F95" w:rsidRPr="00D72F95" w:rsidRDefault="00D72F95" w:rsidP="00D72F95">
      <w:pPr>
        <w:tabs>
          <w:tab w:val="left" w:pos="851"/>
        </w:tabs>
        <w:suppressAutoHyphens/>
        <w:ind w:firstLine="851"/>
        <w:jc w:val="both"/>
        <w:rPr>
          <w:rFonts w:asciiTheme="majorHAnsi" w:hAnsiTheme="majorHAnsi"/>
          <w:sz w:val="22"/>
          <w:szCs w:val="22"/>
        </w:rPr>
      </w:pPr>
      <w:r w:rsidRPr="00D72F95">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D72F95" w:rsidRPr="00D72F95" w:rsidRDefault="00D72F95" w:rsidP="00D72F95">
      <w:pPr>
        <w:tabs>
          <w:tab w:val="left" w:pos="851"/>
        </w:tabs>
        <w:suppressAutoHyphens/>
        <w:ind w:left="360"/>
        <w:rPr>
          <w:rFonts w:asciiTheme="majorHAnsi" w:hAnsiTheme="majorHAnsi"/>
          <w:sz w:val="22"/>
          <w:szCs w:val="22"/>
        </w:rPr>
      </w:pPr>
    </w:p>
    <w:p w:rsidR="00D72F95" w:rsidRPr="00D72F95" w:rsidRDefault="00D72F95" w:rsidP="00D72F95">
      <w:pPr>
        <w:jc w:val="center"/>
        <w:rPr>
          <w:rFonts w:asciiTheme="majorHAnsi" w:hAnsiTheme="majorHAnsi"/>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D72F95" w:rsidRPr="00D72F95" w:rsidRDefault="00D72F95" w:rsidP="00D72F95">
      <w:pPr>
        <w:jc w:val="both"/>
        <w:rPr>
          <w:rFonts w:asciiTheme="majorHAnsi" w:hAnsiTheme="majorHAnsi"/>
          <w:sz w:val="22"/>
          <w:szCs w:val="22"/>
        </w:rPr>
      </w:pPr>
    </w:p>
    <w:p w:rsidR="00D72F95" w:rsidRPr="00D72F95" w:rsidRDefault="00D72F95" w:rsidP="00D72F95">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D72F95">
        <w:rPr>
          <w:rFonts w:asciiTheme="majorHAnsi" w:eastAsia="Arial Unicode MS" w:hAnsiTheme="majorHAnsi"/>
          <w:b/>
          <w:bCs/>
          <w:caps/>
          <w:spacing w:val="4"/>
          <w:bdr w:val="nil"/>
        </w:rPr>
        <w:t xml:space="preserve">Informavimas APIE VERTINIMO REZULTATUS </w:t>
      </w:r>
    </w:p>
    <w:p w:rsidR="00D72F95" w:rsidRPr="00D72F95" w:rsidRDefault="00D72F95" w:rsidP="00D72F95">
      <w:pPr>
        <w:tabs>
          <w:tab w:val="left" w:pos="851"/>
        </w:tabs>
        <w:suppressAutoHyphens/>
        <w:jc w:val="both"/>
        <w:rPr>
          <w:rFonts w:asciiTheme="majorHAnsi" w:hAnsiTheme="majorHAnsi"/>
          <w:vanish/>
          <w:sz w:val="22"/>
          <w:szCs w:val="22"/>
        </w:rPr>
      </w:pPr>
    </w:p>
    <w:p w:rsidR="00D72F95" w:rsidRPr="00D72F95" w:rsidRDefault="00D72F95" w:rsidP="00D72F95">
      <w:pPr>
        <w:tabs>
          <w:tab w:val="left" w:pos="851"/>
        </w:tabs>
        <w:suppressAutoHyphens/>
        <w:ind w:firstLine="851"/>
        <w:jc w:val="both"/>
        <w:rPr>
          <w:rFonts w:asciiTheme="majorHAnsi" w:hAnsiTheme="majorHAnsi"/>
          <w:sz w:val="22"/>
          <w:szCs w:val="22"/>
        </w:rPr>
      </w:pPr>
      <w:r w:rsidRPr="00D72F95">
        <w:rPr>
          <w:rFonts w:asciiTheme="majorHAnsi" w:hAnsiTheme="majorHAnsi"/>
          <w:color w:val="000000" w:themeColor="text1"/>
          <w:sz w:val="22"/>
          <w:szCs w:val="22"/>
          <w:lang w:bidi="hi-IN"/>
        </w:rPr>
        <w:t>Laimėjusiu Pasiūlymu bus pripažintas Pasiūlymas, atitinkantis visus Pirkimo dokumentuose nustatytus reikalavimus, kurio ekonominis naudingumas (E) bus didžiausias.</w:t>
      </w:r>
    </w:p>
    <w:p w:rsidR="008012C2" w:rsidRPr="00D72F95" w:rsidRDefault="00D72F95" w:rsidP="00D72F95">
      <w:pPr>
        <w:tabs>
          <w:tab w:val="left" w:pos="851"/>
        </w:tabs>
        <w:suppressAutoHyphens/>
        <w:ind w:firstLine="851"/>
        <w:jc w:val="both"/>
        <w:rPr>
          <w:rFonts w:asciiTheme="majorHAnsi" w:hAnsiTheme="majorHAnsi"/>
          <w:sz w:val="22"/>
          <w:szCs w:val="22"/>
        </w:rPr>
      </w:pPr>
      <w:r w:rsidRPr="00D72F95">
        <w:rPr>
          <w:rFonts w:asciiTheme="majorHAnsi" w:eastAsia="Calibri" w:hAnsiTheme="majorHAnsi"/>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3170DA" w:rsidRPr="00D72F95" w:rsidRDefault="003170DA" w:rsidP="00B611A0">
      <w:pPr>
        <w:pStyle w:val="Antrat1"/>
        <w:spacing w:before="120" w:after="240"/>
        <w:ind w:left="0" w:firstLine="0"/>
        <w:rPr>
          <w:rFonts w:asciiTheme="majorHAnsi" w:hAnsiTheme="majorHAnsi"/>
          <w:b/>
          <w:sz w:val="22"/>
        </w:rPr>
      </w:pPr>
      <w:r w:rsidRPr="00D72F95">
        <w:rPr>
          <w:rFonts w:asciiTheme="majorHAnsi" w:hAnsiTheme="majorHAnsi"/>
          <w:b/>
          <w:sz w:val="22"/>
        </w:rPr>
        <w:lastRenderedPageBreak/>
        <w:t xml:space="preserve"> </w:t>
      </w:r>
      <w:bookmarkStart w:id="42" w:name="_Toc490665153"/>
      <w:r w:rsidRPr="00D72F95">
        <w:rPr>
          <w:rFonts w:asciiTheme="majorHAnsi" w:hAnsiTheme="majorHAnsi"/>
          <w:b/>
          <w:sz w:val="22"/>
        </w:rPr>
        <w:t xml:space="preserve">PASIŪLYMŲ </w:t>
      </w:r>
      <w:r w:rsidRPr="00D72F95">
        <w:rPr>
          <w:rFonts w:asciiTheme="majorHAnsi" w:hAnsiTheme="majorHAnsi"/>
          <w:b/>
          <w:sz w:val="22"/>
          <w:lang w:val="da-DK"/>
        </w:rPr>
        <w:t>EIL</w:t>
      </w:r>
      <w:r w:rsidRPr="00D72F95">
        <w:rPr>
          <w:rFonts w:asciiTheme="majorHAnsi" w:hAnsiTheme="majorHAnsi"/>
          <w:b/>
          <w:sz w:val="22"/>
        </w:rPr>
        <w:t xml:space="preserve">Ė </w:t>
      </w:r>
      <w:r w:rsidRPr="00D72F95">
        <w:rPr>
          <w:rFonts w:asciiTheme="majorHAnsi" w:hAnsiTheme="majorHAnsi"/>
          <w:b/>
          <w:sz w:val="22"/>
          <w:lang w:val="de-DE"/>
        </w:rPr>
        <w:t xml:space="preserve">IR </w:t>
      </w:r>
      <w:r w:rsidRPr="00D72F95">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 xml:space="preserve">16.4. Perkančioji organizacija, gavusi pretenziją, sudaro pirkimo sutartį ar preliminariąją sutartį ne anksčiau kaip po 5 darbo dienų nuo rašytinio pranešimo apie jos priimtą sprendimą </w:t>
      </w:r>
      <w:r w:rsidRPr="007750CB">
        <w:rPr>
          <w:rFonts w:asciiTheme="majorHAnsi" w:hAnsiTheme="majorHAnsi" w:cs="Times New Roman"/>
        </w:rPr>
        <w:lastRenderedPageBreak/>
        <w:t>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8012C2" w:rsidRDefault="007A13F5" w:rsidP="008012C2">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6D6757" w:rsidRPr="006D6757" w:rsidRDefault="006D6757" w:rsidP="006D6757">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6D6757">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D6757">
        <w:rPr>
          <w:rFonts w:asciiTheme="majorHAnsi" w:hAnsiTheme="majorHAnsi"/>
          <w:b/>
          <w:bCs/>
          <w:sz w:val="22"/>
          <w:szCs w:val="22"/>
        </w:rPr>
        <w:t>HOLTERIO MONITORAVIMO SISTEMOS</w:t>
      </w:r>
      <w:r w:rsidR="00F07E79">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Pr="001F5F6A"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244C11">
        <w:trPr>
          <w:trHeight w:val="534"/>
        </w:trPr>
        <w:tc>
          <w:tcPr>
            <w:tcW w:w="36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244C1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244C11">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val="restart"/>
            <w:vAlign w:val="center"/>
          </w:tcPr>
          <w:p w:rsidR="00FC37FC" w:rsidRPr="001F5F6A" w:rsidRDefault="00FC37FC" w:rsidP="00244C11">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244C11">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tcPr>
          <w:p w:rsidR="00FC37FC" w:rsidRPr="001F5F6A" w:rsidRDefault="00FC37FC" w:rsidP="00244C11">
            <w:pPr>
              <w:jc w:val="center"/>
              <w:rPr>
                <w:rFonts w:ascii="Cambria" w:hAnsi="Cambria"/>
                <w:sz w:val="22"/>
                <w:szCs w:val="22"/>
              </w:rPr>
            </w:pPr>
          </w:p>
        </w:tc>
        <w:tc>
          <w:tcPr>
            <w:tcW w:w="956" w:type="pct"/>
            <w:shd w:val="clear" w:color="auto" w:fill="auto"/>
            <w:vAlign w:val="center"/>
          </w:tcPr>
          <w:p w:rsidR="00FC37FC" w:rsidRPr="001F5F6A" w:rsidRDefault="00FC37FC" w:rsidP="00244C11">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244C11">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F46427" w:rsidRPr="008012C2" w:rsidTr="00F46427">
        <w:trPr>
          <w:trHeight w:val="397"/>
        </w:trPr>
        <w:tc>
          <w:tcPr>
            <w:tcW w:w="704" w:type="dxa"/>
          </w:tcPr>
          <w:p w:rsidR="00F46427" w:rsidRPr="008012C2" w:rsidRDefault="00F46427" w:rsidP="00F46427">
            <w:pPr>
              <w:jc w:val="center"/>
              <w:rPr>
                <w:rFonts w:asciiTheme="majorHAnsi" w:hAnsiTheme="majorHAnsi"/>
                <w:color w:val="000000" w:themeColor="text1"/>
                <w:sz w:val="22"/>
                <w:szCs w:val="22"/>
              </w:rPr>
            </w:pPr>
            <w:r w:rsidRPr="008012C2">
              <w:rPr>
                <w:rFonts w:asciiTheme="majorHAnsi" w:hAnsiTheme="majorHAnsi"/>
                <w:color w:val="000000" w:themeColor="text1"/>
                <w:sz w:val="22"/>
                <w:szCs w:val="22"/>
              </w:rPr>
              <w:t>T</w:t>
            </w:r>
            <w:r w:rsidRPr="008012C2">
              <w:rPr>
                <w:rFonts w:asciiTheme="majorHAnsi" w:hAnsiTheme="majorHAnsi"/>
                <w:color w:val="000000" w:themeColor="text1"/>
                <w:sz w:val="22"/>
                <w:szCs w:val="22"/>
                <w:vertAlign w:val="subscript"/>
              </w:rPr>
              <w:t>1</w:t>
            </w:r>
          </w:p>
        </w:tc>
        <w:tc>
          <w:tcPr>
            <w:tcW w:w="3544" w:type="dxa"/>
            <w:shd w:val="clear" w:color="auto" w:fill="auto"/>
          </w:tcPr>
          <w:p w:rsidR="00F46427" w:rsidRPr="0057095F" w:rsidRDefault="00F46427" w:rsidP="00F46427">
            <w:pPr>
              <w:tabs>
                <w:tab w:val="left" w:pos="14175"/>
              </w:tabs>
              <w:ind w:right="-86"/>
              <w:rPr>
                <w:rFonts w:ascii="Cambria" w:hAnsi="Cambria"/>
                <w:sz w:val="22"/>
                <w:szCs w:val="22"/>
                <w:lang w:bidi="lt-LT"/>
              </w:rPr>
            </w:pPr>
            <w:r w:rsidRPr="0057095F">
              <w:rPr>
                <w:rFonts w:ascii="Cambria" w:hAnsi="Cambria"/>
                <w:sz w:val="22"/>
                <w:szCs w:val="22"/>
                <w:lang w:bidi="lt-LT"/>
              </w:rPr>
              <w:t xml:space="preserve">Įrangai suteikiama ilgesnė negu 24 mėn. garantija. </w:t>
            </w:r>
          </w:p>
          <w:p w:rsidR="00F46427" w:rsidRPr="0057095F" w:rsidRDefault="00F46427" w:rsidP="00F46427">
            <w:pPr>
              <w:tabs>
                <w:tab w:val="left" w:pos="14175"/>
              </w:tabs>
              <w:ind w:right="-86"/>
              <w:rPr>
                <w:rFonts w:ascii="Cambria" w:hAnsi="Cambria"/>
                <w:sz w:val="22"/>
                <w:szCs w:val="22"/>
                <w:lang w:bidi="lt-LT"/>
              </w:rPr>
            </w:pPr>
          </w:p>
          <w:p w:rsidR="00F46427" w:rsidRPr="0057095F" w:rsidRDefault="00F46427" w:rsidP="00F46427">
            <w:pPr>
              <w:tabs>
                <w:tab w:val="left" w:pos="14175"/>
              </w:tabs>
              <w:ind w:right="55"/>
              <w:rPr>
                <w:rFonts w:ascii="Cambria" w:hAnsi="Cambria"/>
                <w:i/>
                <w:sz w:val="22"/>
                <w:szCs w:val="22"/>
              </w:rPr>
            </w:pPr>
            <w:r w:rsidRPr="0057095F">
              <w:rPr>
                <w:rFonts w:ascii="Cambria" w:hAnsi="Cambria"/>
                <w:i/>
                <w:sz w:val="22"/>
                <w:szCs w:val="22"/>
                <w:lang w:bidi="lt-LT"/>
              </w:rPr>
              <w:t>Pastaba: Balas skiriamas už kiekvienus papildomus 12 mėn.</w:t>
            </w:r>
          </w:p>
        </w:tc>
        <w:tc>
          <w:tcPr>
            <w:tcW w:w="2126" w:type="dxa"/>
            <w:vAlign w:val="center"/>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843" w:type="dxa"/>
            <w:vAlign w:val="center"/>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405" w:type="dxa"/>
            <w:vAlign w:val="center"/>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r>
      <w:tr w:rsidR="00F46427" w:rsidRPr="008012C2" w:rsidTr="00F46427">
        <w:trPr>
          <w:trHeight w:val="397"/>
        </w:trPr>
        <w:tc>
          <w:tcPr>
            <w:tcW w:w="704" w:type="dxa"/>
          </w:tcPr>
          <w:p w:rsidR="00F46427" w:rsidRPr="008012C2" w:rsidRDefault="00F46427" w:rsidP="00F46427">
            <w:pPr>
              <w:jc w:val="center"/>
              <w:rPr>
                <w:rFonts w:asciiTheme="majorHAnsi" w:hAnsiTheme="majorHAnsi"/>
                <w:color w:val="000000" w:themeColor="text1"/>
                <w:sz w:val="22"/>
                <w:szCs w:val="22"/>
              </w:rPr>
            </w:pPr>
            <w:r w:rsidRPr="008012C2">
              <w:rPr>
                <w:rFonts w:asciiTheme="majorHAnsi" w:hAnsiTheme="majorHAnsi"/>
                <w:color w:val="000000" w:themeColor="text1"/>
                <w:sz w:val="22"/>
                <w:szCs w:val="22"/>
              </w:rPr>
              <w:t>T</w:t>
            </w:r>
            <w:r w:rsidRPr="00F46427">
              <w:rPr>
                <w:rFonts w:asciiTheme="majorHAnsi" w:hAnsiTheme="majorHAnsi"/>
                <w:color w:val="000000" w:themeColor="text1"/>
                <w:sz w:val="22"/>
                <w:szCs w:val="22"/>
                <w:vertAlign w:val="subscript"/>
              </w:rPr>
              <w:t>2</w:t>
            </w:r>
          </w:p>
        </w:tc>
        <w:tc>
          <w:tcPr>
            <w:tcW w:w="3544" w:type="dxa"/>
            <w:shd w:val="clear" w:color="auto" w:fill="auto"/>
          </w:tcPr>
          <w:p w:rsidR="00F46427" w:rsidRPr="0057095F" w:rsidRDefault="00F46427" w:rsidP="00F46427">
            <w:pPr>
              <w:ind w:right="-86"/>
              <w:rPr>
                <w:rFonts w:ascii="Cambria" w:hAnsi="Cambria"/>
                <w:sz w:val="22"/>
                <w:szCs w:val="22"/>
              </w:rPr>
            </w:pPr>
            <w:r w:rsidRPr="0057095F">
              <w:rPr>
                <w:rFonts w:ascii="Cambria" w:hAnsi="Cambria"/>
                <w:sz w:val="22"/>
                <w:szCs w:val="22"/>
                <w:lang w:bidi="lt-LT"/>
              </w:rPr>
              <w:t>Didžiausias diskretizavimo dažnis.</w:t>
            </w:r>
          </w:p>
        </w:tc>
        <w:tc>
          <w:tcPr>
            <w:tcW w:w="2126" w:type="dxa"/>
            <w:vAlign w:val="center"/>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843" w:type="dxa"/>
            <w:vAlign w:val="center"/>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405" w:type="dxa"/>
            <w:vAlign w:val="center"/>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r>
      <w:tr w:rsidR="00F46427" w:rsidRPr="008012C2" w:rsidTr="00F46427">
        <w:trPr>
          <w:trHeight w:val="397"/>
        </w:trPr>
        <w:tc>
          <w:tcPr>
            <w:tcW w:w="704" w:type="dxa"/>
          </w:tcPr>
          <w:p w:rsidR="00F46427" w:rsidRPr="008012C2" w:rsidRDefault="00F46427" w:rsidP="00F46427">
            <w:pPr>
              <w:jc w:val="center"/>
              <w:rPr>
                <w:rFonts w:asciiTheme="majorHAnsi" w:hAnsiTheme="majorHAnsi"/>
                <w:color w:val="000000" w:themeColor="text1"/>
                <w:sz w:val="22"/>
                <w:szCs w:val="22"/>
              </w:rPr>
            </w:pPr>
            <w:r w:rsidRPr="008012C2">
              <w:rPr>
                <w:rFonts w:asciiTheme="majorHAnsi" w:hAnsiTheme="majorHAnsi"/>
                <w:color w:val="000000" w:themeColor="text1"/>
                <w:sz w:val="22"/>
                <w:szCs w:val="22"/>
              </w:rPr>
              <w:t>T</w:t>
            </w:r>
            <w:r w:rsidRPr="00F46427">
              <w:rPr>
                <w:rFonts w:asciiTheme="majorHAnsi" w:hAnsiTheme="majorHAnsi"/>
                <w:color w:val="000000" w:themeColor="text1"/>
                <w:sz w:val="22"/>
                <w:szCs w:val="22"/>
                <w:vertAlign w:val="subscript"/>
              </w:rPr>
              <w:t>3</w:t>
            </w:r>
          </w:p>
        </w:tc>
        <w:tc>
          <w:tcPr>
            <w:tcW w:w="3544" w:type="dxa"/>
          </w:tcPr>
          <w:p w:rsidR="00F46427" w:rsidRPr="0057095F" w:rsidRDefault="00F46427" w:rsidP="00F46427">
            <w:pPr>
              <w:pStyle w:val="prastasis1"/>
              <w:tabs>
                <w:tab w:val="left" w:pos="14175"/>
              </w:tabs>
              <w:spacing w:after="0" w:line="240" w:lineRule="auto"/>
              <w:rPr>
                <w:rFonts w:ascii="Cambria" w:hAnsi="Cambria" w:cs="Times New Roman"/>
                <w:sz w:val="22"/>
                <w:szCs w:val="22"/>
                <w:lang w:val="lt-LT"/>
              </w:rPr>
            </w:pPr>
            <w:r w:rsidRPr="0057095F">
              <w:rPr>
                <w:rFonts w:ascii="Cambria" w:hAnsi="Cambria"/>
                <w:sz w:val="22"/>
                <w:szCs w:val="22"/>
                <w:lang w:val="lt-LT" w:bidi="lt-LT"/>
              </w:rPr>
              <w:t>Ateityje galima įsigyti ir prijungti suderinamą SpO</w:t>
            </w:r>
            <w:r w:rsidRPr="0057095F">
              <w:rPr>
                <w:rFonts w:ascii="Cambria" w:hAnsi="Cambria"/>
                <w:sz w:val="22"/>
                <w:szCs w:val="22"/>
                <w:vertAlign w:val="subscript"/>
                <w:lang w:val="lt-LT" w:bidi="lt-LT"/>
              </w:rPr>
              <w:t>2</w:t>
            </w:r>
            <w:r w:rsidRPr="0057095F">
              <w:rPr>
                <w:rFonts w:ascii="Cambria" w:hAnsi="Cambria"/>
                <w:sz w:val="22"/>
                <w:szCs w:val="22"/>
                <w:lang w:val="lt-LT" w:bidi="lt-LT"/>
              </w:rPr>
              <w:t xml:space="preserve"> daviklį.</w:t>
            </w:r>
          </w:p>
        </w:tc>
        <w:tc>
          <w:tcPr>
            <w:tcW w:w="2126" w:type="dxa"/>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843" w:type="dxa"/>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405" w:type="dxa"/>
          </w:tcPr>
          <w:p w:rsidR="00F46427" w:rsidRPr="008012C2" w:rsidRDefault="00F46427" w:rsidP="00F46427">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r>
    </w:tbl>
    <w:p w:rsidR="00FC37FC" w:rsidRPr="001F5F6A" w:rsidRDefault="00FC37FC" w:rsidP="008012C2">
      <w:pPr>
        <w:jc w:val="right"/>
        <w:rPr>
          <w:rFonts w:ascii="Cambria" w:hAnsi="Cambria"/>
          <w:sz w:val="22"/>
          <w:szCs w:val="22"/>
        </w:rPr>
      </w:pPr>
    </w:p>
    <w:p w:rsidR="00FC37FC" w:rsidRPr="001F5F6A" w:rsidRDefault="00FC37FC" w:rsidP="008012C2">
      <w:pPr>
        <w:jc w:val="right"/>
        <w:rPr>
          <w:rFonts w:ascii="Cambria" w:hAnsi="Cambria"/>
          <w:sz w:val="22"/>
          <w:szCs w:val="22"/>
        </w:rPr>
      </w:pPr>
      <w:r w:rsidRPr="001F5F6A">
        <w:rPr>
          <w:rFonts w:ascii="Cambria" w:hAnsi="Cambria"/>
          <w:sz w:val="22"/>
          <w:szCs w:val="22"/>
        </w:rPr>
        <w:t>5 lentelė</w:t>
      </w:r>
    </w:p>
    <w:p w:rsidR="00FC37FC" w:rsidRPr="001F5F6A" w:rsidRDefault="00FC37FC" w:rsidP="008012C2">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8012C2">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Failo, kuriame yra dokumentas, pavadinimas</w:t>
            </w: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244C11">
        <w:trPr>
          <w:trHeight w:val="20"/>
        </w:trPr>
        <w:tc>
          <w:tcPr>
            <w:tcW w:w="9923" w:type="dxa"/>
          </w:tcPr>
          <w:p w:rsidR="00FC37FC" w:rsidRPr="001F5F6A" w:rsidRDefault="00FC37FC" w:rsidP="00244C11">
            <w:pPr>
              <w:ind w:right="-108"/>
              <w:jc w:val="both"/>
              <w:rPr>
                <w:rFonts w:ascii="Cambria" w:hAnsi="Cambria"/>
                <w:sz w:val="22"/>
                <w:szCs w:val="22"/>
              </w:rPr>
            </w:pPr>
          </w:p>
          <w:p w:rsidR="00FC37FC" w:rsidRPr="001F5F6A" w:rsidRDefault="00FC37FC" w:rsidP="00244C11">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244C11">
            <w:pPr>
              <w:ind w:right="-108" w:firstLine="720"/>
              <w:jc w:val="both"/>
              <w:rPr>
                <w:rFonts w:ascii="Cambria" w:hAnsi="Cambria"/>
              </w:rPr>
            </w:pPr>
          </w:p>
          <w:p w:rsidR="00FC37FC" w:rsidRPr="001F5F6A" w:rsidRDefault="00FC37FC" w:rsidP="00244C11">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E32D31" w:rsidRDefault="00FC37FC" w:rsidP="00244C11">
            <w:pPr>
              <w:pBdr>
                <w:bottom w:val="single" w:sz="4" w:space="1" w:color="auto"/>
              </w:pBdr>
              <w:ind w:firstLine="440"/>
              <w:jc w:val="both"/>
              <w:rPr>
                <w:rFonts w:ascii="Cambria" w:hAnsi="Cambria"/>
                <w:sz w:val="22"/>
                <w:szCs w:val="22"/>
                <w:highlight w:val="green"/>
              </w:rPr>
            </w:pPr>
            <w:r w:rsidRPr="00E32D31">
              <w:rPr>
                <w:rFonts w:ascii="Cambria" w:hAnsi="Cambria"/>
                <w:b/>
                <w:sz w:val="22"/>
                <w:szCs w:val="22"/>
                <w:highlight w:val="green"/>
              </w:rPr>
              <w:t xml:space="preserve">Pasiūlymo konfidencialią informaciją sudaro: </w:t>
            </w:r>
            <w:r w:rsidRPr="00E32D31">
              <w:rPr>
                <w:rFonts w:ascii="Cambria" w:hAnsi="Cambria"/>
                <w:color w:val="000000" w:themeColor="text1"/>
                <w:sz w:val="22"/>
                <w:szCs w:val="22"/>
                <w:highlight w:val="green"/>
              </w:rPr>
              <w:t>(</w:t>
            </w:r>
            <w:r w:rsidRPr="00E32D31">
              <w:rPr>
                <w:rFonts w:ascii="Cambria" w:hAnsi="Cambria"/>
                <w:b/>
                <w:color w:val="000000" w:themeColor="text1"/>
                <w:sz w:val="22"/>
                <w:szCs w:val="22"/>
                <w:highlight w:val="green"/>
              </w:rPr>
              <w:t>tiekėjai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u w:val="single"/>
              </w:rPr>
              <w:t>turi nurodyti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rPr>
              <w:t xml:space="preserve">kokia pasiūlyme pateikta informacija yra konfidenciali. </w:t>
            </w:r>
            <w:r w:rsidRPr="00E32D31">
              <w:rPr>
                <w:rFonts w:ascii="Cambria" w:hAnsi="Cambria"/>
                <w:sz w:val="22"/>
                <w:szCs w:val="22"/>
                <w:highlight w:val="green"/>
              </w:rPr>
              <w:t xml:space="preserve">Jei pasiūlyme nėra konfidencialios informacijos, tiekėjas turi nurodyti, kad konfidencialios informacijos pasiūlyme </w:t>
            </w:r>
            <w:proofErr w:type="gramStart"/>
            <w:r w:rsidRPr="00E32D31">
              <w:rPr>
                <w:rFonts w:ascii="Cambria" w:hAnsi="Cambria"/>
                <w:sz w:val="22"/>
                <w:szCs w:val="22"/>
                <w:highlight w:val="green"/>
              </w:rPr>
              <w:t>nėra.</w:t>
            </w:r>
            <w:r w:rsidRPr="00E32D31">
              <w:rPr>
                <w:rFonts w:ascii="Cambria" w:hAnsi="Cambria"/>
                <w:sz w:val="22"/>
                <w:szCs w:val="22"/>
                <w:highlight w:val="green"/>
              </w:rPr>
              <w:softHyphen/>
            </w:r>
            <w:proofErr w:type="gramEnd"/>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t>):</w:t>
            </w:r>
          </w:p>
          <w:p w:rsidR="00FC37FC" w:rsidRPr="00E32D31" w:rsidRDefault="00FC37FC" w:rsidP="00244C11">
            <w:pPr>
              <w:pBdr>
                <w:bottom w:val="single" w:sz="4" w:space="1" w:color="auto"/>
              </w:pBdr>
              <w:ind w:firstLine="440"/>
              <w:jc w:val="both"/>
              <w:rPr>
                <w:rFonts w:ascii="Cambria" w:hAnsi="Cambria"/>
                <w:b/>
                <w:sz w:val="22"/>
                <w:szCs w:val="22"/>
              </w:rPr>
            </w:pPr>
            <w:r w:rsidRPr="00E32D31">
              <w:rPr>
                <w:rFonts w:ascii="Cambria" w:hAnsi="Cambria"/>
                <w:b/>
                <w:sz w:val="22"/>
                <w:szCs w:val="22"/>
                <w:highlight w:val="green"/>
              </w:rPr>
              <w:t>NURODYTI…</w:t>
            </w:r>
          </w:p>
          <w:p w:rsidR="00FC37FC" w:rsidRPr="001F5F6A" w:rsidRDefault="00FC37FC" w:rsidP="00244C11">
            <w:pPr>
              <w:ind w:firstLine="851"/>
              <w:jc w:val="both"/>
              <w:rPr>
                <w:rFonts w:ascii="Cambria" w:hAnsi="Cambria"/>
              </w:rPr>
            </w:pPr>
          </w:p>
        </w:tc>
      </w:tr>
      <w:tr w:rsidR="00FC37FC" w:rsidRPr="001F5F6A" w:rsidTr="00244C11">
        <w:trPr>
          <w:trHeight w:val="20"/>
        </w:trPr>
        <w:tc>
          <w:tcPr>
            <w:tcW w:w="9923" w:type="dxa"/>
          </w:tcPr>
          <w:p w:rsidR="00FC37FC" w:rsidRPr="001F5F6A" w:rsidRDefault="00FC37FC" w:rsidP="00244C11">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244C11">
        <w:trPr>
          <w:trHeight w:val="170"/>
        </w:trPr>
        <w:tc>
          <w:tcPr>
            <w:tcW w:w="9720" w:type="dxa"/>
          </w:tcPr>
          <w:p w:rsidR="00FC37FC" w:rsidRPr="001F5F6A" w:rsidRDefault="00FC37FC" w:rsidP="00244C11">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244C11">
              <w:trPr>
                <w:trHeight w:val="60"/>
              </w:trPr>
              <w:tc>
                <w:tcPr>
                  <w:tcW w:w="3284"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604" w:type="dxa"/>
                </w:tcPr>
                <w:p w:rsidR="00FC37FC" w:rsidRPr="001F5F6A" w:rsidRDefault="00FC37FC" w:rsidP="00244C11">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701" w:type="dxa"/>
                </w:tcPr>
                <w:p w:rsidR="00FC37FC" w:rsidRPr="001F5F6A" w:rsidRDefault="00FC37FC" w:rsidP="00244C11">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244C11">
                  <w:pPr>
                    <w:jc w:val="right"/>
                    <w:rPr>
                      <w:rFonts w:ascii="Cambria" w:hAnsi="Cambria"/>
                      <w:sz w:val="21"/>
                      <w:szCs w:val="21"/>
                    </w:rPr>
                  </w:pPr>
                </w:p>
              </w:tc>
              <w:tc>
                <w:tcPr>
                  <w:tcW w:w="789" w:type="dxa"/>
                  <w:gridSpan w:val="2"/>
                </w:tcPr>
                <w:p w:rsidR="00FC37FC" w:rsidRPr="001F5F6A" w:rsidRDefault="00FC37FC" w:rsidP="00244C11">
                  <w:pPr>
                    <w:jc w:val="right"/>
                    <w:rPr>
                      <w:rFonts w:ascii="Cambria" w:hAnsi="Cambria"/>
                      <w:sz w:val="21"/>
                      <w:szCs w:val="21"/>
                    </w:rPr>
                  </w:pPr>
                </w:p>
              </w:tc>
            </w:tr>
            <w:tr w:rsidR="00FC37FC" w:rsidRPr="001F5F6A" w:rsidTr="00244C11">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244C11">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244C11">
                  <w:pPr>
                    <w:rPr>
                      <w:rFonts w:ascii="Cambria" w:hAnsi="Cambria"/>
                      <w:sz w:val="21"/>
                      <w:szCs w:val="21"/>
                    </w:rPr>
                  </w:pPr>
                </w:p>
              </w:tc>
              <w:tc>
                <w:tcPr>
                  <w:tcW w:w="2962" w:type="dxa"/>
                  <w:gridSpan w:val="2"/>
                </w:tcPr>
                <w:p w:rsidR="00FC37FC" w:rsidRPr="001F5F6A" w:rsidRDefault="00FC37FC" w:rsidP="00244C11">
                  <w:pPr>
                    <w:rPr>
                      <w:rFonts w:ascii="Cambria" w:hAnsi="Cambria"/>
                      <w:sz w:val="21"/>
                      <w:szCs w:val="21"/>
                    </w:rPr>
                  </w:pPr>
                  <w:r w:rsidRPr="001F5F6A">
                    <w:rPr>
                      <w:rFonts w:ascii="Cambria" w:hAnsi="Cambria"/>
                      <w:sz w:val="21"/>
                      <w:szCs w:val="21"/>
                    </w:rPr>
                    <w:t>Vardas, pavardė</w:t>
                  </w:r>
                </w:p>
              </w:tc>
            </w:tr>
          </w:tbl>
          <w:p w:rsidR="00FC37FC" w:rsidRPr="001F5F6A" w:rsidRDefault="00FC37FC" w:rsidP="00244C11">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011" w:rsidRDefault="009F2011" w:rsidP="006670D4">
      <w:r>
        <w:separator/>
      </w:r>
    </w:p>
  </w:endnote>
  <w:endnote w:type="continuationSeparator" w:id="0">
    <w:p w:rsidR="009F2011" w:rsidRDefault="009F201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011" w:rsidRDefault="009F2011" w:rsidP="006670D4">
      <w:r>
        <w:separator/>
      </w:r>
    </w:p>
  </w:footnote>
  <w:footnote w:type="continuationSeparator" w:id="0">
    <w:p w:rsidR="009F2011" w:rsidRDefault="009F2011" w:rsidP="006670D4">
      <w:r>
        <w:continuationSeparator/>
      </w:r>
    </w:p>
  </w:footnote>
  <w:footnote w:id="1">
    <w:p w:rsidR="004D0A9A" w:rsidRPr="00C54A7B" w:rsidRDefault="004D0A9A"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D0A9A" w:rsidRPr="00C54A7B" w:rsidRDefault="004D0A9A"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4D0A9A" w:rsidRDefault="004D0A9A"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D0A9A" w:rsidRPr="00551FCA" w:rsidRDefault="004D0A9A"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15:restartNumberingAfterBreak="0">
    <w:nsid w:val="571F0191"/>
    <w:multiLevelType w:val="multilevel"/>
    <w:tmpl w:val="0D2237D0"/>
    <w:lvl w:ilvl="0">
      <w:start w:val="1"/>
      <w:numFmt w:val="decimal"/>
      <w:lvlText w:val="%1."/>
      <w:lvlJc w:val="left"/>
      <w:pPr>
        <w:ind w:left="360" w:hanging="360"/>
      </w:pPr>
    </w:lvl>
    <w:lvl w:ilvl="1">
      <w:start w:val="1"/>
      <w:numFmt w:val="decimal"/>
      <w:lvlText w:val="%2)"/>
      <w:lvlJc w:val="left"/>
      <w:pPr>
        <w:ind w:left="792" w:hanging="432"/>
      </w:pPr>
      <w:rPr>
        <w:rFonts w:asciiTheme="majorHAnsi" w:eastAsia="Arial Unicode MS" w:hAnsiTheme="majorHAns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4"/>
  </w:num>
  <w:num w:numId="6">
    <w:abstractNumId w:val="25"/>
  </w:num>
  <w:num w:numId="7">
    <w:abstractNumId w:val="28"/>
  </w:num>
  <w:num w:numId="8">
    <w:abstractNumId w:val="7"/>
  </w:num>
  <w:num w:numId="9">
    <w:abstractNumId w:val="13"/>
  </w:num>
  <w:num w:numId="10">
    <w:abstractNumId w:val="17"/>
  </w:num>
  <w:num w:numId="11">
    <w:abstractNumId w:val="26"/>
  </w:num>
  <w:num w:numId="12">
    <w:abstractNumId w:val="22"/>
  </w:num>
  <w:num w:numId="13">
    <w:abstractNumId w:val="11"/>
  </w:num>
  <w:num w:numId="14">
    <w:abstractNumId w:val="19"/>
  </w:num>
  <w:num w:numId="15">
    <w:abstractNumId w:val="3"/>
  </w:num>
  <w:num w:numId="16">
    <w:abstractNumId w:val="21"/>
  </w:num>
  <w:num w:numId="17">
    <w:abstractNumId w:val="24"/>
  </w:num>
  <w:num w:numId="18">
    <w:abstractNumId w:val="1"/>
  </w:num>
  <w:num w:numId="19">
    <w:abstractNumId w:val="5"/>
  </w:num>
  <w:num w:numId="20">
    <w:abstractNumId w:val="14"/>
  </w:num>
  <w:num w:numId="21">
    <w:abstractNumId w:val="12"/>
  </w:num>
  <w:num w:numId="22">
    <w:abstractNumId w:val="18"/>
  </w:num>
  <w:num w:numId="23">
    <w:abstractNumId w:val="20"/>
  </w:num>
  <w:num w:numId="24">
    <w:abstractNumId w:val="8"/>
  </w:num>
  <w:num w:numId="25">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9"/>
  </w:num>
  <w:num w:numId="29">
    <w:abstractNumId w:val="27"/>
  </w:num>
  <w:num w:numId="3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1330"/>
    <w:rsid w:val="00073650"/>
    <w:rsid w:val="000809D6"/>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6F8"/>
    <w:rsid w:val="000D3E17"/>
    <w:rsid w:val="000D42C7"/>
    <w:rsid w:val="000D47F6"/>
    <w:rsid w:val="000D5257"/>
    <w:rsid w:val="000D5A27"/>
    <w:rsid w:val="000D6471"/>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42E82"/>
    <w:rsid w:val="00244C11"/>
    <w:rsid w:val="002505FD"/>
    <w:rsid w:val="00250A48"/>
    <w:rsid w:val="00252C07"/>
    <w:rsid w:val="0025317F"/>
    <w:rsid w:val="00255AA4"/>
    <w:rsid w:val="00255F2C"/>
    <w:rsid w:val="0025773E"/>
    <w:rsid w:val="002579DC"/>
    <w:rsid w:val="00260070"/>
    <w:rsid w:val="002605C4"/>
    <w:rsid w:val="0026307E"/>
    <w:rsid w:val="00271E8D"/>
    <w:rsid w:val="0027359A"/>
    <w:rsid w:val="002834DC"/>
    <w:rsid w:val="00284C66"/>
    <w:rsid w:val="00285742"/>
    <w:rsid w:val="00286455"/>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11B"/>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0A9A"/>
    <w:rsid w:val="004D23CA"/>
    <w:rsid w:val="004D2F47"/>
    <w:rsid w:val="004D375A"/>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10"/>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1BC9"/>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0FC8"/>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D55DF"/>
    <w:rsid w:val="006D6757"/>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2CAD"/>
    <w:rsid w:val="00793254"/>
    <w:rsid w:val="0079357B"/>
    <w:rsid w:val="00796843"/>
    <w:rsid w:val="007A130A"/>
    <w:rsid w:val="007A13F5"/>
    <w:rsid w:val="007A339A"/>
    <w:rsid w:val="007A41DD"/>
    <w:rsid w:val="007A77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12C2"/>
    <w:rsid w:val="00803524"/>
    <w:rsid w:val="008040D4"/>
    <w:rsid w:val="00804C87"/>
    <w:rsid w:val="00804E3F"/>
    <w:rsid w:val="00805788"/>
    <w:rsid w:val="008120F1"/>
    <w:rsid w:val="00813EC1"/>
    <w:rsid w:val="008167D6"/>
    <w:rsid w:val="00817A54"/>
    <w:rsid w:val="00820037"/>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1901"/>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2011"/>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37717"/>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47D4"/>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1A0"/>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2F95"/>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2D31"/>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07E79"/>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427"/>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0CFA"/>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35A"/>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8D38"/>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D72F95"/>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6D675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D6757"/>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E29B4-6935-4B7B-978D-54BFDFE0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3809</TotalTime>
  <Pages>24</Pages>
  <Words>47465</Words>
  <Characters>27056</Characters>
  <Application>Microsoft Office Word</Application>
  <DocSecurity>0</DocSecurity>
  <Lines>225</Lines>
  <Paragraphs>148</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7. Tiekėjo deklaracija dėl Tarybos Reglamente (ES) 2022/576 nustatytų sąlygų neb</vt:lpstr>
      <vt:lpstr>8. Tiekėjo deklaracija dėl Nacionalinio saugumo reikalavimų atitikties (8 prieda</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74373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189</cp:revision>
  <cp:lastPrinted>2021-08-13T13:16:00Z</cp:lastPrinted>
  <dcterms:created xsi:type="dcterms:W3CDTF">2023-12-08T12:01:00Z</dcterms:created>
  <dcterms:modified xsi:type="dcterms:W3CDTF">2025-11-24T14:08:00Z</dcterms:modified>
</cp:coreProperties>
</file>