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E153" w14:textId="6AEF5908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953C9D">
        <w:rPr>
          <w:b/>
          <w:bCs/>
          <w:lang w:val="lt-LT"/>
        </w:rPr>
        <w:t xml:space="preserve"> </w:t>
      </w:r>
      <w:r w:rsidR="008A44C1">
        <w:rPr>
          <w:b/>
          <w:bCs/>
          <w:lang w:val="lt-LT"/>
        </w:rPr>
        <w:t>2</w:t>
      </w:r>
      <w:r w:rsidR="00953C9D">
        <w:rPr>
          <w:b/>
          <w:bCs/>
          <w:lang w:val="lt-LT"/>
        </w:rPr>
        <w:t xml:space="preserve"> </w:t>
      </w:r>
      <w:r w:rsidRPr="00DF16EC">
        <w:rPr>
          <w:b/>
          <w:bCs/>
          <w:lang w:val="lt-LT"/>
        </w:rPr>
        <w:t xml:space="preserve">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31FB79E5" w14:textId="516388D9" w:rsidR="00BA58C5" w:rsidRDefault="0002699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8A44C1" w:rsidRPr="008A44C1">
        <w:rPr>
          <w:b/>
          <w:bCs/>
          <w:kern w:val="2"/>
          <w:lang w:val="lt-LT"/>
        </w:rPr>
        <w:t xml:space="preserve">MINKŠTASUOLIŲ KOMPLEKTAI </w:t>
      </w:r>
      <w:r w:rsidR="00DA0CB0">
        <w:rPr>
          <w:b/>
          <w:bCs/>
          <w:kern w:val="2"/>
          <w:lang w:val="lt-LT"/>
        </w:rPr>
        <w:t>II DALIS</w:t>
      </w:r>
      <w:r w:rsidR="008A44C1" w:rsidRPr="008A44C1">
        <w:rPr>
          <w:b/>
          <w:bCs/>
          <w:kern w:val="2"/>
          <w:lang w:val="lt-LT"/>
        </w:rPr>
        <w:t>(TŪM)</w:t>
      </w:r>
      <w:r w:rsidRPr="00DF16EC">
        <w:rPr>
          <w:b/>
          <w:bCs/>
          <w:lang w:val="lt-LT"/>
        </w:rPr>
        <w:t xml:space="preserve">“ </w:t>
      </w:r>
    </w:p>
    <w:p w14:paraId="12DA97C4" w14:textId="7241D646" w:rsidR="00026994" w:rsidRPr="00DF16EC" w:rsidRDefault="0002699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 xml:space="preserve">(TOLIAU – PIRKIMAS) Nr. </w:t>
      </w:r>
      <w:r w:rsidR="00DA0CB0">
        <w:rPr>
          <w:b/>
          <w:bCs/>
          <w:lang w:val="lt-LT"/>
        </w:rPr>
        <w:t>511346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1811693E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</w:t>
      </w:r>
      <w:r w:rsidR="00915ED4">
        <w:rPr>
          <w:lang w:val="lt-LT"/>
        </w:rPr>
        <w:t>I</w:t>
      </w:r>
      <w:r w:rsidRPr="00DF16EC">
        <w:rPr>
          <w:lang w:val="lt-LT"/>
        </w:rPr>
        <w:t xml:space="preserve"> Į PAKLAUSIM</w:t>
      </w:r>
      <w:r w:rsidR="00915ED4">
        <w:rPr>
          <w:lang w:val="lt-LT"/>
        </w:rPr>
        <w:t>US</w:t>
      </w:r>
    </w:p>
    <w:p w14:paraId="5903D5A8" w14:textId="55890DA9" w:rsidR="00026994" w:rsidRDefault="008C2C99" w:rsidP="00BA58C5">
      <w:pPr>
        <w:pStyle w:val="Pavadinimas"/>
        <w:widowControl w:val="0"/>
        <w:spacing w:line="240" w:lineRule="auto"/>
        <w:ind w:right="-423" w:firstLine="720"/>
        <w:jc w:val="both"/>
        <w:rPr>
          <w:rFonts w:ascii="Times New Roman" w:hAnsi="Times New Roman" w:cs="Times New Roman"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Centrinė p</w:t>
      </w:r>
      <w:r w:rsidR="009230D5" w:rsidRPr="00BA58C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Pr="008C2C99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(toliau – CPO)</w:t>
      </w:r>
      <w:r w:rsidR="003534DD" w:rsidRPr="00BA58C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BA58C5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BA58C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BA58C5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2024-</w:t>
      </w:r>
      <w:r w:rsidR="00DA0CB0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12-18</w:t>
      </w:r>
      <w:r w:rsidR="003534DD" w:rsidRPr="00BA58C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BA58C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(pranešimo Nr. </w:t>
      </w:r>
      <w:r w:rsidR="00DA0CB0" w:rsidRPr="00DA0CB0">
        <w:rPr>
          <w:rFonts w:ascii="Times New Roman" w:hAnsi="Times New Roman" w:cs="Times New Roman"/>
          <w:spacing w:val="0"/>
          <w:sz w:val="24"/>
          <w:szCs w:val="24"/>
          <w:lang w:val="lt-LT"/>
        </w:rPr>
        <w:t>11132</w:t>
      </w:r>
      <w:r w:rsidR="003818A7" w:rsidRPr="00BA58C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) </w:t>
      </w:r>
      <w:r w:rsidR="007C1CEA" w:rsidRPr="00BA58C5">
        <w:rPr>
          <w:rFonts w:ascii="Times New Roman" w:hAnsi="Times New Roman" w:cs="Times New Roman"/>
          <w:spacing w:val="0"/>
          <w:sz w:val="24"/>
          <w:szCs w:val="24"/>
          <w:lang w:val="lt-LT"/>
        </w:rPr>
        <w:t>gavo tiekėjo paklausim</w:t>
      </w:r>
      <w:r w:rsidR="00BE5771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7C1CEA" w:rsidRPr="00BA58C5">
        <w:rPr>
          <w:rFonts w:ascii="Times New Roman" w:hAnsi="Times New Roman" w:cs="Times New Roman"/>
          <w:spacing w:val="0"/>
          <w:sz w:val="24"/>
          <w:szCs w:val="24"/>
          <w:lang w:val="lt-LT"/>
        </w:rPr>
        <w:t>.</w:t>
      </w:r>
      <w:r w:rsidR="00026994" w:rsidRPr="00BA58C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8F6673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8F667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8F667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866671" w:rsidRPr="008F6673">
        <w:rPr>
          <w:rFonts w:ascii="Times New Roman" w:hAnsi="Times New Roman" w:cs="Times New Roman"/>
          <w:spacing w:val="0"/>
          <w:sz w:val="24"/>
          <w:szCs w:val="24"/>
          <w:lang w:val="lt-LT"/>
        </w:rPr>
        <w:t>36 str. 5p., pirkimo bendrųjų sąlygų 5.2 p</w:t>
      </w:r>
      <w:r w:rsidR="002635BC" w:rsidRPr="008F6673">
        <w:rPr>
          <w:rFonts w:ascii="Times New Roman" w:hAnsi="Times New Roman" w:cs="Times New Roman"/>
          <w:spacing w:val="0"/>
          <w:sz w:val="24"/>
          <w:szCs w:val="24"/>
          <w:lang w:val="lt-LT"/>
        </w:rPr>
        <w:t>.</w:t>
      </w:r>
      <w:r w:rsidR="00026994" w:rsidRPr="008F6673">
        <w:rPr>
          <w:rFonts w:ascii="Times New Roman" w:hAnsi="Times New Roman" w:cs="Times New Roman"/>
          <w:spacing w:val="0"/>
          <w:sz w:val="24"/>
          <w:szCs w:val="24"/>
          <w:lang w:val="lt-LT"/>
        </w:rPr>
        <w:t>,</w:t>
      </w:r>
      <w:r w:rsidR="00026994" w:rsidRPr="00BA58C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atsako</w:t>
      </w:r>
      <w:r w:rsidR="00026994" w:rsidRPr="00BA58C5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BA58C5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BE5771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BA58C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49992D21" w14:textId="77777777" w:rsidR="00866671" w:rsidRPr="00866671" w:rsidRDefault="00866671" w:rsidP="00866671">
      <w:pPr>
        <w:pStyle w:val="Body2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700"/>
        <w:gridCol w:w="3613"/>
        <w:gridCol w:w="1353"/>
      </w:tblGrid>
      <w:tr w:rsidR="00026994" w:rsidRPr="00BA58C5" w14:paraId="755EF2D2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BA58C5" w:rsidRDefault="00026994" w:rsidP="00BA58C5">
            <w:pPr>
              <w:jc w:val="center"/>
              <w:rPr>
                <w:b/>
                <w:bCs/>
                <w:lang w:val="lt-LT"/>
              </w:rPr>
            </w:pPr>
            <w:r w:rsidRPr="00BA58C5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BA58C5" w:rsidRDefault="00026994" w:rsidP="00BA58C5">
            <w:pPr>
              <w:jc w:val="center"/>
              <w:rPr>
                <w:b/>
                <w:bCs/>
                <w:lang w:val="lt-LT"/>
              </w:rPr>
            </w:pPr>
            <w:r w:rsidRPr="00BA58C5">
              <w:rPr>
                <w:b/>
                <w:bCs/>
                <w:lang w:val="lt-LT"/>
              </w:rPr>
              <w:t>Klausimas</w:t>
            </w:r>
          </w:p>
          <w:p w14:paraId="59E7565D" w14:textId="77777777" w:rsidR="00026994" w:rsidRPr="00BA58C5" w:rsidRDefault="00026994" w:rsidP="00BA58C5">
            <w:pPr>
              <w:jc w:val="center"/>
              <w:rPr>
                <w:b/>
                <w:bCs/>
                <w:i/>
                <w:iCs/>
                <w:lang w:val="lt-LT"/>
              </w:rPr>
            </w:pPr>
            <w:r w:rsidRPr="00BA58C5">
              <w:rPr>
                <w:b/>
                <w:bCs/>
                <w:i/>
                <w:iCs/>
                <w:lang w:val="lt-LT"/>
              </w:rPr>
              <w:t>(pateikiamas neredaguojamas tekstas)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BA58C5" w:rsidRDefault="00026994" w:rsidP="00BA58C5">
            <w:pPr>
              <w:jc w:val="center"/>
              <w:rPr>
                <w:b/>
                <w:bCs/>
                <w:lang w:val="lt-LT"/>
              </w:rPr>
            </w:pPr>
            <w:r w:rsidRPr="00BA58C5">
              <w:rPr>
                <w:b/>
                <w:bCs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BA58C5" w:rsidRDefault="00026994" w:rsidP="00BA58C5">
            <w:pPr>
              <w:jc w:val="center"/>
              <w:rPr>
                <w:b/>
                <w:bCs/>
                <w:lang w:val="lt-LT"/>
              </w:rPr>
            </w:pPr>
            <w:r w:rsidRPr="00BA58C5">
              <w:rPr>
                <w:b/>
                <w:bCs/>
                <w:color w:val="000000" w:themeColor="text1"/>
                <w:lang w:val="lt-LT"/>
              </w:rPr>
              <w:t>Atsakymo pateikimo data</w:t>
            </w:r>
          </w:p>
        </w:tc>
      </w:tr>
      <w:tr w:rsidR="00026994" w:rsidRPr="00D81B5F" w14:paraId="36C4C8C7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BA58C5" w:rsidRDefault="00026994" w:rsidP="00BA58C5">
            <w:pPr>
              <w:pStyle w:val="Sraopastraipa"/>
              <w:ind w:hanging="720"/>
            </w:pPr>
            <w:r w:rsidRPr="00BA58C5">
              <w:t>1.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7D9CB7EB" w:rsidR="00026994" w:rsidRPr="00DA0CB0" w:rsidRDefault="00DA0CB0" w:rsidP="00BA58C5">
            <w:pPr>
              <w:tabs>
                <w:tab w:val="left" w:pos="108"/>
              </w:tabs>
              <w:jc w:val="both"/>
              <w:rPr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r w:rsidRPr="00DA0CB0">
              <w:rPr>
                <w:color w:val="000000"/>
                <w:lang w:val="lt-LT"/>
              </w:rPr>
              <w:t>1.1. Minkštasuolių komplektą turi sudaryti ne mažiau kaip 5 ir ne daugiau kaip 8 įvairių formų komponentai, kurių bendras ilgis - ne mažiau 5 m, ne daugiau kaip 6 m;</w:t>
            </w:r>
            <w:r>
              <w:rPr>
                <w:color w:val="000000"/>
                <w:lang w:val="lt-LT"/>
              </w:rPr>
              <w:t>“</w:t>
            </w:r>
            <w:r w:rsidRPr="00DA0CB0">
              <w:rPr>
                <w:color w:val="000000"/>
                <w:lang w:val="lt-LT"/>
              </w:rPr>
              <w:t xml:space="preserve"> - prašome konkrečiai nurodyti kiek ir kokios formos minkštasuolių Jūs perkate, tiksliai metrus ir kaip matuojamas 5-6</w:t>
            </w:r>
            <w:r w:rsidR="00912ECF">
              <w:rPr>
                <w:color w:val="000000"/>
                <w:lang w:val="lt-LT"/>
              </w:rPr>
              <w:t xml:space="preserve"> </w:t>
            </w:r>
            <w:r w:rsidRPr="00DA0CB0">
              <w:rPr>
                <w:color w:val="000000"/>
                <w:lang w:val="lt-LT"/>
              </w:rPr>
              <w:t>m bus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4A59" w14:textId="77777777" w:rsidR="008C2C99" w:rsidRDefault="008C2C99" w:rsidP="00BA58C5">
            <w:pPr>
              <w:tabs>
                <w:tab w:val="left" w:pos="6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CPO</w:t>
            </w:r>
            <w:r w:rsidR="00D81B5F" w:rsidRPr="006E54F7">
              <w:rPr>
                <w:lang w:val="lt-LT"/>
              </w:rPr>
              <w:t xml:space="preserve"> paaiškina, </w:t>
            </w:r>
            <w:r w:rsidR="00D81B5F">
              <w:rPr>
                <w:lang w:val="lt-LT"/>
              </w:rPr>
              <w:t xml:space="preserve">kad </w:t>
            </w:r>
            <w:r w:rsidR="00D81B5F" w:rsidRPr="006E54F7">
              <w:rPr>
                <w:lang w:val="lt-LT"/>
              </w:rPr>
              <w:t>minkštasuolių komponentų formos gali būti įvairios (stačiakampio, rombo, trapecijos ir kitų panašių formų komplektacijos), kurios tarpusavyje derėtų</w:t>
            </w:r>
            <w:r w:rsidR="00D81B5F">
              <w:rPr>
                <w:lang w:val="lt-LT"/>
              </w:rPr>
              <w:t xml:space="preserve"> ir būtų susijusios tarpusavyje</w:t>
            </w:r>
            <w:r w:rsidR="00981233">
              <w:rPr>
                <w:lang w:val="lt-LT"/>
              </w:rPr>
              <w:t xml:space="preserve">. </w:t>
            </w:r>
          </w:p>
          <w:p w14:paraId="575786D1" w14:textId="7D95147D" w:rsidR="00D43327" w:rsidRPr="00BA58C5" w:rsidRDefault="00981233" w:rsidP="00BA58C5">
            <w:pPr>
              <w:tabs>
                <w:tab w:val="left" w:pos="6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Bendras</w:t>
            </w:r>
            <w:r w:rsidR="00D81B5F" w:rsidRPr="006E54F7">
              <w:rPr>
                <w:lang w:val="lt-LT"/>
              </w:rPr>
              <w:t xml:space="preserve"> </w:t>
            </w:r>
            <w:r w:rsidR="00D81B5F">
              <w:rPr>
                <w:lang w:val="lt-LT"/>
              </w:rPr>
              <w:t>m</w:t>
            </w:r>
            <w:r w:rsidR="00D81B5F" w:rsidRPr="006E54F7">
              <w:rPr>
                <w:lang w:val="lt-LT"/>
              </w:rPr>
              <w:t xml:space="preserve">inkštasuolių komplekto ilgis </w:t>
            </w:r>
            <w:r>
              <w:rPr>
                <w:lang w:val="lt-LT"/>
              </w:rPr>
              <w:t xml:space="preserve"> (kompozicijos, sustumtos iš visų komplekto komponentų) </w:t>
            </w:r>
            <w:r w:rsidR="00D81B5F" w:rsidRPr="006E54F7">
              <w:rPr>
                <w:lang w:val="lt-LT"/>
              </w:rPr>
              <w:t xml:space="preserve">būtų ne mažesnis kaip 5 m ir ne </w:t>
            </w:r>
            <w:r w:rsidR="00FD184B">
              <w:rPr>
                <w:lang w:val="lt-LT"/>
              </w:rPr>
              <w:t>didesnis</w:t>
            </w:r>
            <w:r w:rsidR="00D81B5F" w:rsidRPr="006E54F7">
              <w:rPr>
                <w:lang w:val="lt-LT"/>
              </w:rPr>
              <w:t xml:space="preserve"> kaip 6 m</w:t>
            </w:r>
            <w:r w:rsidR="008F6673">
              <w:rPr>
                <w:lang w:val="lt-LT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221CE144" w:rsidR="00026994" w:rsidRPr="00BA58C5" w:rsidRDefault="007D1C99" w:rsidP="00BA58C5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2024-12-19</w:t>
            </w:r>
          </w:p>
        </w:tc>
      </w:tr>
      <w:tr w:rsidR="008B1B75" w:rsidRPr="00D81B5F" w14:paraId="02FBEF4D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024" w14:textId="193900E6" w:rsidR="008B1B75" w:rsidRPr="00BA58C5" w:rsidRDefault="008B1B75" w:rsidP="00BA58C5">
            <w:pPr>
              <w:pStyle w:val="Sraopastraipa"/>
              <w:ind w:hanging="720"/>
            </w:pPr>
            <w:r w:rsidRPr="00BA58C5">
              <w:t>2.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9BD9" w14:textId="5317BA28" w:rsidR="008B1B75" w:rsidRPr="00BA58C5" w:rsidRDefault="00DA0CB0" w:rsidP="00BA58C5">
            <w:pPr>
              <w:tabs>
                <w:tab w:val="left" w:pos="108"/>
              </w:tabs>
              <w:jc w:val="both"/>
              <w:rPr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r w:rsidRPr="00DA0CB0">
              <w:rPr>
                <w:color w:val="000000"/>
                <w:lang w:val="lt-LT"/>
              </w:rPr>
              <w:t>1.3. Minkštasuolio rėmas - medinis, užpildas - perdirbtas poliuretanas;</w:t>
            </w:r>
            <w:r>
              <w:rPr>
                <w:color w:val="000000"/>
                <w:lang w:val="lt-LT"/>
              </w:rPr>
              <w:t>“</w:t>
            </w:r>
            <w:r w:rsidRPr="00DA0CB0">
              <w:rPr>
                <w:color w:val="000000"/>
                <w:lang w:val="lt-LT"/>
              </w:rPr>
              <w:t xml:space="preserve"> - prašome patikslinti - rėmas medinis, iš ko gaminami šonai, dugnas, viršus, kokie medžiagų storiai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1E0" w14:textId="49138B22" w:rsidR="005F1389" w:rsidRDefault="005F1389" w:rsidP="00BA58C5">
            <w:pPr>
              <w:tabs>
                <w:tab w:val="left" w:pos="66"/>
              </w:tabs>
              <w:jc w:val="both"/>
              <w:rPr>
                <w:lang w:val="lt-LT"/>
              </w:rPr>
            </w:pPr>
            <w:r w:rsidRPr="00BA58C5">
              <w:rPr>
                <w:lang w:val="lt-LT"/>
              </w:rPr>
              <w:t>Techninėje specifikacijoje</w:t>
            </w:r>
            <w:r>
              <w:rPr>
                <w:lang w:val="lt-LT"/>
              </w:rPr>
              <w:t xml:space="preserve"> 1.</w:t>
            </w:r>
            <w:r>
              <w:rPr>
                <w:lang w:val="lt-LT"/>
              </w:rPr>
              <w:t>3</w:t>
            </w:r>
            <w:r>
              <w:rPr>
                <w:lang w:val="lt-LT"/>
              </w:rPr>
              <w:t xml:space="preserve"> p.</w:t>
            </w:r>
            <w:r w:rsidRPr="00BA58C5">
              <w:rPr>
                <w:lang w:val="lt-LT"/>
              </w:rPr>
              <w:t xml:space="preserve"> nustatytas reikalavimas </w:t>
            </w:r>
            <w:r>
              <w:rPr>
                <w:lang w:val="lt-LT"/>
              </w:rPr>
              <w:t xml:space="preserve">netikslinamas, tiekėjui leidžiama pasirinkti </w:t>
            </w:r>
            <w:r w:rsidR="008C2C99">
              <w:rPr>
                <w:color w:val="000000"/>
                <w:lang w:val="lt-LT"/>
              </w:rPr>
              <w:t>prekės dalių medžiagiškumą (išskyrus rėmą ir užpildą), tačiau</w:t>
            </w:r>
            <w:r w:rsidRPr="00121905">
              <w:rPr>
                <w:lang w:val="lt-LT"/>
              </w:rPr>
              <w:t xml:space="preserve"> siūlydamas prekę, </w:t>
            </w:r>
            <w:r w:rsidR="008C2C99">
              <w:rPr>
                <w:lang w:val="lt-LT"/>
              </w:rPr>
              <w:t xml:space="preserve">tiekėjas </w:t>
            </w:r>
            <w:r w:rsidRPr="00121905">
              <w:rPr>
                <w:lang w:val="lt-LT"/>
              </w:rPr>
              <w:t>turi įver</w:t>
            </w:r>
            <w:r>
              <w:rPr>
                <w:lang w:val="lt-LT"/>
              </w:rPr>
              <w:t>t</w:t>
            </w:r>
            <w:r w:rsidRPr="00121905">
              <w:rPr>
                <w:lang w:val="lt-LT"/>
              </w:rPr>
              <w:t>inti, kad</w:t>
            </w:r>
            <w:r w:rsidRPr="00121905">
              <w:rPr>
                <w:lang w:val="lt-LT"/>
              </w:rPr>
              <w:t xml:space="preserve"> </w:t>
            </w:r>
            <w:r>
              <w:rPr>
                <w:lang w:val="lt-LT"/>
              </w:rPr>
              <w:t>minkštasuoliai</w:t>
            </w:r>
            <w:r w:rsidRPr="00121905">
              <w:rPr>
                <w:lang w:val="lt-LT"/>
              </w:rPr>
              <w:t xml:space="preserve"> bus naudojam</w:t>
            </w:r>
            <w:r>
              <w:rPr>
                <w:lang w:val="lt-LT"/>
              </w:rPr>
              <w:t>i</w:t>
            </w:r>
            <w:r w:rsidRPr="00121905">
              <w:rPr>
                <w:lang w:val="lt-LT"/>
              </w:rPr>
              <w:t xml:space="preserve"> visuomeninės paskirties pastate</w:t>
            </w:r>
            <w:r>
              <w:rPr>
                <w:lang w:val="lt-LT"/>
              </w:rPr>
              <w:t xml:space="preserve">, t.y. </w:t>
            </w:r>
            <w:r w:rsidRPr="00121905">
              <w:rPr>
                <w:lang w:val="lt-LT"/>
              </w:rPr>
              <w:t xml:space="preserve">turi būti </w:t>
            </w:r>
            <w:r>
              <w:rPr>
                <w:lang w:val="lt-LT"/>
              </w:rPr>
              <w:t>atspar</w:t>
            </w:r>
            <w:r>
              <w:rPr>
                <w:lang w:val="lt-LT"/>
              </w:rPr>
              <w:t>ūs</w:t>
            </w:r>
            <w:r w:rsidRPr="00121905">
              <w:rPr>
                <w:lang w:val="lt-LT"/>
              </w:rPr>
              <w:t xml:space="preserve">  intensyviam naudojimui</w:t>
            </w:r>
            <w:r>
              <w:rPr>
                <w:lang w:val="lt-LT"/>
              </w:rPr>
              <w:t>.</w:t>
            </w:r>
          </w:p>
          <w:p w14:paraId="0CB4CB92" w14:textId="64CEBB11" w:rsidR="008C2C99" w:rsidRPr="00BA58C5" w:rsidRDefault="008C2C99" w:rsidP="00BA58C5">
            <w:pPr>
              <w:tabs>
                <w:tab w:val="left" w:pos="66"/>
              </w:tabs>
              <w:jc w:val="both"/>
              <w:rPr>
                <w:lang w:val="lt-LT"/>
              </w:rPr>
            </w:pPr>
            <w:r>
              <w:rPr>
                <w:color w:val="000000"/>
                <w:lang w:val="lt-LT"/>
              </w:rPr>
              <w:t xml:space="preserve">Pažymėtina, kad </w:t>
            </w:r>
            <w:r>
              <w:rPr>
                <w:color w:val="000000"/>
                <w:lang w:val="lt-LT"/>
              </w:rPr>
              <w:t xml:space="preserve">pagamintiems baldams </w:t>
            </w:r>
            <w:r>
              <w:rPr>
                <w:color w:val="000000"/>
                <w:lang w:val="lt-LT"/>
              </w:rPr>
              <w:t>turi būti suteikiama</w:t>
            </w:r>
            <w:r>
              <w:rPr>
                <w:color w:val="000000"/>
                <w:lang w:val="lt-LT"/>
              </w:rPr>
              <w:t xml:space="preserve"> </w:t>
            </w:r>
            <w:r w:rsidRPr="005F1389">
              <w:rPr>
                <w:lang w:val="lt-LT" w:eastAsia="lt-LT"/>
              </w:rPr>
              <w:t>ne trumpesn</w:t>
            </w:r>
            <w:r>
              <w:rPr>
                <w:lang w:val="lt-LT" w:eastAsia="lt-LT"/>
              </w:rPr>
              <w:t>ė</w:t>
            </w:r>
            <w:r>
              <w:rPr>
                <w:lang w:val="lt-LT" w:eastAsia="lt-LT"/>
              </w:rPr>
              <w:t xml:space="preserve"> </w:t>
            </w:r>
            <w:r w:rsidRPr="005F1389">
              <w:rPr>
                <w:lang w:val="lt-LT" w:eastAsia="lt-LT"/>
              </w:rPr>
              <w:t>nei 24 mėn. garantij</w:t>
            </w:r>
            <w:r>
              <w:rPr>
                <w:lang w:val="lt-LT" w:eastAsia="lt-LT"/>
              </w:rPr>
              <w:t>a</w:t>
            </w:r>
            <w:r w:rsidRPr="005F1389">
              <w:rPr>
                <w:lang w:val="lt-LT" w:eastAsia="lt-LT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D8F" w14:textId="38FD5818" w:rsidR="008B1B75" w:rsidRPr="00BA58C5" w:rsidRDefault="007D1C99" w:rsidP="00BA58C5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2024-12-19</w:t>
            </w:r>
          </w:p>
        </w:tc>
      </w:tr>
      <w:tr w:rsidR="001461EF" w:rsidRPr="008F6673" w14:paraId="15D4A822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0C1" w14:textId="5FB533AB" w:rsidR="001461EF" w:rsidRPr="00BA58C5" w:rsidRDefault="008B1B75" w:rsidP="00BA58C5">
            <w:pPr>
              <w:pStyle w:val="Sraopastraipa"/>
              <w:ind w:hanging="720"/>
            </w:pPr>
            <w:r w:rsidRPr="00BA58C5">
              <w:t>3</w:t>
            </w:r>
            <w:r w:rsidR="001461EF" w:rsidRPr="00BA58C5"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EFD" w14:textId="653D7CF7" w:rsidR="001461EF" w:rsidRPr="00BA58C5" w:rsidRDefault="00DA0CB0" w:rsidP="00BA58C5">
            <w:pPr>
              <w:tabs>
                <w:tab w:val="left" w:pos="108"/>
              </w:tabs>
              <w:jc w:val="both"/>
              <w:rPr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r w:rsidRPr="00DA0CB0">
              <w:rPr>
                <w:color w:val="000000"/>
                <w:lang w:val="lt-LT"/>
              </w:rPr>
              <w:t>1.4. Apmušalas - antibakterinis, lengvai valomas, pagamintas iš atsparios dirbtinės odos;</w:t>
            </w:r>
            <w:r>
              <w:rPr>
                <w:color w:val="000000"/>
                <w:lang w:val="lt-LT"/>
              </w:rPr>
              <w:t>“</w:t>
            </w:r>
            <w:r w:rsidRPr="00DA0CB0">
              <w:rPr>
                <w:color w:val="000000"/>
                <w:lang w:val="lt-LT"/>
              </w:rPr>
              <w:t xml:space="preserve"> - kaip Jūs atskirsite antibakterinį apmušalą nuo ne antibakterinio - pagal kokius parametrus patikrinsite. Kiek martindale ciklų turi turėti apmušalas?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690" w14:textId="20CD1F13" w:rsidR="00D81121" w:rsidRPr="008F6673" w:rsidRDefault="00FD184B" w:rsidP="00FD184B">
            <w:pPr>
              <w:tabs>
                <w:tab w:val="left" w:pos="6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CPO nenustato Jūsų minimų reikalavimų konkrečių parametrų, </w:t>
            </w:r>
            <w:r w:rsidR="00527A64" w:rsidRPr="00121905">
              <w:rPr>
                <w:lang w:val="lt-LT"/>
              </w:rPr>
              <w:t>tačiau tiekėjas, siūlydamas prekę, turi įver</w:t>
            </w:r>
            <w:r w:rsidR="00527A64">
              <w:rPr>
                <w:lang w:val="lt-LT"/>
              </w:rPr>
              <w:t>t</w:t>
            </w:r>
            <w:r w:rsidR="00527A64" w:rsidRPr="00121905">
              <w:rPr>
                <w:lang w:val="lt-LT"/>
              </w:rPr>
              <w:t>inti, kad pirkimo objektas bus naudojamas visuomeninės paskirties pastate, t. y. mokykloje. Minkštasuolių audinys turi būti tinkamas  intensyviam naudojimui</w:t>
            </w:r>
            <w:r w:rsidR="00527A64">
              <w:rPr>
                <w:lang w:val="lt-LT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C419" w14:textId="170B0E9F" w:rsidR="001461EF" w:rsidRPr="00BA58C5" w:rsidRDefault="007D1C99" w:rsidP="00BA58C5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2024-12-19</w:t>
            </w:r>
          </w:p>
        </w:tc>
      </w:tr>
      <w:tr w:rsidR="008A44C1" w:rsidRPr="00D81B5F" w14:paraId="2A096044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2E5" w14:textId="67EE6E0F" w:rsidR="008A44C1" w:rsidRPr="00BA58C5" w:rsidRDefault="008A44C1" w:rsidP="00BA58C5">
            <w:pPr>
              <w:pStyle w:val="Sraopastraipa"/>
              <w:ind w:hanging="720"/>
            </w:pPr>
            <w:r w:rsidRPr="00BA58C5">
              <w:lastRenderedPageBreak/>
              <w:t>4.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408B" w14:textId="7C3D962D" w:rsidR="008A44C1" w:rsidRPr="00BA58C5" w:rsidRDefault="00DA0CB0" w:rsidP="00BA58C5">
            <w:pPr>
              <w:tabs>
                <w:tab w:val="left" w:pos="108"/>
              </w:tabs>
              <w:jc w:val="both"/>
              <w:rPr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r w:rsidRPr="00DA0CB0">
              <w:rPr>
                <w:color w:val="000000"/>
                <w:lang w:val="lt-LT"/>
              </w:rPr>
              <w:t>1.5. Minkštasuolio apačioje turi būti tvirtinamos metalinės kojelės, nebraižančios grindų;</w:t>
            </w:r>
            <w:r>
              <w:rPr>
                <w:color w:val="000000"/>
                <w:lang w:val="lt-LT"/>
              </w:rPr>
              <w:t>“</w:t>
            </w:r>
            <w:r w:rsidRPr="00DA0CB0">
              <w:rPr>
                <w:color w:val="000000"/>
                <w:lang w:val="lt-LT"/>
              </w:rPr>
              <w:t xml:space="preserve"> - standartiškai mažos kojelės būna. plastikinės, kurios tikrai nebraižo grindų - ant metalinių kojelių būna paminkštinimai, kuri eper laiką nusitrina ir tada metalas pradeda braižyti grindis - patikslinkite prašau į - gali būti metalinės ar plastikinės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95D" w14:textId="77777777" w:rsidR="00981233" w:rsidRPr="00BA58C5" w:rsidRDefault="00981233" w:rsidP="00981233">
            <w:pPr>
              <w:tabs>
                <w:tab w:val="left" w:pos="66"/>
              </w:tabs>
              <w:jc w:val="both"/>
              <w:rPr>
                <w:lang w:val="lt-LT"/>
              </w:rPr>
            </w:pPr>
            <w:r w:rsidRPr="00BA58C5">
              <w:rPr>
                <w:lang w:val="lt-LT"/>
              </w:rPr>
              <w:t>Techninėje specifikacijoje</w:t>
            </w:r>
            <w:r>
              <w:rPr>
                <w:lang w:val="lt-LT"/>
              </w:rPr>
              <w:t xml:space="preserve"> 1.5 p.</w:t>
            </w:r>
            <w:r w:rsidRPr="00BA58C5">
              <w:rPr>
                <w:lang w:val="lt-LT"/>
              </w:rPr>
              <w:t> nustatytas reikalavimas nekeičiamas.</w:t>
            </w:r>
          </w:p>
          <w:p w14:paraId="7CC0E00F" w14:textId="0FD000BC" w:rsidR="00915ED4" w:rsidRPr="00BA58C5" w:rsidRDefault="00915ED4" w:rsidP="00BA58C5">
            <w:pPr>
              <w:tabs>
                <w:tab w:val="left" w:pos="66"/>
              </w:tabs>
              <w:jc w:val="both"/>
              <w:rPr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38E" w14:textId="21EB0B74" w:rsidR="008A44C1" w:rsidRPr="00BA58C5" w:rsidRDefault="007D1C99" w:rsidP="00BA58C5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2024-12-19</w:t>
            </w:r>
          </w:p>
        </w:tc>
      </w:tr>
      <w:tr w:rsidR="008A44C1" w:rsidRPr="00D81B5F" w14:paraId="01026A1E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B8A" w14:textId="635D9CE7" w:rsidR="008A44C1" w:rsidRPr="00BA58C5" w:rsidRDefault="008A44C1" w:rsidP="00BA58C5">
            <w:pPr>
              <w:pStyle w:val="Sraopastraipa"/>
              <w:ind w:hanging="720"/>
            </w:pPr>
            <w:r w:rsidRPr="00BA58C5">
              <w:t>5.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50A5" w14:textId="0175C6C1" w:rsidR="008A44C1" w:rsidRPr="00BA58C5" w:rsidRDefault="00DA0CB0" w:rsidP="00BA58C5">
            <w:pPr>
              <w:tabs>
                <w:tab w:val="left" w:pos="108"/>
              </w:tabs>
              <w:jc w:val="both"/>
              <w:rPr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r w:rsidRPr="00DA0CB0">
              <w:rPr>
                <w:color w:val="000000"/>
                <w:lang w:val="lt-LT"/>
              </w:rPr>
              <w:t>1.6. Minkštasuoliai turi būti pilnai paminkštinti (viršus, šonai);</w:t>
            </w:r>
            <w:r>
              <w:rPr>
                <w:color w:val="000000"/>
                <w:lang w:val="lt-LT"/>
              </w:rPr>
              <w:t>“</w:t>
            </w:r>
            <w:r w:rsidRPr="00DA0CB0">
              <w:rPr>
                <w:color w:val="000000"/>
                <w:lang w:val="lt-LT"/>
              </w:rPr>
              <w:t xml:space="preserve"> - kokio storio porolonas/poliuretanas turi būti viršuje/šonuose, koks jo tankis?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6AA" w14:textId="32961360" w:rsidR="008A44C1" w:rsidRPr="00121905" w:rsidRDefault="005F1389" w:rsidP="00BA58C5">
            <w:pPr>
              <w:tabs>
                <w:tab w:val="left" w:pos="66"/>
              </w:tabs>
              <w:jc w:val="both"/>
              <w:rPr>
                <w:lang w:val="lt-LT"/>
              </w:rPr>
            </w:pPr>
            <w:r w:rsidRPr="00BA58C5">
              <w:rPr>
                <w:lang w:val="lt-LT"/>
              </w:rPr>
              <w:t>Techninėje specifikacijoje</w:t>
            </w:r>
            <w:r>
              <w:rPr>
                <w:lang w:val="lt-LT"/>
              </w:rPr>
              <w:t xml:space="preserve"> 1.6 p.</w:t>
            </w:r>
            <w:r w:rsidRPr="00BA58C5">
              <w:rPr>
                <w:lang w:val="lt-LT"/>
              </w:rPr>
              <w:t> nustatytas reikalavimas nekeičiamas</w:t>
            </w:r>
            <w:r>
              <w:rPr>
                <w:lang w:val="lt-LT"/>
              </w:rPr>
              <w:t xml:space="preserve">, </w:t>
            </w:r>
            <w:r w:rsidRPr="00121905">
              <w:rPr>
                <w:lang w:val="lt-LT"/>
              </w:rPr>
              <w:t>tačiau tiekėjas, siūlydamas prekę, turi įver</w:t>
            </w:r>
            <w:r>
              <w:rPr>
                <w:lang w:val="lt-LT"/>
              </w:rPr>
              <w:t>t</w:t>
            </w:r>
            <w:r w:rsidRPr="00121905">
              <w:rPr>
                <w:lang w:val="lt-LT"/>
              </w:rPr>
              <w:t xml:space="preserve">inti, kad </w:t>
            </w:r>
            <w:r>
              <w:rPr>
                <w:lang w:val="lt-LT"/>
              </w:rPr>
              <w:t>paminkštinimo medžiaga</w:t>
            </w:r>
            <w:r w:rsidRPr="00121905">
              <w:rPr>
                <w:lang w:val="lt-LT"/>
              </w:rPr>
              <w:t xml:space="preserve"> turi būti </w:t>
            </w:r>
            <w:r>
              <w:rPr>
                <w:lang w:val="lt-LT"/>
              </w:rPr>
              <w:t>atspari</w:t>
            </w:r>
            <w:r w:rsidRPr="00121905">
              <w:rPr>
                <w:lang w:val="lt-LT"/>
              </w:rPr>
              <w:t xml:space="preserve">  intensyviam naudojimui</w:t>
            </w:r>
            <w:r>
              <w:rPr>
                <w:lang w:val="lt-LT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7F5" w14:textId="6D16CFE7" w:rsidR="008A44C1" w:rsidRPr="00BA58C5" w:rsidRDefault="007D1C99" w:rsidP="00BA58C5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2024-12-19</w:t>
            </w:r>
          </w:p>
        </w:tc>
      </w:tr>
      <w:tr w:rsidR="00DA0CB0" w:rsidRPr="00D81B5F" w14:paraId="3FA4E9B4" w14:textId="77777777" w:rsidTr="008C2C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41C" w14:textId="7392A7C1" w:rsidR="00DA0CB0" w:rsidRPr="00BA58C5" w:rsidRDefault="00DA0CB0" w:rsidP="00BA58C5">
            <w:pPr>
              <w:pStyle w:val="Sraopastraipa"/>
              <w:ind w:hanging="720"/>
            </w:pPr>
            <w:r>
              <w:t>6.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66C" w14:textId="239148DD" w:rsidR="00DA0CB0" w:rsidRPr="00BA58C5" w:rsidRDefault="00DA0CB0" w:rsidP="00BA58C5">
            <w:pPr>
              <w:tabs>
                <w:tab w:val="left" w:pos="108"/>
              </w:tabs>
              <w:jc w:val="both"/>
              <w:rPr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r w:rsidRPr="00DA0CB0">
              <w:rPr>
                <w:color w:val="000000"/>
                <w:lang w:val="lt-LT"/>
              </w:rPr>
              <w:t>1.8. Minkštasuolių komponentai turi turėti galimybę būti jungiami į mažesnes ar didesnes kompozicijas</w:t>
            </w:r>
            <w:r>
              <w:rPr>
                <w:color w:val="000000"/>
                <w:lang w:val="lt-LT"/>
              </w:rPr>
              <w:t>“</w:t>
            </w:r>
            <w:r w:rsidRPr="00DA0CB0">
              <w:rPr>
                <w:color w:val="000000"/>
                <w:lang w:val="lt-LT"/>
              </w:rPr>
              <w:t xml:space="preserve"> - ką reiškia jungiami - ar tik sustumiami, ar turėti specialius sukabinimo laikiklius (jie matysis išorėje)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551" w14:textId="5BBA5543" w:rsidR="00DA0CB0" w:rsidRPr="00121905" w:rsidRDefault="008F6673" w:rsidP="007D1C99">
            <w:pPr>
              <w:tabs>
                <w:tab w:val="left" w:pos="66"/>
              </w:tabs>
              <w:jc w:val="both"/>
              <w:rPr>
                <w:lang w:val="lt-LT"/>
              </w:rPr>
            </w:pPr>
            <w:r w:rsidRPr="006E54F7">
              <w:rPr>
                <w:lang w:val="lt-LT"/>
              </w:rPr>
              <w:t>Perkančioji organizacija pa</w:t>
            </w:r>
            <w:r>
              <w:rPr>
                <w:lang w:val="lt-LT"/>
              </w:rPr>
              <w:t xml:space="preserve">tikslina, kad </w:t>
            </w:r>
            <w:r w:rsidR="006E6049">
              <w:rPr>
                <w:lang w:val="lt-LT"/>
              </w:rPr>
              <w:t>minkštasuoliai jungiami sustumiant</w:t>
            </w:r>
            <w:r w:rsidR="007D1C99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439" w14:textId="08C1DEDF" w:rsidR="00DA0CB0" w:rsidRPr="00BA58C5" w:rsidRDefault="007D1C99" w:rsidP="00BA58C5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2024-12-19</w:t>
            </w:r>
          </w:p>
        </w:tc>
      </w:tr>
    </w:tbl>
    <w:p w14:paraId="72EC5818" w14:textId="77777777" w:rsidR="00915ED4" w:rsidRDefault="00915ED4" w:rsidP="00BA58C5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01D56766" w:rsidR="005D5ABC" w:rsidRPr="00BA58C5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BA58C5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lang w:val="lt-LT"/>
        </w:rPr>
        <w:t xml:space="preserve">Komisijos narė, </w:t>
      </w:r>
      <w:r w:rsidRPr="00BA58C5">
        <w:rPr>
          <w:rFonts w:eastAsia="MS Mincho"/>
          <w:lang w:val="lt-LT"/>
        </w:rPr>
        <w:t>vykdanti sekretorės funkcijas</w:t>
      </w:r>
    </w:p>
    <w:p w14:paraId="6E7D8A91" w14:textId="06F81759" w:rsidR="005D5ABC" w:rsidRPr="00BA58C5" w:rsidRDefault="008A44C1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rFonts w:eastAsia="Lucida Sans Unicode"/>
          <w:kern w:val="1"/>
          <w:lang w:val="lt-LT" w:eastAsia="hi-IN" w:bidi="hi-IN"/>
        </w:rPr>
        <w:t>Dalia Slapšienė</w:t>
      </w:r>
    </w:p>
    <w:p w14:paraId="6139D3E3" w14:textId="280D7AC3" w:rsidR="005D5ABC" w:rsidRPr="00BA58C5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rFonts w:eastAsia="Lucida Sans Unicode"/>
          <w:kern w:val="1"/>
          <w:lang w:val="lt-LT" w:eastAsia="hi-IN" w:bidi="hi-IN"/>
        </w:rPr>
        <w:t xml:space="preserve">Tel. +370 389 </w:t>
      </w:r>
      <w:r w:rsidR="008A44C1" w:rsidRPr="00BA58C5">
        <w:rPr>
          <w:rFonts w:eastAsia="Lucida Sans Unicode"/>
          <w:kern w:val="1"/>
          <w:lang w:val="lt-LT" w:eastAsia="hi-IN" w:bidi="hi-IN"/>
        </w:rPr>
        <w:t>48 699</w:t>
      </w:r>
      <w:r w:rsidRPr="00BA58C5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1655E4DB" w:rsidR="005D5ABC" w:rsidRPr="0087176F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8A44C1" w:rsidRPr="00BA58C5">
          <w:rPr>
            <w:rStyle w:val="Hipersaitas"/>
            <w:rFonts w:eastAsia="Lucida Sans Unicode"/>
            <w:kern w:val="1"/>
            <w:lang w:val="lt-LT" w:eastAsia="hi-IN" w:bidi="hi-IN"/>
          </w:rPr>
          <w:t>dalia.slapsiene@utena.lt</w:t>
        </w:r>
      </w:hyperlink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3C656BBF" w:rsidR="000E1765" w:rsidRDefault="000E1765">
      <w:pPr>
        <w:rPr>
          <w:color w:val="000000"/>
          <w:lang w:val="lt-LT"/>
        </w:rPr>
      </w:pPr>
    </w:p>
    <w:p w14:paraId="42EA4D2A" w14:textId="77777777" w:rsidR="00DA0CB0" w:rsidRDefault="00DA0CB0">
      <w:pPr>
        <w:rPr>
          <w:color w:val="000000"/>
          <w:lang w:val="lt-LT"/>
        </w:rPr>
      </w:pPr>
    </w:p>
    <w:p w14:paraId="3EA62A06" w14:textId="6117A6F5" w:rsidR="00DA0CB0" w:rsidRDefault="00DA0CB0">
      <w:pPr>
        <w:rPr>
          <w:color w:val="000000"/>
          <w:lang w:val="lt-LT"/>
        </w:rPr>
      </w:pPr>
    </w:p>
    <w:sectPr w:rsidR="00DA0CB0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D8728" w14:textId="77777777" w:rsidR="007D7EED" w:rsidRDefault="007D7EED">
      <w:r>
        <w:separator/>
      </w:r>
    </w:p>
  </w:endnote>
  <w:endnote w:type="continuationSeparator" w:id="0">
    <w:p w14:paraId="00889D19" w14:textId="77777777" w:rsidR="007D7EED" w:rsidRDefault="007D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36D78" w14:textId="77777777" w:rsidR="007D7EED" w:rsidRDefault="007D7EED">
      <w:r>
        <w:separator/>
      </w:r>
    </w:p>
  </w:footnote>
  <w:footnote w:type="continuationSeparator" w:id="0">
    <w:p w14:paraId="5F8C9FCB" w14:textId="77777777" w:rsidR="007D7EED" w:rsidRDefault="007D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  <w:num w:numId="5" w16cid:durableId="2008632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6A0C"/>
    <w:rsid w:val="00010932"/>
    <w:rsid w:val="00010973"/>
    <w:rsid w:val="00013CCA"/>
    <w:rsid w:val="0001788C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56858"/>
    <w:rsid w:val="00083145"/>
    <w:rsid w:val="000846D3"/>
    <w:rsid w:val="000870F2"/>
    <w:rsid w:val="0009328E"/>
    <w:rsid w:val="000958C8"/>
    <w:rsid w:val="000959B0"/>
    <w:rsid w:val="000B20C2"/>
    <w:rsid w:val="000B27F4"/>
    <w:rsid w:val="000B71A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1905"/>
    <w:rsid w:val="00132F69"/>
    <w:rsid w:val="001461EF"/>
    <w:rsid w:val="00147F1C"/>
    <w:rsid w:val="001507C6"/>
    <w:rsid w:val="0015292E"/>
    <w:rsid w:val="00156683"/>
    <w:rsid w:val="00157C90"/>
    <w:rsid w:val="00161D18"/>
    <w:rsid w:val="00164AB4"/>
    <w:rsid w:val="00187F0E"/>
    <w:rsid w:val="00190CB7"/>
    <w:rsid w:val="00196F84"/>
    <w:rsid w:val="001A10C8"/>
    <w:rsid w:val="001D2C70"/>
    <w:rsid w:val="001F32DC"/>
    <w:rsid w:val="002028C0"/>
    <w:rsid w:val="00207F30"/>
    <w:rsid w:val="002139E5"/>
    <w:rsid w:val="00213BCF"/>
    <w:rsid w:val="0022141B"/>
    <w:rsid w:val="00224104"/>
    <w:rsid w:val="00224172"/>
    <w:rsid w:val="002312A1"/>
    <w:rsid w:val="00232BC1"/>
    <w:rsid w:val="002551E8"/>
    <w:rsid w:val="002635BC"/>
    <w:rsid w:val="00264E7F"/>
    <w:rsid w:val="00265058"/>
    <w:rsid w:val="00266474"/>
    <w:rsid w:val="00267F7F"/>
    <w:rsid w:val="00270AEF"/>
    <w:rsid w:val="00283AE2"/>
    <w:rsid w:val="0029499F"/>
    <w:rsid w:val="002A7DEA"/>
    <w:rsid w:val="002B0163"/>
    <w:rsid w:val="002C245F"/>
    <w:rsid w:val="002C6FFF"/>
    <w:rsid w:val="002D16D5"/>
    <w:rsid w:val="002D7DEC"/>
    <w:rsid w:val="002E67FA"/>
    <w:rsid w:val="002F207E"/>
    <w:rsid w:val="002F3FA8"/>
    <w:rsid w:val="0030586D"/>
    <w:rsid w:val="00310F1A"/>
    <w:rsid w:val="003166DB"/>
    <w:rsid w:val="0032578C"/>
    <w:rsid w:val="003310A4"/>
    <w:rsid w:val="00334650"/>
    <w:rsid w:val="003406AC"/>
    <w:rsid w:val="00350AE0"/>
    <w:rsid w:val="003534DD"/>
    <w:rsid w:val="003736B3"/>
    <w:rsid w:val="0037499D"/>
    <w:rsid w:val="003818A7"/>
    <w:rsid w:val="003A17D5"/>
    <w:rsid w:val="003D40EC"/>
    <w:rsid w:val="00400046"/>
    <w:rsid w:val="00400297"/>
    <w:rsid w:val="00405C5F"/>
    <w:rsid w:val="00405FAB"/>
    <w:rsid w:val="004074C7"/>
    <w:rsid w:val="00413379"/>
    <w:rsid w:val="004261AE"/>
    <w:rsid w:val="004434B3"/>
    <w:rsid w:val="004549C1"/>
    <w:rsid w:val="004604A0"/>
    <w:rsid w:val="00465799"/>
    <w:rsid w:val="00467616"/>
    <w:rsid w:val="00482657"/>
    <w:rsid w:val="00482DC9"/>
    <w:rsid w:val="00484A83"/>
    <w:rsid w:val="004875FE"/>
    <w:rsid w:val="00490127"/>
    <w:rsid w:val="0049445E"/>
    <w:rsid w:val="00496CB4"/>
    <w:rsid w:val="004A4438"/>
    <w:rsid w:val="004B1A8C"/>
    <w:rsid w:val="004C2F5E"/>
    <w:rsid w:val="004C3516"/>
    <w:rsid w:val="004F108C"/>
    <w:rsid w:val="004F26B2"/>
    <w:rsid w:val="004F79E6"/>
    <w:rsid w:val="004F7B05"/>
    <w:rsid w:val="0050111D"/>
    <w:rsid w:val="00503C7B"/>
    <w:rsid w:val="00527A64"/>
    <w:rsid w:val="00530626"/>
    <w:rsid w:val="00532879"/>
    <w:rsid w:val="00532DD1"/>
    <w:rsid w:val="005366FA"/>
    <w:rsid w:val="00550D18"/>
    <w:rsid w:val="0056278C"/>
    <w:rsid w:val="00570CA9"/>
    <w:rsid w:val="00571523"/>
    <w:rsid w:val="00581426"/>
    <w:rsid w:val="00590161"/>
    <w:rsid w:val="005A47F4"/>
    <w:rsid w:val="005B77FC"/>
    <w:rsid w:val="005D17FE"/>
    <w:rsid w:val="005D5ABC"/>
    <w:rsid w:val="005E708C"/>
    <w:rsid w:val="005F1389"/>
    <w:rsid w:val="005F7687"/>
    <w:rsid w:val="00620E82"/>
    <w:rsid w:val="00633297"/>
    <w:rsid w:val="00633CE6"/>
    <w:rsid w:val="00636B59"/>
    <w:rsid w:val="00640A6D"/>
    <w:rsid w:val="00663AFB"/>
    <w:rsid w:val="00664D81"/>
    <w:rsid w:val="00667345"/>
    <w:rsid w:val="00667412"/>
    <w:rsid w:val="006875C6"/>
    <w:rsid w:val="0069131B"/>
    <w:rsid w:val="0069504A"/>
    <w:rsid w:val="006A029F"/>
    <w:rsid w:val="006A6F92"/>
    <w:rsid w:val="006B1CD8"/>
    <w:rsid w:val="006E363B"/>
    <w:rsid w:val="006E6049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62E0"/>
    <w:rsid w:val="00787763"/>
    <w:rsid w:val="00795DB9"/>
    <w:rsid w:val="007B0E6C"/>
    <w:rsid w:val="007B4E21"/>
    <w:rsid w:val="007C1CEA"/>
    <w:rsid w:val="007C353D"/>
    <w:rsid w:val="007D1C99"/>
    <w:rsid w:val="007D4AF4"/>
    <w:rsid w:val="007D4D0B"/>
    <w:rsid w:val="007D797F"/>
    <w:rsid w:val="007D7EED"/>
    <w:rsid w:val="007E73BB"/>
    <w:rsid w:val="007F0CDE"/>
    <w:rsid w:val="00815F81"/>
    <w:rsid w:val="00817A14"/>
    <w:rsid w:val="00817D5D"/>
    <w:rsid w:val="00817F5A"/>
    <w:rsid w:val="00833969"/>
    <w:rsid w:val="00842B4C"/>
    <w:rsid w:val="00846801"/>
    <w:rsid w:val="00853C67"/>
    <w:rsid w:val="008547C4"/>
    <w:rsid w:val="00866671"/>
    <w:rsid w:val="00870888"/>
    <w:rsid w:val="00880073"/>
    <w:rsid w:val="008953AC"/>
    <w:rsid w:val="008A44C1"/>
    <w:rsid w:val="008A68B6"/>
    <w:rsid w:val="008B1B75"/>
    <w:rsid w:val="008B2E0C"/>
    <w:rsid w:val="008B62DB"/>
    <w:rsid w:val="008C0494"/>
    <w:rsid w:val="008C2BD4"/>
    <w:rsid w:val="008C2C99"/>
    <w:rsid w:val="008D2B22"/>
    <w:rsid w:val="008D362A"/>
    <w:rsid w:val="008E0EEE"/>
    <w:rsid w:val="008E0F94"/>
    <w:rsid w:val="008E3719"/>
    <w:rsid w:val="008E4718"/>
    <w:rsid w:val="008F0C75"/>
    <w:rsid w:val="008F6673"/>
    <w:rsid w:val="009036F8"/>
    <w:rsid w:val="009060E1"/>
    <w:rsid w:val="00911B56"/>
    <w:rsid w:val="00912ECF"/>
    <w:rsid w:val="009133D1"/>
    <w:rsid w:val="00915ED4"/>
    <w:rsid w:val="009230D5"/>
    <w:rsid w:val="009256D8"/>
    <w:rsid w:val="00930FD3"/>
    <w:rsid w:val="0093647F"/>
    <w:rsid w:val="00943002"/>
    <w:rsid w:val="00953823"/>
    <w:rsid w:val="00953C9D"/>
    <w:rsid w:val="009653DA"/>
    <w:rsid w:val="00975FC9"/>
    <w:rsid w:val="00977389"/>
    <w:rsid w:val="00981233"/>
    <w:rsid w:val="00990214"/>
    <w:rsid w:val="009921B0"/>
    <w:rsid w:val="0099531F"/>
    <w:rsid w:val="00995512"/>
    <w:rsid w:val="009B1AF0"/>
    <w:rsid w:val="009B24EF"/>
    <w:rsid w:val="009B32D5"/>
    <w:rsid w:val="009B620D"/>
    <w:rsid w:val="009C48A0"/>
    <w:rsid w:val="009C50C8"/>
    <w:rsid w:val="009D4696"/>
    <w:rsid w:val="009F41DF"/>
    <w:rsid w:val="009F6128"/>
    <w:rsid w:val="00A0347B"/>
    <w:rsid w:val="00A04FE1"/>
    <w:rsid w:val="00A0795F"/>
    <w:rsid w:val="00A11A87"/>
    <w:rsid w:val="00A131D3"/>
    <w:rsid w:val="00A14FB2"/>
    <w:rsid w:val="00A15715"/>
    <w:rsid w:val="00A20AAE"/>
    <w:rsid w:val="00A27F82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C4CA4"/>
    <w:rsid w:val="00AF26B0"/>
    <w:rsid w:val="00AF797D"/>
    <w:rsid w:val="00B05BC8"/>
    <w:rsid w:val="00B11118"/>
    <w:rsid w:val="00B112C9"/>
    <w:rsid w:val="00B152CE"/>
    <w:rsid w:val="00B20F4F"/>
    <w:rsid w:val="00B21142"/>
    <w:rsid w:val="00B5614D"/>
    <w:rsid w:val="00B718F6"/>
    <w:rsid w:val="00B72F7D"/>
    <w:rsid w:val="00B82FBD"/>
    <w:rsid w:val="00B840C9"/>
    <w:rsid w:val="00B94516"/>
    <w:rsid w:val="00BA4D26"/>
    <w:rsid w:val="00BA58C5"/>
    <w:rsid w:val="00BB5897"/>
    <w:rsid w:val="00BD0DD4"/>
    <w:rsid w:val="00BD7360"/>
    <w:rsid w:val="00BE5771"/>
    <w:rsid w:val="00BE5ACB"/>
    <w:rsid w:val="00BF1EDC"/>
    <w:rsid w:val="00BF5E58"/>
    <w:rsid w:val="00C1202E"/>
    <w:rsid w:val="00C26F05"/>
    <w:rsid w:val="00C339A1"/>
    <w:rsid w:val="00C346AF"/>
    <w:rsid w:val="00C357FD"/>
    <w:rsid w:val="00C43D84"/>
    <w:rsid w:val="00C47807"/>
    <w:rsid w:val="00C568EE"/>
    <w:rsid w:val="00C61B91"/>
    <w:rsid w:val="00C74584"/>
    <w:rsid w:val="00C83615"/>
    <w:rsid w:val="00C8696E"/>
    <w:rsid w:val="00C87D52"/>
    <w:rsid w:val="00CA5D29"/>
    <w:rsid w:val="00CB3424"/>
    <w:rsid w:val="00CB5167"/>
    <w:rsid w:val="00CB721A"/>
    <w:rsid w:val="00CD1A19"/>
    <w:rsid w:val="00CF76B7"/>
    <w:rsid w:val="00CF7864"/>
    <w:rsid w:val="00D01A73"/>
    <w:rsid w:val="00D14CC8"/>
    <w:rsid w:val="00D31EBF"/>
    <w:rsid w:val="00D33375"/>
    <w:rsid w:val="00D36A26"/>
    <w:rsid w:val="00D418F0"/>
    <w:rsid w:val="00D43327"/>
    <w:rsid w:val="00D6434D"/>
    <w:rsid w:val="00D81121"/>
    <w:rsid w:val="00D81B5F"/>
    <w:rsid w:val="00D847D2"/>
    <w:rsid w:val="00DA0CB0"/>
    <w:rsid w:val="00DA3075"/>
    <w:rsid w:val="00DA3296"/>
    <w:rsid w:val="00DA756A"/>
    <w:rsid w:val="00DB4BD5"/>
    <w:rsid w:val="00DB7B73"/>
    <w:rsid w:val="00DC465A"/>
    <w:rsid w:val="00DD3B4A"/>
    <w:rsid w:val="00DD58EC"/>
    <w:rsid w:val="00DD5D72"/>
    <w:rsid w:val="00DE0413"/>
    <w:rsid w:val="00DE15B2"/>
    <w:rsid w:val="00DE77E1"/>
    <w:rsid w:val="00DF16EC"/>
    <w:rsid w:val="00DF1A53"/>
    <w:rsid w:val="00DF491F"/>
    <w:rsid w:val="00DF5BE1"/>
    <w:rsid w:val="00E01C46"/>
    <w:rsid w:val="00E12E4F"/>
    <w:rsid w:val="00E15E73"/>
    <w:rsid w:val="00E16245"/>
    <w:rsid w:val="00E21ADC"/>
    <w:rsid w:val="00E22408"/>
    <w:rsid w:val="00E2468C"/>
    <w:rsid w:val="00E37F2B"/>
    <w:rsid w:val="00E42093"/>
    <w:rsid w:val="00E42E2D"/>
    <w:rsid w:val="00E46C4D"/>
    <w:rsid w:val="00E52974"/>
    <w:rsid w:val="00E65922"/>
    <w:rsid w:val="00E66031"/>
    <w:rsid w:val="00E917DF"/>
    <w:rsid w:val="00EA0FBC"/>
    <w:rsid w:val="00EA16F1"/>
    <w:rsid w:val="00EA36F8"/>
    <w:rsid w:val="00EB42D3"/>
    <w:rsid w:val="00EB537A"/>
    <w:rsid w:val="00EB7C29"/>
    <w:rsid w:val="00EC29BC"/>
    <w:rsid w:val="00EC5563"/>
    <w:rsid w:val="00EC5A31"/>
    <w:rsid w:val="00ED6396"/>
    <w:rsid w:val="00ED7860"/>
    <w:rsid w:val="00F017B0"/>
    <w:rsid w:val="00F03872"/>
    <w:rsid w:val="00F119C3"/>
    <w:rsid w:val="00F23DAE"/>
    <w:rsid w:val="00F2441E"/>
    <w:rsid w:val="00F25B8E"/>
    <w:rsid w:val="00F30AB7"/>
    <w:rsid w:val="00F44D1E"/>
    <w:rsid w:val="00F526CB"/>
    <w:rsid w:val="00F54017"/>
    <w:rsid w:val="00F62C59"/>
    <w:rsid w:val="00F66A18"/>
    <w:rsid w:val="00F75C42"/>
    <w:rsid w:val="00F77DFF"/>
    <w:rsid w:val="00F81572"/>
    <w:rsid w:val="00FA12CC"/>
    <w:rsid w:val="00FA2434"/>
    <w:rsid w:val="00FA27C3"/>
    <w:rsid w:val="00FA4917"/>
    <w:rsid w:val="00FA7F6E"/>
    <w:rsid w:val="00FC1D33"/>
    <w:rsid w:val="00FD184B"/>
    <w:rsid w:val="00FD2CB9"/>
    <w:rsid w:val="00FE252D"/>
    <w:rsid w:val="00FE465C"/>
    <w:rsid w:val="00FF13CA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79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customStyle="1" w:styleId="Tvarkospapunktis">
    <w:name w:val="Tvarkos papunktis"/>
    <w:basedOn w:val="prastasis"/>
    <w:rsid w:val="009B24EF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eastAsia="Times New Roman"/>
      <w:bdr w:val="none" w:sz="0" w:space="0" w:color="auto"/>
      <w:lang w:val="lt-LT" w:eastAsia="lt-LT"/>
    </w:rPr>
  </w:style>
  <w:style w:type="numbering" w:customStyle="1" w:styleId="LFO42">
    <w:name w:val="LFO42"/>
    <w:basedOn w:val="Sraonra"/>
    <w:rsid w:val="009B24EF"/>
    <w:pPr>
      <w:numPr>
        <w:numId w:val="5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71A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71A3"/>
  </w:style>
  <w:style w:type="character" w:styleId="Puslapioinaosnuoroda">
    <w:name w:val="footnote reference"/>
    <w:basedOn w:val="Numatytasispastraiposriftas"/>
    <w:uiPriority w:val="99"/>
    <w:semiHidden/>
    <w:unhideWhenUsed/>
    <w:rsid w:val="000B7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slap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Dalia Slapšienė</cp:lastModifiedBy>
  <cp:revision>20</cp:revision>
  <cp:lastPrinted>2024-12-19T07:39:00Z</cp:lastPrinted>
  <dcterms:created xsi:type="dcterms:W3CDTF">2024-10-16T13:41:00Z</dcterms:created>
  <dcterms:modified xsi:type="dcterms:W3CDTF">2024-12-19T07:50:00Z</dcterms:modified>
</cp:coreProperties>
</file>