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192ED4" w:rsidP="00B50198">
      <w:pPr>
        <w:jc w:val="center"/>
        <w:rPr>
          <w:rFonts w:asciiTheme="majorHAnsi" w:hAnsiTheme="majorHAnsi"/>
          <w:b/>
          <w:bCs/>
          <w:sz w:val="22"/>
          <w:szCs w:val="22"/>
          <w:lang w:val="lt-LT"/>
        </w:rPr>
      </w:pPr>
      <w:r>
        <w:rPr>
          <w:rFonts w:asciiTheme="majorHAnsi" w:hAnsiTheme="majorHAnsi"/>
          <w:b/>
          <w:bCs/>
          <w:sz w:val="22"/>
          <w:szCs w:val="22"/>
          <w:lang w:val="lt-LT"/>
        </w:rPr>
        <w:t>PACIENTŲ GYVYBINIŲ FUNKCIJŲ MONITORIAI PRITAIKYTI DIRBTI MRT APLINKOJE</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r w:rsidR="00192ED4">
        <w:rPr>
          <w:rFonts w:asciiTheme="majorHAnsi" w:eastAsia="Calibri" w:hAnsiTheme="majorHAnsi"/>
          <w:sz w:val="22"/>
          <w:szCs w:val="22"/>
          <w:bdr w:val="none" w:sz="0" w:space="0" w:color="auto"/>
          <w:lang w:val="lt-LT"/>
        </w:rPr>
        <w:t>.</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192ED4">
        <w:rPr>
          <w:rFonts w:asciiTheme="majorHAnsi" w:hAnsiTheme="majorHAnsi"/>
          <w:b/>
          <w:bCs/>
          <w:color w:val="4F81BD" w:themeColor="accent1"/>
          <w:sz w:val="22"/>
          <w:szCs w:val="22"/>
          <w:lang w:val="lt-LT"/>
        </w:rPr>
        <w:t>pacientų gyvybinių funkcijų monitorius pritaikytus dirbti MRT aplinkoje</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1660BB"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1660BB">
        <w:rPr>
          <w:rFonts w:asciiTheme="majorHAnsi" w:hAnsiTheme="majorHAnsi"/>
          <w:sz w:val="22"/>
          <w:szCs w:val="22"/>
        </w:rPr>
        <w:t xml:space="preserve">2.1. Šio pirkimo objektas yra </w:t>
      </w:r>
      <w:r w:rsidR="00192ED4">
        <w:rPr>
          <w:rFonts w:asciiTheme="majorHAnsi" w:hAnsiTheme="majorHAnsi"/>
          <w:b/>
          <w:bCs/>
          <w:color w:val="4F81BD" w:themeColor="accent1"/>
          <w:sz w:val="22"/>
          <w:szCs w:val="22"/>
          <w:lang w:val="lt-LT"/>
        </w:rPr>
        <w:t>pacientų gyvybinių funkcijų monitoriai pritaikyti dirbti MRT aplinkoje</w:t>
      </w:r>
      <w:r w:rsidR="007B431C" w:rsidRPr="001660BB">
        <w:rPr>
          <w:rFonts w:asciiTheme="majorHAnsi" w:hAnsiTheme="majorHAnsi"/>
          <w:bCs/>
          <w:color w:val="4F81BD" w:themeColor="accent1"/>
          <w:sz w:val="22"/>
          <w:szCs w:val="22"/>
          <w:lang w:val="lt-LT"/>
        </w:rPr>
        <w:t>.</w:t>
      </w:r>
    </w:p>
    <w:p w:rsidR="00192ED4" w:rsidRPr="003714C3"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 </w:t>
      </w:r>
      <w:r>
        <w:rPr>
          <w:rFonts w:asciiTheme="majorHAnsi" w:hAnsiTheme="majorHAnsi"/>
          <w:b/>
          <w:sz w:val="22"/>
          <w:szCs w:val="22"/>
        </w:rPr>
        <w:t>82.280,00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192ED4" w:rsidRPr="0084583A" w:rsidRDefault="00192ED4" w:rsidP="00192ED4">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 xml:space="preserve">2.3. </w:t>
      </w:r>
      <w:r w:rsidRPr="003714C3">
        <w:rPr>
          <w:rFonts w:asciiTheme="majorHAnsi" w:hAnsiTheme="majorHAnsi"/>
          <w:sz w:val="22"/>
          <w:szCs w:val="22"/>
        </w:rPr>
        <w:t>Numatomų įsigyti, techninėje specifikacijoje nurodytų techninių charakteristikų prekių CPO.LT kataloge nėra</w:t>
      </w:r>
      <w:r w:rsidRPr="003714C3">
        <w:rPr>
          <w:rFonts w:asciiTheme="majorHAnsi" w:hAnsiTheme="majorHAnsi"/>
          <w:bCs/>
          <w:color w:val="000000"/>
          <w:sz w:val="22"/>
          <w:szCs w:val="22"/>
          <w:shd w:val="clear" w:color="auto" w:fill="FFFFFF"/>
        </w:rPr>
        <w:t xml:space="preserve">. </w:t>
      </w:r>
    </w:p>
    <w:p w:rsidR="00192ED4" w:rsidRPr="003714C3" w:rsidRDefault="00192ED4" w:rsidP="00192ED4">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8B7D36" w:rsidRPr="008B7D36">
        <w:rPr>
          <w:rFonts w:asciiTheme="majorHAnsi" w:hAnsiTheme="majorHAnsi"/>
          <w:bCs/>
          <w:i/>
          <w:color w:val="4F81BD" w:themeColor="accent1"/>
        </w:rPr>
        <w:t>pacientų gyvybinių funkcijų monitori</w:t>
      </w:r>
      <w:r w:rsidR="008B7D36">
        <w:rPr>
          <w:rFonts w:asciiTheme="majorHAnsi" w:hAnsiTheme="majorHAnsi"/>
          <w:bCs/>
          <w:i/>
          <w:color w:val="4F81BD" w:themeColor="accent1"/>
        </w:rPr>
        <w:t>ų</w:t>
      </w:r>
      <w:r w:rsidR="008B7D36" w:rsidRPr="008B7D36">
        <w:rPr>
          <w:rFonts w:asciiTheme="majorHAnsi" w:hAnsiTheme="majorHAnsi"/>
          <w:bCs/>
          <w:i/>
          <w:color w:val="4F81BD" w:themeColor="accent1"/>
        </w:rPr>
        <w:t xml:space="preserve"> pritaikyt</w:t>
      </w:r>
      <w:r w:rsidR="008B7D36">
        <w:rPr>
          <w:rFonts w:asciiTheme="majorHAnsi" w:hAnsiTheme="majorHAnsi"/>
          <w:bCs/>
          <w:i/>
          <w:color w:val="4F81BD" w:themeColor="accent1"/>
        </w:rPr>
        <w:t>ų</w:t>
      </w:r>
      <w:r w:rsidR="008B7D36" w:rsidRPr="008B7D36">
        <w:rPr>
          <w:rFonts w:asciiTheme="majorHAnsi" w:hAnsiTheme="majorHAnsi"/>
          <w:bCs/>
          <w:i/>
          <w:color w:val="4F81BD" w:themeColor="accent1"/>
        </w:rPr>
        <w:t xml:space="preserve"> dirbti MRT aplinkoje</w:t>
      </w:r>
      <w:r w:rsidR="008B7D36" w:rsidRPr="003714C3">
        <w:rPr>
          <w:rFonts w:asciiTheme="majorHAnsi" w:hAnsiTheme="majorHAnsi"/>
          <w:noProof/>
          <w:szCs w:val="24"/>
        </w:rPr>
        <w:t xml:space="preserve"> </w:t>
      </w:r>
      <w:r w:rsidRPr="003714C3">
        <w:rPr>
          <w:rFonts w:asciiTheme="majorHAnsi" w:hAnsiTheme="majorHAnsi"/>
          <w:noProof/>
          <w:szCs w:val="24"/>
        </w:rPr>
        <w:t>pirkimo</w:t>
      </w:r>
      <w:r w:rsidRPr="003714C3">
        <w:rPr>
          <w:rFonts w:asciiTheme="majorHAnsi" w:hAnsiTheme="majorHAnsi"/>
          <w:b/>
          <w:i/>
          <w:noProof/>
          <w:szCs w:val="24"/>
        </w:rPr>
        <w:t xml:space="preserve"> </w:t>
      </w:r>
      <w:r w:rsidRPr="003714C3">
        <w:rPr>
          <w:rFonts w:asciiTheme="majorHAnsi" w:hAnsiTheme="majorHAnsi"/>
          <w:noProof/>
          <w:szCs w:val="24"/>
        </w:rPr>
        <w:t>(</w:t>
      </w:r>
      <w:r w:rsidRPr="003714C3">
        <w:rPr>
          <w:rFonts w:asciiTheme="majorHAnsi" w:hAnsiTheme="majorHAnsi"/>
          <w:i/>
          <w:noProof/>
          <w:szCs w:val="24"/>
        </w:rPr>
        <w:t xml:space="preserve">Nr. </w:t>
      </w:r>
      <w:r w:rsidR="008B7D36">
        <w:rPr>
          <w:rFonts w:asciiTheme="majorHAnsi" w:hAnsiTheme="majorHAnsi"/>
          <w:i/>
          <w:noProof/>
          <w:szCs w:val="24"/>
          <w:shd w:val="clear" w:color="auto" w:fill="FFFFFF"/>
        </w:rPr>
        <w:t>4128317</w:t>
      </w:r>
      <w:r w:rsidRPr="003714C3">
        <w:rPr>
          <w:rFonts w:asciiTheme="majorHAnsi" w:hAnsiTheme="majorHAnsi"/>
          <w:shd w:val="clear" w:color="auto" w:fill="FFFFFF"/>
        </w:rPr>
        <w:t xml:space="preserve">).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Pr="003714C3">
        <w:rPr>
          <w:rFonts w:asciiTheme="majorHAnsi" w:hAnsiTheme="majorHAnsi"/>
          <w:lang w:val="de-DE"/>
        </w:rPr>
        <w:t xml:space="preserve">priede Nr. 4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92ED4" w:rsidRPr="001114F6"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Šis pirkimas nėra skaidomas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Pr="00A810CD">
        <w:rPr>
          <w:rFonts w:ascii="Cambria" w:hAnsi="Cambria"/>
        </w:rPr>
        <w:t>k</w:t>
      </w:r>
      <w:r w:rsidRPr="00A810CD">
        <w:rPr>
          <w:rFonts w:ascii="Cambria" w:hAnsi="Cambria"/>
          <w:shd w:val="clear" w:color="auto" w:fill="FFFFFF"/>
        </w:rPr>
        <w:t>iekybiniu pagrindu skaidant pirkimą į atskiras pirkimo dalis ekonomiškai nenaudinga. Perkant didesnį  prekių kiekį, gamintojai tiekėjams</w:t>
      </w:r>
      <w:r w:rsidRPr="00AB3399">
        <w:rPr>
          <w:rFonts w:ascii="Cambria" w:hAnsi="Cambria"/>
          <w:shd w:val="clear" w:color="auto" w:fill="FFFFFF"/>
        </w:rPr>
        <w:t xml:space="preserve"> suteikia didesnes kainos nuolaidas ir tiekėjai gali pigiau pasiūlyti prekes.  </w:t>
      </w:r>
    </w:p>
    <w:p w:rsidR="00192ED4" w:rsidRPr="003714C3" w:rsidRDefault="00192ED4" w:rsidP="00192ED4">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 xml:space="preserve">Konkurso dalyviui pateikus </w:t>
      </w:r>
      <w:r w:rsidRPr="003714C3">
        <w:rPr>
          <w:rFonts w:asciiTheme="majorHAnsi" w:hAnsiTheme="majorHAnsi"/>
          <w:iCs/>
        </w:rPr>
        <w:lastRenderedPageBreak/>
        <w:t>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192ED4" w:rsidRPr="003714C3" w:rsidRDefault="00192ED4" w:rsidP="00192ED4">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192ED4" w:rsidRPr="003714C3" w:rsidRDefault="00192ED4" w:rsidP="00192ED4">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192ED4" w:rsidRPr="003714C3" w:rsidRDefault="00192ED4" w:rsidP="00192ED4">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92ED4" w:rsidRPr="003714C3" w:rsidRDefault="00192ED4" w:rsidP="00192ED4">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7F31ED"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7F31ED"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7F31ED"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7F31ED"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7F31ED"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E229C9" w:rsidRPr="003714C3" w:rsidRDefault="00E229C9" w:rsidP="00E229C9">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229C9" w:rsidRPr="003714C3" w:rsidRDefault="00E229C9" w:rsidP="00E229C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E937B7" w:rsidRPr="003033A9" w:rsidRDefault="00E937B7" w:rsidP="00E229C9">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EA4078" w:rsidRPr="003714C3" w:rsidRDefault="00EA4078" w:rsidP="00EA4078">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6C59CB">
        <w:rPr>
          <w:rFonts w:asciiTheme="majorHAnsi" w:hAnsiTheme="majorHAnsi" w:cs="Times New Roman"/>
          <w:color w:val="auto"/>
        </w:rPr>
        <w:t xml:space="preserve">5.4. </w:t>
      </w:r>
      <w:r w:rsidRPr="006C59CB">
        <w:rPr>
          <w:rFonts w:asciiTheme="majorHAnsi" w:hAnsiTheme="majorHAnsi" w:cs="Times New Roman"/>
          <w:iCs/>
          <w:color w:val="auto"/>
        </w:rPr>
        <w:t xml:space="preserve">Pasiūlymas turi būti pateiktas iki </w:t>
      </w:r>
      <w:r w:rsidR="00AA5E63" w:rsidRPr="006C59CB">
        <w:rPr>
          <w:rFonts w:asciiTheme="majorHAnsi" w:hAnsiTheme="majorHAnsi" w:cs="Times New Roman"/>
          <w:b/>
          <w:iCs/>
          <w:color w:val="548DD4" w:themeColor="text2" w:themeTint="99"/>
        </w:rPr>
        <w:t>202</w:t>
      </w:r>
      <w:r w:rsidR="00EA4078" w:rsidRPr="006C59CB">
        <w:rPr>
          <w:rFonts w:asciiTheme="majorHAnsi" w:hAnsiTheme="majorHAnsi" w:cs="Times New Roman"/>
          <w:b/>
          <w:iCs/>
          <w:color w:val="548DD4" w:themeColor="text2" w:themeTint="99"/>
        </w:rPr>
        <w:t>6</w:t>
      </w:r>
      <w:r w:rsidRPr="006C59CB">
        <w:rPr>
          <w:rFonts w:asciiTheme="majorHAnsi" w:hAnsiTheme="majorHAnsi" w:cs="Times New Roman"/>
          <w:b/>
          <w:iCs/>
          <w:color w:val="548DD4" w:themeColor="text2" w:themeTint="99"/>
        </w:rPr>
        <w:t xml:space="preserve"> m. </w:t>
      </w:r>
      <w:r w:rsidR="00EA4078" w:rsidRPr="006C59CB">
        <w:rPr>
          <w:rFonts w:asciiTheme="majorHAnsi" w:hAnsiTheme="majorHAnsi" w:cs="Times New Roman"/>
          <w:b/>
          <w:iCs/>
          <w:color w:val="548DD4" w:themeColor="text2" w:themeTint="99"/>
        </w:rPr>
        <w:t>sausio</w:t>
      </w:r>
      <w:r w:rsidR="006C59CB" w:rsidRPr="006C59CB">
        <w:rPr>
          <w:rFonts w:asciiTheme="majorHAnsi" w:hAnsiTheme="majorHAnsi" w:cs="Times New Roman"/>
          <w:b/>
          <w:iCs/>
          <w:color w:val="548DD4" w:themeColor="text2" w:themeTint="99"/>
        </w:rPr>
        <w:t xml:space="preserve"> 7</w:t>
      </w:r>
      <w:r w:rsidR="00F21792" w:rsidRPr="006C59CB">
        <w:rPr>
          <w:rFonts w:asciiTheme="majorHAnsi" w:hAnsiTheme="majorHAnsi" w:cs="Times New Roman"/>
          <w:b/>
          <w:iCs/>
          <w:color w:val="548DD4" w:themeColor="text2" w:themeTint="99"/>
        </w:rPr>
        <w:t xml:space="preserve"> </w:t>
      </w:r>
      <w:r w:rsidRPr="006C59CB">
        <w:rPr>
          <w:rFonts w:asciiTheme="majorHAnsi" w:hAnsiTheme="majorHAnsi" w:cs="Times New Roman"/>
          <w:b/>
          <w:iCs/>
          <w:color w:val="548DD4" w:themeColor="text2" w:themeTint="99"/>
        </w:rPr>
        <w:t>d.</w:t>
      </w:r>
      <w:r w:rsidR="00E958C2" w:rsidRPr="006C59CB">
        <w:rPr>
          <w:rFonts w:asciiTheme="majorHAnsi" w:hAnsiTheme="majorHAnsi" w:cs="Times New Roman"/>
          <w:b/>
          <w:iCs/>
          <w:color w:val="548DD4" w:themeColor="text2" w:themeTint="99"/>
        </w:rPr>
        <w:t xml:space="preserve"> 0</w:t>
      </w:r>
      <w:r w:rsidR="00F21792" w:rsidRPr="006C59CB">
        <w:rPr>
          <w:rFonts w:asciiTheme="majorHAnsi" w:hAnsiTheme="majorHAnsi" w:cs="Times New Roman"/>
          <w:b/>
          <w:iCs/>
          <w:color w:val="548DD4" w:themeColor="text2" w:themeTint="99"/>
        </w:rPr>
        <w:t>8</w:t>
      </w:r>
      <w:r w:rsidR="005823A0" w:rsidRPr="006C59CB">
        <w:rPr>
          <w:rFonts w:asciiTheme="majorHAnsi" w:hAnsiTheme="majorHAnsi" w:cs="Times New Roman"/>
          <w:b/>
          <w:iCs/>
          <w:color w:val="548DD4" w:themeColor="text2" w:themeTint="99"/>
        </w:rPr>
        <w:t xml:space="preserve"> val. </w:t>
      </w:r>
      <w:r w:rsidR="006C59CB" w:rsidRPr="006C59CB">
        <w:rPr>
          <w:rFonts w:asciiTheme="majorHAnsi" w:hAnsiTheme="majorHAnsi" w:cs="Times New Roman"/>
          <w:b/>
          <w:iCs/>
          <w:color w:val="548DD4" w:themeColor="text2" w:themeTint="99"/>
        </w:rPr>
        <w:t>00</w:t>
      </w:r>
      <w:r w:rsidRPr="006C59CB">
        <w:rPr>
          <w:rFonts w:asciiTheme="majorHAnsi" w:hAnsiTheme="majorHAnsi" w:cs="Times New Roman"/>
          <w:b/>
          <w:iCs/>
          <w:color w:val="548DD4" w:themeColor="text2" w:themeTint="99"/>
        </w:rPr>
        <w:t xml:space="preserve"> min.</w:t>
      </w:r>
      <w:r w:rsidRPr="006C59CB">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0A6E92"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6C59CB">
        <w:rPr>
          <w:rFonts w:asciiTheme="majorHAnsi" w:hAnsiTheme="majorHAnsi" w:cs="Times New Roman"/>
          <w:lang w:val="it-IT"/>
        </w:rPr>
        <w:t xml:space="preserve">trumpiau </w:t>
      </w:r>
      <w:r w:rsidRPr="006C59CB">
        <w:rPr>
          <w:rFonts w:asciiTheme="majorHAnsi" w:hAnsiTheme="majorHAnsi" w:cs="Times New Roman"/>
          <w:lang w:val="lt-LT"/>
        </w:rPr>
        <w:t xml:space="preserve">kaip iki </w:t>
      </w:r>
      <w:r w:rsidR="00AF145C" w:rsidRPr="006C59CB">
        <w:rPr>
          <w:rFonts w:asciiTheme="majorHAnsi" w:hAnsiTheme="majorHAnsi" w:cs="Times New Roman"/>
          <w:b/>
          <w:color w:val="548DD4" w:themeColor="text2" w:themeTint="99"/>
          <w:lang w:val="lt-LT"/>
        </w:rPr>
        <w:t>202</w:t>
      </w:r>
      <w:r w:rsidR="00692844" w:rsidRPr="006C59CB">
        <w:rPr>
          <w:rFonts w:asciiTheme="majorHAnsi" w:hAnsiTheme="majorHAnsi" w:cs="Times New Roman"/>
          <w:b/>
          <w:color w:val="548DD4" w:themeColor="text2" w:themeTint="99"/>
          <w:lang w:val="lt-LT"/>
        </w:rPr>
        <w:t>6-</w:t>
      </w:r>
      <w:r w:rsidR="00F75747" w:rsidRPr="006C59CB">
        <w:rPr>
          <w:rFonts w:asciiTheme="majorHAnsi" w:hAnsiTheme="majorHAnsi" w:cs="Times New Roman"/>
          <w:b/>
          <w:color w:val="548DD4" w:themeColor="text2" w:themeTint="99"/>
          <w:lang w:val="lt-LT"/>
        </w:rPr>
        <w:t>0</w:t>
      </w:r>
      <w:r w:rsidR="00EA4078" w:rsidRPr="006C59CB">
        <w:rPr>
          <w:rFonts w:asciiTheme="majorHAnsi" w:hAnsiTheme="majorHAnsi" w:cs="Times New Roman"/>
          <w:b/>
          <w:color w:val="548DD4" w:themeColor="text2" w:themeTint="99"/>
          <w:lang w:val="lt-LT"/>
        </w:rPr>
        <w:t>5-</w:t>
      </w:r>
      <w:r w:rsidR="006C59CB" w:rsidRPr="006C59CB">
        <w:rPr>
          <w:rFonts w:asciiTheme="majorHAnsi" w:hAnsiTheme="majorHAnsi" w:cs="Times New Roman"/>
          <w:b/>
          <w:color w:val="548DD4" w:themeColor="text2" w:themeTint="99"/>
          <w:lang w:val="lt-LT"/>
        </w:rPr>
        <w:t>07</w:t>
      </w:r>
      <w:r w:rsidR="00805DD4" w:rsidRPr="006C59CB">
        <w:rPr>
          <w:rFonts w:asciiTheme="majorHAnsi" w:hAnsiTheme="majorHAnsi" w:cs="Times New Roman"/>
          <w:b/>
          <w:color w:val="548DD4" w:themeColor="text2" w:themeTint="99"/>
          <w:lang w:val="lt-LT"/>
        </w:rPr>
        <w:t>.</w:t>
      </w:r>
      <w:r w:rsidRPr="006C59CB">
        <w:rPr>
          <w:rFonts w:asciiTheme="majorHAnsi" w:hAnsiTheme="majorHAnsi" w:cs="Times New Roman"/>
          <w:lang w:val="pt-PT"/>
        </w:rPr>
        <w:t xml:space="preserve"> Jeigu pasi</w:t>
      </w:r>
      <w:r w:rsidRPr="006C59CB">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0A6E92">
        <w:rPr>
          <w:rFonts w:asciiTheme="majorHAnsi" w:hAnsiTheme="majorHAnsi" w:cs="Times New Roman"/>
        </w:rPr>
        <w:tab/>
        <w:t>5.9. Pasiū</w:t>
      </w:r>
      <w:r w:rsidRPr="000A6E92">
        <w:rPr>
          <w:rFonts w:asciiTheme="majorHAnsi" w:hAnsiTheme="majorHAnsi" w:cs="Times New Roman"/>
          <w:lang w:val="de-DE"/>
        </w:rPr>
        <w:t>lyme nurodom</w:t>
      </w:r>
      <w:r w:rsidRPr="000A6E92">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EA4078">
        <w:rPr>
          <w:rFonts w:asciiTheme="majorHAnsi" w:hAnsiTheme="majorHAnsi"/>
          <w:b/>
          <w:sz w:val="22"/>
          <w:szCs w:val="22"/>
          <w:lang w:val="lt-LT"/>
        </w:rPr>
        <w:t xml:space="preserve">5.11.9. </w:t>
      </w:r>
      <w:r w:rsidRPr="00EA4078">
        <w:rPr>
          <w:rFonts w:asciiTheme="majorHAnsi" w:hAnsiTheme="majorHAnsi"/>
          <w:b/>
          <w:sz w:val="22"/>
          <w:szCs w:val="22"/>
          <w:lang w:eastAsia="lt-LT"/>
        </w:rPr>
        <w:t>Tiekėjas turi pateikti p</w:t>
      </w:r>
      <w:r w:rsidRPr="00EA4078">
        <w:rPr>
          <w:rFonts w:asciiTheme="majorHAnsi" w:hAnsiTheme="majorHAnsi"/>
          <w:b/>
          <w:sz w:val="22"/>
          <w:szCs w:val="22"/>
        </w:rPr>
        <w:t>asiūlyme nurodytų parametrų teisingumą įrodančius prekės gamintojo (toliau – gamintojo) dokumentus (</w:t>
      </w:r>
      <w:r w:rsidR="00EA4078" w:rsidRPr="001F5F6A">
        <w:rPr>
          <w:rFonts w:ascii="Cambria" w:hAnsi="Cambria"/>
          <w:b/>
          <w:sz w:val="22"/>
          <w:szCs w:val="22"/>
        </w:rPr>
        <w:t>katalogus, prospektus ar kitą informaciją su siūlomų prekių aprašymais</w:t>
      </w:r>
      <w:r w:rsidR="00E937B7" w:rsidRPr="00EA4078">
        <w:rPr>
          <w:rFonts w:asciiTheme="majorHAnsi" w:eastAsia="Times New Roman" w:hAnsiTheme="majorHAnsi"/>
          <w:b/>
          <w:sz w:val="22"/>
          <w:szCs w:val="22"/>
        </w:rPr>
        <w:t>)</w:t>
      </w:r>
      <w:r w:rsidR="00E937B7" w:rsidRPr="00EA4078">
        <w:rPr>
          <w:rFonts w:eastAsia="Times New Roman"/>
          <w:sz w:val="22"/>
          <w:szCs w:val="22"/>
        </w:rPr>
        <w:t xml:space="preserve"> </w:t>
      </w:r>
      <w:r w:rsidRPr="00EA4078">
        <w:rPr>
          <w:rFonts w:asciiTheme="majorHAnsi" w:hAnsiTheme="majorHAnsi"/>
          <w:b/>
          <w:sz w:val="22"/>
          <w:szCs w:val="22"/>
        </w:rPr>
        <w:t xml:space="preserve">originalo, o reikalaujamų parametrų – ir lietuvių kalbomis </w:t>
      </w:r>
      <w:r w:rsidRPr="00EA4078">
        <w:rPr>
          <w:rFonts w:asciiTheme="majorHAnsi" w:hAnsiTheme="majorHAnsi"/>
          <w:b/>
          <w:color w:val="000000"/>
          <w:sz w:val="22"/>
          <w:szCs w:val="22"/>
        </w:rPr>
        <w:t>(tais atvejais, kai</w:t>
      </w:r>
      <w:r w:rsidRPr="003714C3">
        <w:rPr>
          <w:rFonts w:asciiTheme="majorHAnsi" w:hAnsiTheme="majorHAnsi"/>
          <w:b/>
          <w:color w:val="000000"/>
          <w:sz w:val="22"/>
          <w:szCs w:val="22"/>
        </w:rPr>
        <w:t xml:space="preserve">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Pr="003714C3">
        <w:rPr>
          <w:rFonts w:asciiTheme="majorHAnsi" w:hAnsiTheme="majorHAnsi"/>
          <w:b/>
          <w:sz w:val="22"/>
          <w:szCs w:val="22"/>
          <w:u w:val="single"/>
          <w:lang w:val="lt-LT"/>
        </w:rPr>
        <w:lastRenderedPageBreak/>
        <w:t>„</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B53393" w:rsidRPr="00B53393" w:rsidRDefault="00B53393" w:rsidP="00B53393">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B53393">
        <w:rPr>
          <w:rFonts w:asciiTheme="majorHAnsi" w:hAnsiTheme="majorHAnsi" w:cs="Times New Roman"/>
          <w:color w:val="auto"/>
        </w:rPr>
        <w:t>1</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EA4078" w:rsidRDefault="00EA4078"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84583A" w:rsidRPr="001F5F6A" w:rsidRDefault="0084583A" w:rsidP="0084583A">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Pr="001F5F6A">
        <w:rPr>
          <w:rFonts w:ascii="Cambria" w:hAnsi="Cambria" w:cs="Times New Roman"/>
          <w:color w:val="auto"/>
          <w:lang w:val="lt-LT"/>
        </w:rPr>
        <w:t xml:space="preserve">Komisijai pareikalavus, komisijos nurodytu terminu būtina pateikti siūlomų prekių pavyzdžius išbandymui. </w:t>
      </w:r>
    </w:p>
    <w:p w:rsidR="0084583A" w:rsidRPr="001F5F6A" w:rsidRDefault="0084583A" w:rsidP="0084583A">
      <w:pPr>
        <w:pStyle w:val="Body2"/>
        <w:ind w:firstLine="1276"/>
        <w:rPr>
          <w:rFonts w:ascii="Cambria" w:hAnsi="Cambria" w:cs="Times New Roman"/>
          <w:color w:val="auto"/>
        </w:rPr>
      </w:pPr>
      <w:r w:rsidRPr="001F5F6A">
        <w:rPr>
          <w:rFonts w:ascii="Cambria" w:hAnsi="Cambria" w:cs="Times New Roman"/>
          <w:color w:val="auto"/>
        </w:rPr>
        <w:t>8.2. Prekių pavyzdžių pateikimo iš</w:t>
      </w:r>
      <w:r w:rsidRPr="001F5F6A">
        <w:rPr>
          <w:rFonts w:ascii="Cambria" w:hAnsi="Cambria" w:cs="Times New Roman"/>
          <w:color w:val="auto"/>
          <w:lang w:val="pt-PT"/>
        </w:rPr>
        <w:t>laidas dengia tiek</w:t>
      </w:r>
      <w:r w:rsidRPr="001F5F6A">
        <w:rPr>
          <w:rFonts w:ascii="Cambria" w:hAnsi="Cambria"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w:t>
      </w:r>
      <w:r w:rsidRPr="000A6E92">
        <w:rPr>
          <w:rFonts w:asciiTheme="majorHAnsi" w:hAnsiTheme="majorHAnsi"/>
          <w:sz w:val="22"/>
          <w:szCs w:val="22"/>
        </w:rPr>
        <w:t>ligoninėje Kauno klinikos</w:t>
      </w:r>
      <w:r w:rsidR="00E87AA2" w:rsidRPr="000A6E92">
        <w:rPr>
          <w:rFonts w:asciiTheme="majorHAnsi" w:hAnsiTheme="majorHAnsi"/>
          <w:sz w:val="22"/>
          <w:szCs w:val="22"/>
        </w:rPr>
        <w:t>e</w:t>
      </w:r>
      <w:r w:rsidRPr="000A6E92">
        <w:rPr>
          <w:rFonts w:asciiTheme="majorHAnsi" w:hAnsiTheme="majorHAnsi"/>
          <w:sz w:val="22"/>
          <w:szCs w:val="22"/>
        </w:rPr>
        <w:t>,</w:t>
      </w:r>
      <w:r w:rsidR="00E87AA2" w:rsidRPr="000A6E92">
        <w:rPr>
          <w:rFonts w:asciiTheme="majorHAnsi" w:hAnsiTheme="majorHAnsi"/>
          <w:sz w:val="22"/>
          <w:szCs w:val="22"/>
        </w:rPr>
        <w:t xml:space="preserve"> adresu</w:t>
      </w:r>
      <w:r w:rsidR="00D02FEE" w:rsidRPr="000A6E92">
        <w:rPr>
          <w:rFonts w:asciiTheme="majorHAnsi" w:hAnsiTheme="majorHAnsi"/>
          <w:sz w:val="22"/>
          <w:szCs w:val="22"/>
        </w:rPr>
        <w:t xml:space="preserve"> Eivenių g. 2, LT-50161 Kaunas, </w:t>
      </w:r>
      <w:r w:rsidRPr="000A6E92">
        <w:rPr>
          <w:rFonts w:asciiTheme="majorHAnsi" w:hAnsiTheme="majorHAnsi"/>
          <w:sz w:val="22"/>
          <w:szCs w:val="22"/>
        </w:rPr>
        <w:t xml:space="preserve">Viešųjų pirkimų </w:t>
      </w:r>
      <w:proofErr w:type="gramStart"/>
      <w:r w:rsidR="00D02FEE" w:rsidRPr="000A6E92">
        <w:rPr>
          <w:rFonts w:asciiTheme="majorHAnsi" w:hAnsiTheme="majorHAnsi"/>
          <w:sz w:val="22"/>
          <w:szCs w:val="22"/>
        </w:rPr>
        <w:t>tarnyboje</w:t>
      </w:r>
      <w:r w:rsidR="00E45327" w:rsidRPr="000A6E92">
        <w:rPr>
          <w:rFonts w:asciiTheme="majorHAnsi" w:hAnsiTheme="majorHAnsi"/>
          <w:sz w:val="22"/>
          <w:szCs w:val="22"/>
        </w:rPr>
        <w:t>,</w:t>
      </w:r>
      <w:r w:rsidR="00D02FEE" w:rsidRPr="000A6E92">
        <w:rPr>
          <w:rFonts w:asciiTheme="majorHAnsi" w:hAnsiTheme="majorHAnsi"/>
          <w:sz w:val="22"/>
          <w:szCs w:val="22"/>
        </w:rPr>
        <w:t xml:space="preserve">   </w:t>
      </w:r>
      <w:proofErr w:type="gramEnd"/>
      <w:r w:rsidR="00D02FEE" w:rsidRPr="000A6E92">
        <w:rPr>
          <w:rFonts w:asciiTheme="majorHAnsi" w:hAnsiTheme="majorHAnsi"/>
          <w:sz w:val="22"/>
          <w:szCs w:val="22"/>
        </w:rPr>
        <w:t xml:space="preserve">                                        </w:t>
      </w:r>
      <w:r w:rsidR="00E87AA2" w:rsidRPr="000A6E92">
        <w:rPr>
          <w:rFonts w:asciiTheme="majorHAnsi" w:hAnsiTheme="majorHAnsi"/>
          <w:sz w:val="22"/>
          <w:szCs w:val="22"/>
        </w:rPr>
        <w:t xml:space="preserve">                      </w:t>
      </w:r>
      <w:r w:rsidR="009B3BF7" w:rsidRPr="006C59CB">
        <w:rPr>
          <w:rFonts w:asciiTheme="majorHAnsi" w:hAnsiTheme="majorHAnsi"/>
          <w:b/>
          <w:iCs/>
          <w:color w:val="548DD4" w:themeColor="text2" w:themeTint="99"/>
          <w:sz w:val="22"/>
          <w:szCs w:val="22"/>
        </w:rPr>
        <w:t>202</w:t>
      </w:r>
      <w:r w:rsidR="00EA4078" w:rsidRPr="006C59CB">
        <w:rPr>
          <w:rFonts w:asciiTheme="majorHAnsi" w:hAnsiTheme="majorHAnsi"/>
          <w:b/>
          <w:iCs/>
          <w:color w:val="548DD4" w:themeColor="text2" w:themeTint="99"/>
          <w:sz w:val="22"/>
          <w:szCs w:val="22"/>
        </w:rPr>
        <w:t>6</w:t>
      </w:r>
      <w:r w:rsidRPr="006C59CB">
        <w:rPr>
          <w:rFonts w:asciiTheme="majorHAnsi" w:hAnsiTheme="majorHAnsi"/>
          <w:b/>
          <w:iCs/>
          <w:color w:val="548DD4" w:themeColor="text2" w:themeTint="99"/>
          <w:sz w:val="22"/>
          <w:szCs w:val="22"/>
        </w:rPr>
        <w:t xml:space="preserve"> m.</w:t>
      </w:r>
      <w:r w:rsidR="00BE67E8" w:rsidRPr="006C59CB">
        <w:rPr>
          <w:rFonts w:asciiTheme="majorHAnsi" w:hAnsiTheme="majorHAnsi"/>
          <w:b/>
          <w:iCs/>
          <w:color w:val="548DD4" w:themeColor="text2" w:themeTint="99"/>
          <w:sz w:val="22"/>
          <w:szCs w:val="22"/>
        </w:rPr>
        <w:t xml:space="preserve"> </w:t>
      </w:r>
      <w:r w:rsidR="00EA4078" w:rsidRPr="006C59CB">
        <w:rPr>
          <w:rFonts w:asciiTheme="majorHAnsi" w:hAnsiTheme="majorHAnsi"/>
          <w:b/>
          <w:iCs/>
          <w:color w:val="548DD4" w:themeColor="text2" w:themeTint="99"/>
          <w:sz w:val="22"/>
          <w:szCs w:val="22"/>
        </w:rPr>
        <w:t>sausio</w:t>
      </w:r>
      <w:r w:rsidR="002B1E54" w:rsidRPr="006C59CB">
        <w:rPr>
          <w:rFonts w:asciiTheme="majorHAnsi" w:hAnsiTheme="majorHAnsi"/>
          <w:b/>
          <w:iCs/>
          <w:color w:val="548DD4" w:themeColor="text2" w:themeTint="99"/>
          <w:sz w:val="22"/>
          <w:szCs w:val="22"/>
        </w:rPr>
        <w:t xml:space="preserve"> </w:t>
      </w:r>
      <w:r w:rsidR="006C59CB" w:rsidRPr="006C59CB">
        <w:rPr>
          <w:rFonts w:asciiTheme="majorHAnsi" w:hAnsiTheme="majorHAnsi"/>
          <w:b/>
          <w:iCs/>
          <w:color w:val="548DD4" w:themeColor="text2" w:themeTint="99"/>
          <w:sz w:val="22"/>
          <w:szCs w:val="22"/>
        </w:rPr>
        <w:t xml:space="preserve">7 </w:t>
      </w:r>
      <w:r w:rsidR="00E958C2" w:rsidRPr="006C59CB">
        <w:rPr>
          <w:rFonts w:asciiTheme="majorHAnsi" w:hAnsiTheme="majorHAnsi"/>
          <w:b/>
          <w:iCs/>
          <w:color w:val="548DD4" w:themeColor="text2" w:themeTint="99"/>
          <w:sz w:val="22"/>
          <w:szCs w:val="22"/>
        </w:rPr>
        <w:t>d. 0</w:t>
      </w:r>
      <w:r w:rsidR="00F21792" w:rsidRPr="006C59CB">
        <w:rPr>
          <w:rFonts w:asciiTheme="majorHAnsi" w:hAnsiTheme="majorHAnsi"/>
          <w:b/>
          <w:iCs/>
          <w:color w:val="548DD4" w:themeColor="text2" w:themeTint="99"/>
          <w:sz w:val="22"/>
          <w:szCs w:val="22"/>
        </w:rPr>
        <w:t>8</w:t>
      </w:r>
      <w:r w:rsidR="005823A0" w:rsidRPr="006C59CB">
        <w:rPr>
          <w:rFonts w:asciiTheme="majorHAnsi" w:hAnsiTheme="majorHAnsi"/>
          <w:b/>
          <w:iCs/>
          <w:color w:val="548DD4" w:themeColor="text2" w:themeTint="99"/>
          <w:sz w:val="22"/>
          <w:szCs w:val="22"/>
        </w:rPr>
        <w:t xml:space="preserve"> val. </w:t>
      </w:r>
      <w:r w:rsidR="006C59CB" w:rsidRPr="006C59CB">
        <w:rPr>
          <w:rFonts w:asciiTheme="majorHAnsi" w:hAnsiTheme="majorHAnsi"/>
          <w:b/>
          <w:iCs/>
          <w:color w:val="548DD4" w:themeColor="text2" w:themeTint="99"/>
          <w:sz w:val="22"/>
          <w:szCs w:val="22"/>
        </w:rPr>
        <w:t>3</w:t>
      </w:r>
      <w:r w:rsidRPr="006C59CB">
        <w:rPr>
          <w:rFonts w:asciiTheme="majorHAnsi" w:hAnsiTheme="majorHAnsi"/>
          <w:b/>
          <w:iCs/>
          <w:color w:val="548DD4" w:themeColor="text2" w:themeTint="99"/>
          <w:sz w:val="22"/>
          <w:szCs w:val="22"/>
        </w:rPr>
        <w:t xml:space="preserve"> min</w:t>
      </w:r>
      <w:r w:rsidRPr="006C59CB">
        <w:rPr>
          <w:rFonts w:asciiTheme="majorHAnsi" w:hAnsiTheme="majorHAnsi"/>
          <w:b/>
          <w:iCs/>
          <w:sz w:val="22"/>
          <w:szCs w:val="22"/>
        </w:rPr>
        <w:t>.</w:t>
      </w:r>
      <w:r w:rsidRPr="006C59CB">
        <w:rPr>
          <w:rFonts w:asciiTheme="majorHAnsi" w:hAnsiTheme="majorHAnsi"/>
          <w:iCs/>
          <w:sz w:val="22"/>
          <w:szCs w:val="22"/>
        </w:rPr>
        <w:t xml:space="preserve"> </w:t>
      </w:r>
      <w:r w:rsidRPr="006C59CB">
        <w:rPr>
          <w:rFonts w:asciiTheme="majorHAnsi" w:hAnsiTheme="majorHAnsi"/>
          <w:iCs/>
          <w:sz w:val="22"/>
          <w:szCs w:val="22"/>
          <w:u w:val="single"/>
        </w:rPr>
        <w:t xml:space="preserve">Jei pasiūlymas teikiamas šifruotas, slaptažodis turi būti pateiktas </w:t>
      </w:r>
      <w:r w:rsidR="009B3BF7" w:rsidRPr="006C59CB">
        <w:rPr>
          <w:rFonts w:asciiTheme="majorHAnsi" w:hAnsiTheme="majorHAnsi"/>
          <w:b/>
          <w:iCs/>
          <w:color w:val="548DD4" w:themeColor="text2" w:themeTint="99"/>
          <w:sz w:val="22"/>
          <w:szCs w:val="22"/>
          <w:u w:val="single"/>
        </w:rPr>
        <w:t>202</w:t>
      </w:r>
      <w:r w:rsidR="00EA4078" w:rsidRPr="006C59CB">
        <w:rPr>
          <w:rFonts w:asciiTheme="majorHAnsi" w:hAnsiTheme="majorHAnsi"/>
          <w:b/>
          <w:iCs/>
          <w:color w:val="548DD4" w:themeColor="text2" w:themeTint="99"/>
          <w:sz w:val="22"/>
          <w:szCs w:val="22"/>
          <w:u w:val="single"/>
        </w:rPr>
        <w:t>6</w:t>
      </w:r>
      <w:r w:rsidR="005A189F" w:rsidRPr="006C59CB">
        <w:rPr>
          <w:rFonts w:asciiTheme="majorHAnsi" w:hAnsiTheme="majorHAnsi"/>
          <w:b/>
          <w:iCs/>
          <w:color w:val="548DD4" w:themeColor="text2" w:themeTint="99"/>
          <w:sz w:val="22"/>
          <w:szCs w:val="22"/>
          <w:u w:val="single"/>
        </w:rPr>
        <w:t xml:space="preserve"> m. </w:t>
      </w:r>
      <w:r w:rsidR="00EA4078" w:rsidRPr="006C59CB">
        <w:rPr>
          <w:rFonts w:asciiTheme="majorHAnsi" w:hAnsiTheme="majorHAnsi"/>
          <w:b/>
          <w:iCs/>
          <w:color w:val="548DD4" w:themeColor="text2" w:themeTint="99"/>
          <w:sz w:val="22"/>
          <w:szCs w:val="22"/>
          <w:u w:val="single"/>
        </w:rPr>
        <w:t>sausio</w:t>
      </w:r>
      <w:r w:rsidR="00F21792" w:rsidRPr="006C59CB">
        <w:rPr>
          <w:rFonts w:asciiTheme="majorHAnsi" w:hAnsiTheme="majorHAnsi"/>
          <w:b/>
          <w:iCs/>
          <w:color w:val="548DD4" w:themeColor="text2" w:themeTint="99"/>
          <w:sz w:val="22"/>
          <w:szCs w:val="22"/>
          <w:u w:val="single"/>
        </w:rPr>
        <w:t xml:space="preserve"> </w:t>
      </w:r>
      <w:r w:rsidR="006C59CB" w:rsidRPr="006C59CB">
        <w:rPr>
          <w:rFonts w:asciiTheme="majorHAnsi" w:hAnsiTheme="majorHAnsi"/>
          <w:b/>
          <w:iCs/>
          <w:color w:val="548DD4" w:themeColor="text2" w:themeTint="99"/>
          <w:sz w:val="22"/>
          <w:szCs w:val="22"/>
          <w:u w:val="single"/>
        </w:rPr>
        <w:t xml:space="preserve">7 </w:t>
      </w:r>
      <w:r w:rsidRPr="006C59CB">
        <w:rPr>
          <w:rFonts w:asciiTheme="majorHAnsi" w:hAnsiTheme="majorHAnsi"/>
          <w:b/>
          <w:iCs/>
          <w:color w:val="548DD4" w:themeColor="text2" w:themeTint="99"/>
          <w:sz w:val="22"/>
          <w:szCs w:val="22"/>
          <w:u w:val="single"/>
        </w:rPr>
        <w:t>d.</w:t>
      </w:r>
      <w:r w:rsidRPr="006C59CB">
        <w:rPr>
          <w:rFonts w:asciiTheme="majorHAnsi" w:hAnsiTheme="majorHAnsi"/>
          <w:iCs/>
          <w:color w:val="548DD4" w:themeColor="text2" w:themeTint="99"/>
          <w:sz w:val="22"/>
          <w:szCs w:val="22"/>
          <w:u w:val="single"/>
        </w:rPr>
        <w:t xml:space="preserve"> intervale </w:t>
      </w:r>
      <w:r w:rsidR="00E958C2" w:rsidRPr="006C59CB">
        <w:rPr>
          <w:rFonts w:asciiTheme="majorHAnsi" w:hAnsiTheme="majorHAnsi"/>
          <w:b/>
          <w:iCs/>
          <w:color w:val="548DD4" w:themeColor="text2" w:themeTint="99"/>
          <w:sz w:val="22"/>
          <w:szCs w:val="22"/>
          <w:u w:val="single"/>
        </w:rPr>
        <w:t>0</w:t>
      </w:r>
      <w:r w:rsidR="00F21792" w:rsidRPr="006C59CB">
        <w:rPr>
          <w:rFonts w:asciiTheme="majorHAnsi" w:hAnsiTheme="majorHAnsi"/>
          <w:b/>
          <w:iCs/>
          <w:color w:val="548DD4" w:themeColor="text2" w:themeTint="99"/>
          <w:sz w:val="22"/>
          <w:szCs w:val="22"/>
          <w:u w:val="single"/>
        </w:rPr>
        <w:t>8</w:t>
      </w:r>
      <w:r w:rsidR="005823A0" w:rsidRPr="006C59CB">
        <w:rPr>
          <w:rFonts w:asciiTheme="majorHAnsi" w:hAnsiTheme="majorHAnsi"/>
          <w:b/>
          <w:iCs/>
          <w:color w:val="548DD4" w:themeColor="text2" w:themeTint="99"/>
          <w:sz w:val="22"/>
          <w:szCs w:val="22"/>
          <w:u w:val="single"/>
        </w:rPr>
        <w:t>.</w:t>
      </w:r>
      <w:r w:rsidR="006C59CB" w:rsidRPr="006C59CB">
        <w:rPr>
          <w:rFonts w:asciiTheme="majorHAnsi" w:hAnsiTheme="majorHAnsi"/>
          <w:b/>
          <w:iCs/>
          <w:color w:val="548DD4" w:themeColor="text2" w:themeTint="99"/>
          <w:sz w:val="22"/>
          <w:szCs w:val="22"/>
          <w:u w:val="single"/>
        </w:rPr>
        <w:t>00</w:t>
      </w:r>
      <w:r w:rsidR="00652BA3" w:rsidRPr="006C59CB">
        <w:rPr>
          <w:rFonts w:asciiTheme="majorHAnsi" w:hAnsiTheme="majorHAnsi"/>
          <w:b/>
          <w:iCs/>
          <w:color w:val="548DD4" w:themeColor="text2" w:themeTint="99"/>
          <w:sz w:val="22"/>
          <w:szCs w:val="22"/>
          <w:u w:val="single"/>
        </w:rPr>
        <w:t>–</w:t>
      </w:r>
      <w:r w:rsidR="009B15AA" w:rsidRPr="006C59CB">
        <w:rPr>
          <w:rFonts w:asciiTheme="majorHAnsi" w:hAnsiTheme="majorHAnsi"/>
          <w:b/>
          <w:iCs/>
          <w:color w:val="548DD4" w:themeColor="text2" w:themeTint="99"/>
          <w:sz w:val="22"/>
          <w:szCs w:val="22"/>
          <w:u w:val="single"/>
        </w:rPr>
        <w:t xml:space="preserve"> </w:t>
      </w:r>
      <w:r w:rsidR="00E958C2" w:rsidRPr="006C59CB">
        <w:rPr>
          <w:rFonts w:asciiTheme="majorHAnsi" w:hAnsiTheme="majorHAnsi"/>
          <w:b/>
          <w:iCs/>
          <w:color w:val="548DD4" w:themeColor="text2" w:themeTint="99"/>
          <w:sz w:val="22"/>
          <w:szCs w:val="22"/>
          <w:u w:val="single"/>
        </w:rPr>
        <w:t>0</w:t>
      </w:r>
      <w:r w:rsidR="00F21792" w:rsidRPr="006C59CB">
        <w:rPr>
          <w:rFonts w:asciiTheme="majorHAnsi" w:hAnsiTheme="majorHAnsi"/>
          <w:b/>
          <w:iCs/>
          <w:color w:val="548DD4" w:themeColor="text2" w:themeTint="99"/>
          <w:sz w:val="22"/>
          <w:szCs w:val="22"/>
          <w:u w:val="single"/>
        </w:rPr>
        <w:t>8</w:t>
      </w:r>
      <w:r w:rsidR="005823A0" w:rsidRPr="006C59CB">
        <w:rPr>
          <w:rFonts w:asciiTheme="majorHAnsi" w:hAnsiTheme="majorHAnsi"/>
          <w:b/>
          <w:iCs/>
          <w:color w:val="548DD4" w:themeColor="text2" w:themeTint="99"/>
          <w:sz w:val="22"/>
          <w:szCs w:val="22"/>
          <w:u w:val="single"/>
        </w:rPr>
        <w:t>.</w:t>
      </w:r>
      <w:r w:rsidR="006C59CB" w:rsidRPr="006C59CB">
        <w:rPr>
          <w:rFonts w:asciiTheme="majorHAnsi" w:hAnsiTheme="majorHAnsi"/>
          <w:b/>
          <w:iCs/>
          <w:color w:val="548DD4" w:themeColor="text2" w:themeTint="99"/>
          <w:sz w:val="22"/>
          <w:szCs w:val="22"/>
          <w:u w:val="single"/>
        </w:rPr>
        <w:t>30</w:t>
      </w:r>
      <w:r w:rsidRPr="006C59CB">
        <w:rPr>
          <w:rFonts w:asciiTheme="majorHAnsi" w:hAnsiTheme="majorHAnsi"/>
          <w:b/>
          <w:iCs/>
          <w:color w:val="548DD4" w:themeColor="text2" w:themeTint="99"/>
          <w:sz w:val="22"/>
          <w:szCs w:val="22"/>
          <w:u w:val="single"/>
        </w:rPr>
        <w:t xml:space="preserve"> val.</w:t>
      </w:r>
      <w:r w:rsidRPr="006C59CB">
        <w:rPr>
          <w:rFonts w:asciiTheme="majorHAnsi" w:hAnsiTheme="majorHAnsi"/>
          <w:b/>
          <w:iCs/>
          <w:sz w:val="22"/>
          <w:szCs w:val="22"/>
          <w:u w:val="single"/>
        </w:rPr>
        <w:t xml:space="preserve"> </w:t>
      </w:r>
      <w:r w:rsidRPr="006C59CB">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0A1E20" w:rsidRDefault="000A1E20" w:rsidP="000A1E20">
      <w:pPr>
        <w:pStyle w:val="Body2"/>
        <w:rPr>
          <w:rFonts w:asciiTheme="majorHAnsi" w:hAnsiTheme="majorHAnsi"/>
        </w:rPr>
      </w:pPr>
    </w:p>
    <w:p w:rsidR="00EA4078" w:rsidRDefault="00EA4078" w:rsidP="000A1E20">
      <w:pPr>
        <w:pStyle w:val="Body2"/>
        <w:rPr>
          <w:rFonts w:asciiTheme="majorHAnsi" w:hAnsiTheme="majorHAnsi"/>
        </w:rPr>
      </w:pPr>
    </w:p>
    <w:p w:rsidR="00EA4078" w:rsidRDefault="00EA4078"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7C5544" w:rsidRDefault="00B457CE" w:rsidP="00B457CE">
      <w:pPr>
        <w:pStyle w:val="Body2"/>
        <w:rPr>
          <w:rFonts w:asciiTheme="majorHAnsi" w:hAnsiTheme="majorHAnsi"/>
        </w:rPr>
      </w:pPr>
    </w:p>
    <w:p w:rsidR="007C3D2F" w:rsidRPr="007C5544" w:rsidRDefault="00B457CE" w:rsidP="007C3D2F">
      <w:pPr>
        <w:pStyle w:val="Body2"/>
        <w:rPr>
          <w:rFonts w:asciiTheme="majorHAnsi" w:hAnsiTheme="majorHAnsi"/>
          <w:noProof/>
          <w:lang w:val="lt-LT"/>
        </w:rPr>
      </w:pPr>
      <w:r w:rsidRPr="007C5544">
        <w:rPr>
          <w:rFonts w:asciiTheme="majorHAnsi" w:hAnsiTheme="majorHAnsi" w:cs="Times New Roman"/>
          <w:color w:val="000000" w:themeColor="text1"/>
        </w:rPr>
        <w:tab/>
      </w:r>
      <w:bookmarkStart w:id="6" w:name="_Toc47844937"/>
      <w:bookmarkStart w:id="7" w:name="_Toc60525491"/>
      <w:bookmarkEnd w:id="6"/>
      <w:bookmarkEnd w:id="7"/>
      <w:r w:rsidR="007C3D2F" w:rsidRPr="007C5544">
        <w:rPr>
          <w:rFonts w:asciiTheme="majorHAnsi" w:hAnsiTheme="majorHAnsi" w:cs="Times New Roman"/>
          <w:noProof/>
          <w:color w:val="auto"/>
          <w:lang w:val="lt-LT"/>
        </w:rPr>
        <w:t xml:space="preserve">14.1. </w:t>
      </w:r>
      <w:r w:rsidR="007C3D2F" w:rsidRPr="007C5544">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7C5544" w:rsidRDefault="007C3D2F" w:rsidP="007C3D2F">
      <w:pPr>
        <w:pStyle w:val="Body2"/>
        <w:rPr>
          <w:rFonts w:asciiTheme="majorHAnsi" w:hAnsiTheme="majorHAnsi"/>
          <w:noProof/>
          <w:lang w:val="lt-LT"/>
        </w:rPr>
      </w:pPr>
      <w:r w:rsidRPr="007C5544">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A4078" w:rsidRPr="003A55F7" w:rsidRDefault="00EA4078" w:rsidP="00EA4078">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9C51DE">
        <w:rPr>
          <w:rFonts w:asciiTheme="majorHAnsi" w:hAnsiTheme="majorHAnsi"/>
          <w:b/>
          <w:highlight w:val="green"/>
        </w:rPr>
        <w:t>82.280,00</w:t>
      </w:r>
      <w:r w:rsidRPr="003A55F7">
        <w:rPr>
          <w:rFonts w:asciiTheme="majorHAnsi" w:hAnsiTheme="majorHAnsi"/>
          <w:b/>
          <w:highlight w:val="green"/>
        </w:rPr>
        <w:t xml:space="preserve"> Eur (su PVM)</w:t>
      </w:r>
      <w:r w:rsidRPr="003A55F7">
        <w:rPr>
          <w:rFonts w:asciiTheme="majorHAnsi" w:hAnsiTheme="majorHAnsi"/>
          <w:highlight w:val="green"/>
        </w:rPr>
        <w:t>. Šią kainą viršijantys pasiūlymai bus atmesti.</w:t>
      </w:r>
    </w:p>
    <w:p w:rsidR="00E3795E" w:rsidRPr="00E3795E" w:rsidRDefault="00E3795E" w:rsidP="00E3795E">
      <w:pPr>
        <w:suppressAutoHyphens/>
        <w:jc w:val="both"/>
        <w:rPr>
          <w:rFonts w:asciiTheme="majorHAnsi" w:hAnsiTheme="majorHAnsi"/>
          <w:sz w:val="22"/>
          <w:szCs w:val="22"/>
        </w:rPr>
      </w:pPr>
    </w:p>
    <w:p w:rsidR="009C51DE" w:rsidRPr="00FF4C22" w:rsidRDefault="009C51DE" w:rsidP="009C51DE">
      <w:pPr>
        <w:pStyle w:val="Sraopastraipa"/>
        <w:ind w:left="-142" w:firstLine="709"/>
        <w:jc w:val="both"/>
        <w:rPr>
          <w:rFonts w:ascii="Cambria" w:hAnsi="Cambria"/>
          <w:noProof/>
          <w:color w:val="000000" w:themeColor="text1"/>
        </w:rPr>
      </w:pPr>
      <w:r w:rsidRPr="00FF4C22">
        <w:rPr>
          <w:rFonts w:ascii="Cambria" w:hAnsi="Cambria"/>
          <w:noProof/>
          <w:color w:val="000000" w:themeColor="text1"/>
        </w:rPr>
        <w:t>Numatytų vertinimo kriterijų lyginamieji svoriai:</w:t>
      </w:r>
    </w:p>
    <w:p w:rsidR="009C51DE" w:rsidRPr="00FF4C22" w:rsidRDefault="009C51DE" w:rsidP="009C51DE">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FF4C22">
        <w:rPr>
          <w:rFonts w:ascii="Cambria" w:eastAsia="Times New Roman" w:hAnsi="Cambria"/>
          <w:noProof/>
          <w:color w:val="000000"/>
          <w:sz w:val="22"/>
          <w:szCs w:val="22"/>
          <w:lang w:val="lt-LT"/>
        </w:rPr>
        <w:t xml:space="preserve">1) kaina (K) – </w:t>
      </w:r>
      <w:r w:rsidRPr="00FF4C22">
        <w:rPr>
          <w:rFonts w:ascii="Cambria" w:eastAsia="Times New Roman" w:hAnsi="Cambria"/>
          <w:noProof/>
          <w:color w:val="000000" w:themeColor="text1"/>
          <w:sz w:val="22"/>
          <w:szCs w:val="22"/>
          <w:lang w:val="lt-LT"/>
        </w:rPr>
        <w:t>70;</w:t>
      </w:r>
    </w:p>
    <w:p w:rsidR="009C51DE" w:rsidRPr="00FF4C22" w:rsidRDefault="009C51DE" w:rsidP="009C51DE">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FF4C22">
        <w:rPr>
          <w:rFonts w:ascii="Cambria" w:eastAsia="Times New Roman" w:hAnsi="Cambria"/>
          <w:noProof/>
          <w:color w:val="000000" w:themeColor="text1"/>
          <w:sz w:val="22"/>
          <w:szCs w:val="22"/>
          <w:lang w:val="lt-LT"/>
        </w:rPr>
        <w:t>2) techniniai pranašumai (T) – 30;</w:t>
      </w:r>
    </w:p>
    <w:p w:rsidR="009C51DE" w:rsidRPr="00FF4C22" w:rsidRDefault="009C51DE" w:rsidP="009C51DE">
      <w:pPr>
        <w:shd w:val="clear" w:color="auto" w:fill="FFFFFF"/>
        <w:spacing w:line="256" w:lineRule="auto"/>
        <w:jc w:val="both"/>
        <w:rPr>
          <w:rFonts w:ascii="Cambria" w:eastAsia="Times New Roman" w:hAnsi="Cambria"/>
          <w:noProof/>
          <w:color w:val="000000" w:themeColor="text1"/>
          <w:sz w:val="22"/>
          <w:szCs w:val="22"/>
          <w:lang w:val="lt-LT"/>
        </w:rPr>
      </w:pPr>
    </w:p>
    <w:p w:rsidR="009C51DE" w:rsidRPr="00FF4C22" w:rsidRDefault="009C51DE" w:rsidP="009C51DE">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FF4C22">
        <w:rPr>
          <w:rFonts w:ascii="Cambria" w:eastAsia="Times New Roman" w:hAnsi="Cambria"/>
          <w:noProof/>
          <w:color w:val="000000" w:themeColor="text1"/>
          <w:sz w:val="22"/>
          <w:szCs w:val="22"/>
          <w:lang w:val="lt-LT"/>
        </w:rPr>
        <w:t>Vertinimo kriterijai ir jų parametrų lyginamieji svoriai:</w:t>
      </w:r>
    </w:p>
    <w:tbl>
      <w:tblPr>
        <w:tblW w:w="5127" w:type="pct"/>
        <w:tblInd w:w="-147" w:type="dxa"/>
        <w:tblCellMar>
          <w:left w:w="10" w:type="dxa"/>
          <w:right w:w="10" w:type="dxa"/>
        </w:tblCellMar>
        <w:tblLook w:val="04A0" w:firstRow="1" w:lastRow="0" w:firstColumn="1" w:lastColumn="0" w:noHBand="0" w:noVBand="1"/>
      </w:tblPr>
      <w:tblGrid>
        <w:gridCol w:w="559"/>
        <w:gridCol w:w="4006"/>
        <w:gridCol w:w="1631"/>
        <w:gridCol w:w="1540"/>
        <w:gridCol w:w="2130"/>
      </w:tblGrid>
      <w:tr w:rsidR="009C51DE" w:rsidRPr="00FF4C22" w:rsidTr="00B01879">
        <w:trPr>
          <w:trHeight w:hRule="exact" w:val="1082"/>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C51DE" w:rsidRPr="00FF4C22" w:rsidRDefault="009C51DE" w:rsidP="00B01879">
            <w:pPr>
              <w:tabs>
                <w:tab w:val="left" w:pos="14175"/>
              </w:tabs>
              <w:ind w:right="678"/>
              <w:jc w:val="center"/>
              <w:rPr>
                <w:rFonts w:ascii="Cambria" w:hAnsi="Cambria"/>
                <w:noProof/>
                <w:color w:val="000000"/>
                <w:sz w:val="22"/>
                <w:szCs w:val="22"/>
                <w:lang w:val="lt-LT"/>
              </w:rPr>
            </w:pPr>
            <w:r w:rsidRPr="00FF4C22">
              <w:rPr>
                <w:rFonts w:ascii="Cambria" w:hAnsi="Cambria"/>
                <w:b/>
                <w:noProof/>
                <w:color w:val="000000"/>
                <w:sz w:val="22"/>
                <w:szCs w:val="22"/>
                <w:lang w:val="lt-LT"/>
              </w:rPr>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C51DE" w:rsidRPr="00FF4C22" w:rsidRDefault="009C51DE" w:rsidP="00B01879">
            <w:pPr>
              <w:tabs>
                <w:tab w:val="left" w:pos="14175"/>
              </w:tabs>
              <w:ind w:left="-14" w:right="60"/>
              <w:jc w:val="center"/>
              <w:rPr>
                <w:rFonts w:ascii="Cambria" w:hAnsi="Cambria"/>
                <w:b/>
                <w:noProof/>
                <w:color w:val="000000"/>
                <w:sz w:val="22"/>
                <w:szCs w:val="22"/>
                <w:lang w:val="lt-LT"/>
              </w:rPr>
            </w:pPr>
            <w:r w:rsidRPr="00FF4C22">
              <w:rPr>
                <w:rFonts w:ascii="Cambria" w:hAnsi="Cambria"/>
                <w:b/>
                <w:noProof/>
                <w:color w:val="000000"/>
                <w:sz w:val="22"/>
                <w:szCs w:val="22"/>
                <w:lang w:val="lt-LT"/>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C51DE" w:rsidRPr="00FF4C22" w:rsidRDefault="009C51DE" w:rsidP="00B01879">
            <w:pPr>
              <w:tabs>
                <w:tab w:val="left" w:pos="14175"/>
              </w:tabs>
              <w:ind w:right="145"/>
              <w:jc w:val="center"/>
              <w:rPr>
                <w:rFonts w:ascii="Cambria" w:hAnsi="Cambria"/>
                <w:b/>
                <w:noProof/>
                <w:color w:val="000000"/>
                <w:sz w:val="22"/>
                <w:szCs w:val="22"/>
                <w:lang w:val="lt-LT"/>
              </w:rPr>
            </w:pPr>
            <w:r w:rsidRPr="00FF4C22">
              <w:rPr>
                <w:rFonts w:ascii="Cambria" w:hAnsi="Cambria"/>
                <w:b/>
                <w:noProof/>
                <w:color w:val="000000"/>
                <w:sz w:val="22"/>
                <w:szCs w:val="22"/>
                <w:lang w:val="lt-LT"/>
              </w:rPr>
              <w:t>Lyginamasis svoris ekonominio naudingumo įvertinime</w:t>
            </w:r>
          </w:p>
        </w:tc>
      </w:tr>
      <w:tr w:rsidR="009C51DE" w:rsidRPr="00FF4C22" w:rsidTr="00B01879">
        <w:trPr>
          <w:trHeight w:hRule="exact" w:val="286"/>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C51DE" w:rsidRPr="00FF4C22" w:rsidRDefault="009C51DE" w:rsidP="00B01879">
            <w:pPr>
              <w:tabs>
                <w:tab w:val="left" w:pos="14175"/>
              </w:tabs>
              <w:ind w:right="-92"/>
              <w:rPr>
                <w:rFonts w:ascii="Cambria" w:hAnsi="Cambria"/>
                <w:noProof/>
                <w:color w:val="000000"/>
                <w:sz w:val="22"/>
                <w:szCs w:val="22"/>
                <w:lang w:val="lt-LT"/>
              </w:rPr>
            </w:pPr>
            <w:r w:rsidRPr="00FF4C22">
              <w:rPr>
                <w:rFonts w:ascii="Cambria" w:hAnsi="Cambria"/>
                <w:b/>
                <w:noProof/>
                <w:color w:val="000000"/>
                <w:sz w:val="22"/>
                <w:szCs w:val="22"/>
                <w:lang w:val="lt-LT"/>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b/>
                <w:noProof/>
                <w:color w:val="000000"/>
                <w:sz w:val="22"/>
                <w:szCs w:val="22"/>
                <w:lang w:val="lt-LT"/>
              </w:rPr>
              <w:t>X=70</w:t>
            </w:r>
          </w:p>
        </w:tc>
      </w:tr>
      <w:tr w:rsidR="009C51DE" w:rsidRPr="00FF4C22" w:rsidTr="00B01879">
        <w:trPr>
          <w:trHeight w:hRule="exact" w:val="289"/>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9C51DE" w:rsidRPr="00FF4C22" w:rsidRDefault="009C51DE" w:rsidP="00B01879">
            <w:pPr>
              <w:tabs>
                <w:tab w:val="left" w:pos="14175"/>
              </w:tabs>
              <w:ind w:right="-92"/>
              <w:rPr>
                <w:rFonts w:ascii="Cambria" w:hAnsi="Cambria"/>
                <w:b/>
                <w:noProof/>
                <w:color w:val="000000"/>
                <w:sz w:val="22"/>
                <w:szCs w:val="22"/>
                <w:lang w:val="lt-LT"/>
              </w:rPr>
            </w:pPr>
            <w:r w:rsidRPr="00FF4C22">
              <w:rPr>
                <w:rFonts w:ascii="Cambria" w:hAnsi="Cambria"/>
                <w:b/>
                <w:noProof/>
                <w:color w:val="000000"/>
                <w:sz w:val="22"/>
                <w:szCs w:val="22"/>
                <w:lang w:val="lt-LT"/>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b/>
                <w:noProof/>
                <w:color w:val="000000"/>
                <w:sz w:val="22"/>
                <w:szCs w:val="22"/>
                <w:lang w:val="lt-LT"/>
              </w:rPr>
              <w:t>Y=30</w:t>
            </w:r>
          </w:p>
        </w:tc>
      </w:tr>
      <w:tr w:rsidR="009C51DE" w:rsidRPr="00FF4C22" w:rsidTr="00B0187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DE" w:rsidRPr="00FF4C22" w:rsidRDefault="009C51DE" w:rsidP="00B01879">
            <w:pPr>
              <w:tabs>
                <w:tab w:val="left" w:pos="14175"/>
              </w:tabs>
              <w:ind w:right="-92"/>
              <w:jc w:val="center"/>
              <w:rPr>
                <w:rFonts w:ascii="Cambria" w:hAnsi="Cambria"/>
                <w:b/>
                <w:noProof/>
                <w:color w:val="000000"/>
                <w:sz w:val="22"/>
                <w:szCs w:val="22"/>
                <w:lang w:val="lt-LT"/>
              </w:rPr>
            </w:pPr>
            <w:r w:rsidRPr="00FF4C22">
              <w:rPr>
                <w:rFonts w:ascii="Cambria" w:hAnsi="Cambria"/>
                <w:b/>
                <w:noProof/>
                <w:color w:val="000000"/>
                <w:sz w:val="22"/>
                <w:szCs w:val="22"/>
                <w:lang w:val="lt-LT"/>
              </w:rPr>
              <w:t>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1DE" w:rsidRPr="00FF4C22" w:rsidRDefault="009C51DE" w:rsidP="00B01879">
            <w:pPr>
              <w:tabs>
                <w:tab w:val="left" w:pos="14175"/>
              </w:tabs>
              <w:ind w:right="-92"/>
              <w:jc w:val="center"/>
              <w:rPr>
                <w:rFonts w:ascii="Cambria" w:hAnsi="Cambria"/>
                <w:b/>
                <w:noProof/>
                <w:color w:val="000000"/>
                <w:sz w:val="22"/>
                <w:szCs w:val="22"/>
                <w:lang w:val="lt-LT"/>
              </w:rPr>
            </w:pPr>
            <w:r w:rsidRPr="00FF4C22">
              <w:rPr>
                <w:rFonts w:ascii="Cambria" w:hAnsi="Cambria"/>
                <w:b/>
                <w:noProof/>
                <w:sz w:val="22"/>
                <w:szCs w:val="22"/>
                <w:lang w:val="lt-LT"/>
              </w:rPr>
              <w:t>Parametrai</w:t>
            </w:r>
          </w:p>
        </w:tc>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1DE" w:rsidRPr="00FF4C22" w:rsidRDefault="009C51DE" w:rsidP="00B01879">
            <w:pPr>
              <w:tabs>
                <w:tab w:val="left" w:pos="14175"/>
              </w:tabs>
              <w:ind w:right="-92"/>
              <w:jc w:val="center"/>
              <w:rPr>
                <w:rFonts w:ascii="Cambria" w:hAnsi="Cambria"/>
                <w:b/>
                <w:bCs/>
                <w:noProof/>
                <w:color w:val="000000"/>
                <w:sz w:val="22"/>
                <w:szCs w:val="22"/>
                <w:lang w:val="lt-LT"/>
              </w:rPr>
            </w:pPr>
            <w:r w:rsidRPr="00FF4C22">
              <w:rPr>
                <w:rFonts w:ascii="Cambria" w:hAnsi="Cambria"/>
                <w:b/>
                <w:noProof/>
                <w:sz w:val="22"/>
                <w:szCs w:val="22"/>
                <w:lang w:val="lt-LT"/>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tabs>
                <w:tab w:val="left" w:pos="14175"/>
              </w:tabs>
              <w:ind w:right="-92"/>
              <w:rPr>
                <w:rFonts w:ascii="Cambria" w:hAnsi="Cambria"/>
                <w:b/>
                <w:noProof/>
                <w:color w:val="000000"/>
                <w:sz w:val="22"/>
                <w:szCs w:val="22"/>
                <w:lang w:val="lt-LT"/>
              </w:rPr>
            </w:pPr>
          </w:p>
        </w:tc>
      </w:tr>
      <w:tr w:rsidR="009C51DE" w:rsidRPr="00FF4C22" w:rsidTr="00B01879">
        <w:trPr>
          <w:trHeight w:val="58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noProof/>
                <w:color w:val="000000"/>
                <w:sz w:val="22"/>
                <w:szCs w:val="22"/>
                <w:lang w:val="lt-LT"/>
              </w:rPr>
              <w:t>T</w:t>
            </w:r>
            <w:r w:rsidRPr="00FF4C22">
              <w:rPr>
                <w:rFonts w:ascii="Cambria" w:hAnsi="Cambria"/>
                <w:noProof/>
                <w:color w:val="000000"/>
                <w:sz w:val="22"/>
                <w:szCs w:val="22"/>
                <w:vertAlign w:val="subscript"/>
                <w:lang w:val="lt-LT"/>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pStyle w:val="prastasis1"/>
              <w:tabs>
                <w:tab w:val="left" w:pos="14175"/>
              </w:tabs>
              <w:spacing w:after="0" w:line="240" w:lineRule="auto"/>
              <w:ind w:right="-91"/>
              <w:rPr>
                <w:rFonts w:ascii="Cambria" w:hAnsi="Cambria" w:cs="Times New Roman"/>
                <w:noProof/>
                <w:sz w:val="22"/>
                <w:szCs w:val="22"/>
                <w:lang w:val="lt-LT"/>
              </w:rPr>
            </w:pPr>
            <w:r w:rsidRPr="00FF4C22">
              <w:rPr>
                <w:rFonts w:ascii="Cambria" w:hAnsi="Cambria" w:cs="Times New Roman"/>
                <w:noProof/>
                <w:sz w:val="22"/>
                <w:szCs w:val="22"/>
                <w:lang w:val="lt-LT"/>
              </w:rPr>
              <w:t>Papildomas anesteziologinių dujų monitoravimo parametras – MAC (Minimal Alveolar Concentration – minimali alveolinė koncentracija) rodiklio apskaičiavimas ir atvaizdavimas (techninės specifikacijos p. 7.5.)</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noProof/>
                <w:color w:val="000000"/>
                <w:sz w:val="22"/>
                <w:szCs w:val="22"/>
                <w:lang w:val="lt-LT"/>
              </w:rPr>
              <w:t xml:space="preserve">Statinis: </w:t>
            </w:r>
          </w:p>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noProof/>
                <w:color w:val="000000"/>
                <w:sz w:val="22"/>
                <w:szCs w:val="22"/>
                <w:lang w:val="lt-LT"/>
              </w:rPr>
              <w:t>(taip/ne)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noProof/>
                <w:color w:val="000000"/>
                <w:sz w:val="22"/>
                <w:szCs w:val="22"/>
                <w:lang w:val="lt-LT"/>
              </w:rPr>
              <w:t>L</w:t>
            </w:r>
            <w:r w:rsidRPr="00FF4C22">
              <w:rPr>
                <w:rFonts w:ascii="Cambria" w:hAnsi="Cambria"/>
                <w:noProof/>
                <w:color w:val="000000"/>
                <w:sz w:val="22"/>
                <w:szCs w:val="22"/>
                <w:vertAlign w:val="subscript"/>
                <w:lang w:val="lt-LT"/>
              </w:rPr>
              <w:t xml:space="preserve">1 </w:t>
            </w:r>
            <w:r w:rsidRPr="00FF4C22">
              <w:rPr>
                <w:rFonts w:ascii="Cambria" w:hAnsi="Cambria"/>
                <w:noProof/>
                <w:color w:val="000000"/>
                <w:sz w:val="22"/>
                <w:szCs w:val="22"/>
                <w:lang w:val="lt-LT"/>
              </w:rPr>
              <w:t>= 0,6</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jc w:val="center"/>
              <w:rPr>
                <w:rFonts w:ascii="Cambria" w:eastAsia="Times New Roman" w:hAnsi="Cambria"/>
                <w:noProof/>
                <w:color w:val="7F7F7F" w:themeColor="text1" w:themeTint="80"/>
                <w:sz w:val="22"/>
                <w:szCs w:val="22"/>
                <w:lang w:val="lt-LT"/>
              </w:rPr>
            </w:pPr>
            <w:r w:rsidRPr="00FF4C22">
              <w:rPr>
                <w:rFonts w:ascii="Cambria" w:eastAsia="Times New Roman" w:hAnsi="Cambria"/>
                <w:noProof/>
                <w:color w:val="7F7F7F" w:themeColor="text1" w:themeTint="80"/>
                <w:sz w:val="22"/>
                <w:szCs w:val="22"/>
                <w:lang w:val="lt-LT"/>
              </w:rPr>
              <w:t>Įrašyti parametro vertę:</w:t>
            </w:r>
          </w:p>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eastAsia="Times New Roman" w:hAnsi="Cambria"/>
                <w:noProof/>
                <w:color w:val="7F7F7F" w:themeColor="text1" w:themeTint="80"/>
                <w:sz w:val="22"/>
                <w:szCs w:val="22"/>
                <w:lang w:val="lt-LT"/>
              </w:rPr>
              <w:t>taip/ne</w:t>
            </w:r>
          </w:p>
        </w:tc>
      </w:tr>
      <w:tr w:rsidR="009C51DE" w:rsidRPr="00FF4C22" w:rsidTr="00B01879">
        <w:trPr>
          <w:trHeight w:val="83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tabs>
                <w:tab w:val="left" w:pos="14175"/>
              </w:tabs>
              <w:ind w:right="-92"/>
              <w:jc w:val="center"/>
              <w:rPr>
                <w:rFonts w:ascii="Cambria" w:hAnsi="Cambria"/>
                <w:noProof/>
                <w:color w:val="000000"/>
                <w:sz w:val="22"/>
                <w:szCs w:val="22"/>
                <w:vertAlign w:val="subscript"/>
                <w:lang w:val="lt-LT"/>
              </w:rPr>
            </w:pPr>
            <w:r w:rsidRPr="00FF4C22">
              <w:rPr>
                <w:rFonts w:ascii="Cambria" w:hAnsi="Cambria"/>
                <w:noProof/>
                <w:color w:val="000000"/>
                <w:sz w:val="22"/>
                <w:szCs w:val="22"/>
                <w:lang w:val="lt-LT"/>
              </w:rPr>
              <w:t>T</w:t>
            </w:r>
            <w:r w:rsidRPr="00FF4C22">
              <w:rPr>
                <w:rFonts w:ascii="Cambria" w:hAnsi="Cambria"/>
                <w:noProof/>
                <w:color w:val="000000"/>
                <w:sz w:val="22"/>
                <w:szCs w:val="22"/>
                <w:vertAlign w:val="subscript"/>
                <w:lang w:val="lt-LT"/>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DE" w:rsidRPr="00FF4C22" w:rsidRDefault="009C51DE" w:rsidP="00B01879">
            <w:pPr>
              <w:tabs>
                <w:tab w:val="left" w:pos="14175"/>
              </w:tabs>
              <w:ind w:right="-91"/>
              <w:rPr>
                <w:rFonts w:ascii="Cambria" w:hAnsi="Cambria"/>
                <w:noProof/>
                <w:color w:val="000000"/>
                <w:sz w:val="22"/>
                <w:szCs w:val="22"/>
                <w:lang w:val="lt-LT"/>
              </w:rPr>
            </w:pPr>
            <w:r w:rsidRPr="00FF4C22">
              <w:rPr>
                <w:rFonts w:ascii="Cambria" w:hAnsi="Cambria"/>
                <w:noProof/>
                <w:color w:val="000000"/>
                <w:sz w:val="22"/>
                <w:szCs w:val="22"/>
                <w:lang w:val="lt-LT"/>
              </w:rPr>
              <w:t>Garantinis terminas ≥ 36 mėn. (techninės specifikacijos p. 14)</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noProof/>
                <w:color w:val="000000"/>
                <w:sz w:val="22"/>
                <w:szCs w:val="22"/>
                <w:lang w:val="lt-LT"/>
              </w:rPr>
              <w:t xml:space="preserve">Statinis: </w:t>
            </w:r>
          </w:p>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hAnsi="Cambria"/>
                <w:noProof/>
                <w:color w:val="000000"/>
                <w:sz w:val="22"/>
                <w:szCs w:val="22"/>
                <w:lang w:val="lt-LT"/>
              </w:rPr>
              <w:t>(taip/ne)</w:t>
            </w:r>
          </w:p>
          <w:p w:rsidR="009C51DE" w:rsidRPr="00FF4C22" w:rsidRDefault="009C51DE" w:rsidP="00B01879">
            <w:pPr>
              <w:tabs>
                <w:tab w:val="left" w:pos="14175"/>
              </w:tabs>
              <w:ind w:right="-92"/>
              <w:jc w:val="center"/>
              <w:rPr>
                <w:rFonts w:ascii="Cambria" w:hAnsi="Cambria"/>
                <w:noProof/>
                <w:color w:val="000000"/>
                <w:sz w:val="22"/>
                <w:szCs w:val="22"/>
                <w:lang w:val="lt-LT"/>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tabs>
                <w:tab w:val="left" w:pos="14175"/>
              </w:tabs>
              <w:ind w:right="-92"/>
              <w:jc w:val="center"/>
              <w:rPr>
                <w:rFonts w:ascii="Cambria" w:hAnsi="Cambria"/>
                <w:b/>
                <w:bCs/>
                <w:noProof/>
                <w:color w:val="000000"/>
                <w:sz w:val="22"/>
                <w:szCs w:val="22"/>
                <w:lang w:val="lt-LT"/>
              </w:rPr>
            </w:pPr>
            <w:r w:rsidRPr="00FF4C22">
              <w:rPr>
                <w:rFonts w:ascii="Cambria" w:hAnsi="Cambria"/>
                <w:noProof/>
                <w:color w:val="000000"/>
                <w:sz w:val="22"/>
                <w:szCs w:val="22"/>
                <w:lang w:val="lt-LT"/>
              </w:rPr>
              <w:t>L</w:t>
            </w:r>
            <w:r w:rsidRPr="00FF4C22">
              <w:rPr>
                <w:rFonts w:ascii="Cambria" w:hAnsi="Cambria"/>
                <w:noProof/>
                <w:color w:val="000000"/>
                <w:sz w:val="22"/>
                <w:szCs w:val="22"/>
                <w:vertAlign w:val="subscript"/>
                <w:lang w:val="lt-LT"/>
              </w:rPr>
              <w:t>2</w:t>
            </w:r>
            <w:r w:rsidRPr="00FF4C22">
              <w:rPr>
                <w:rFonts w:ascii="Cambria" w:hAnsi="Cambria"/>
                <w:noProof/>
                <w:color w:val="000000"/>
                <w:sz w:val="22"/>
                <w:szCs w:val="22"/>
                <w:lang w:val="lt-LT"/>
              </w:rPr>
              <w:t xml:space="preserve"> = 0,4</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51DE" w:rsidRPr="00FF4C22" w:rsidRDefault="009C51DE" w:rsidP="00B01879">
            <w:pPr>
              <w:jc w:val="center"/>
              <w:rPr>
                <w:rFonts w:ascii="Cambria" w:eastAsia="Times New Roman" w:hAnsi="Cambria"/>
                <w:noProof/>
                <w:color w:val="7F7F7F" w:themeColor="text1" w:themeTint="80"/>
                <w:sz w:val="22"/>
                <w:szCs w:val="22"/>
                <w:lang w:val="lt-LT"/>
              </w:rPr>
            </w:pPr>
            <w:r w:rsidRPr="00FF4C22">
              <w:rPr>
                <w:rFonts w:ascii="Cambria" w:eastAsia="Times New Roman" w:hAnsi="Cambria"/>
                <w:noProof/>
                <w:color w:val="7F7F7F" w:themeColor="text1" w:themeTint="80"/>
                <w:sz w:val="22"/>
                <w:szCs w:val="22"/>
                <w:lang w:val="lt-LT"/>
              </w:rPr>
              <w:t>Įrašyti parametro vertę:</w:t>
            </w:r>
          </w:p>
          <w:p w:rsidR="009C51DE" w:rsidRPr="00FF4C22" w:rsidRDefault="009C51DE" w:rsidP="00B01879">
            <w:pPr>
              <w:tabs>
                <w:tab w:val="left" w:pos="14175"/>
              </w:tabs>
              <w:ind w:right="-92"/>
              <w:jc w:val="center"/>
              <w:rPr>
                <w:rFonts w:ascii="Cambria" w:hAnsi="Cambria"/>
                <w:noProof/>
                <w:color w:val="000000"/>
                <w:sz w:val="22"/>
                <w:szCs w:val="22"/>
                <w:lang w:val="lt-LT"/>
              </w:rPr>
            </w:pPr>
            <w:r w:rsidRPr="00FF4C22">
              <w:rPr>
                <w:rFonts w:ascii="Cambria" w:eastAsia="Times New Roman" w:hAnsi="Cambria"/>
                <w:noProof/>
                <w:color w:val="7F7F7F" w:themeColor="text1" w:themeTint="80"/>
                <w:sz w:val="22"/>
                <w:szCs w:val="22"/>
                <w:lang w:val="lt-LT"/>
              </w:rPr>
              <w:t>taip/ne</w:t>
            </w:r>
          </w:p>
        </w:tc>
      </w:tr>
    </w:tbl>
    <w:p w:rsidR="009C51DE" w:rsidRPr="00FF4C22" w:rsidRDefault="009C51DE" w:rsidP="009C51DE">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9C51DE" w:rsidRPr="00FF4C22" w:rsidRDefault="009C51DE" w:rsidP="009C51DE">
      <w:pPr>
        <w:shd w:val="clear" w:color="auto" w:fill="FFFFFF"/>
        <w:jc w:val="both"/>
        <w:rPr>
          <w:rFonts w:ascii="Cambria" w:hAnsi="Cambria"/>
          <w:noProof/>
          <w:sz w:val="22"/>
          <w:szCs w:val="22"/>
          <w:lang w:val="lt-LT"/>
        </w:rPr>
      </w:pPr>
      <w:r w:rsidRPr="00FF4C22">
        <w:rPr>
          <w:rFonts w:ascii="Cambria" w:hAnsi="Cambria"/>
          <w:noProof/>
          <w:sz w:val="22"/>
          <w:szCs w:val="22"/>
          <w:lang w:val="lt-LT"/>
        </w:rPr>
        <w:t>Pasiūlymo ekonominio naudingumo (kainos ir kokybės santykio) apskaičiavimo tvarka (formulė) yra pateikiama žemiau:</w:t>
      </w:r>
    </w:p>
    <w:p w:rsidR="009C51DE" w:rsidRPr="00FF4C22" w:rsidRDefault="009C51DE" w:rsidP="009C51DE">
      <w:pPr>
        <w:pStyle w:val="Sraopastraipa"/>
        <w:shd w:val="clear" w:color="auto" w:fill="FFFFFF"/>
        <w:ind w:left="0"/>
        <w:jc w:val="both"/>
        <w:rPr>
          <w:rFonts w:ascii="Cambria" w:hAnsi="Cambria"/>
          <w:noProof/>
        </w:rPr>
      </w:pPr>
      <w:r w:rsidRPr="00FF4C22">
        <w:rPr>
          <w:rFonts w:ascii="Cambria" w:hAnsi="Cambria"/>
          <w:noProof/>
        </w:rPr>
        <w:t>1. Pasiūlymo ekonominis naudingumas (E) apskaičiuojamas sudedant tiekėjo pasiūlymo kainos (K) ir techninių pranašumų (T) balus:</w:t>
      </w:r>
    </w:p>
    <w:p w:rsidR="009C51DE" w:rsidRPr="00FF4C22" w:rsidRDefault="009C51DE" w:rsidP="009C51DE">
      <w:pPr>
        <w:shd w:val="clear" w:color="auto" w:fill="FFFFFF"/>
        <w:jc w:val="center"/>
        <w:rPr>
          <w:rFonts w:ascii="Cambria" w:hAnsi="Cambria"/>
          <w:noProof/>
          <w:sz w:val="22"/>
          <w:szCs w:val="22"/>
          <w:lang w:val="lt-LT"/>
        </w:rPr>
      </w:pPr>
      <w:r w:rsidRPr="00FF4C22">
        <w:rPr>
          <w:rFonts w:ascii="Cambria" w:hAnsi="Cambria"/>
          <w:i/>
          <w:iCs/>
          <w:noProof/>
          <w:sz w:val="22"/>
          <w:szCs w:val="22"/>
          <w:lang w:val="lt-LT"/>
        </w:rPr>
        <w:t xml:space="preserve">E </w:t>
      </w:r>
      <w:r w:rsidRPr="00FF4C22">
        <w:rPr>
          <w:rFonts w:ascii="Cambria" w:hAnsi="Cambria"/>
          <w:noProof/>
          <w:sz w:val="22"/>
          <w:szCs w:val="22"/>
          <w:lang w:val="lt-LT"/>
        </w:rPr>
        <w:t xml:space="preserve">= </w:t>
      </w:r>
      <w:r w:rsidRPr="00FF4C22">
        <w:rPr>
          <w:rFonts w:ascii="Cambria" w:hAnsi="Cambria"/>
          <w:i/>
          <w:noProof/>
          <w:sz w:val="22"/>
          <w:szCs w:val="22"/>
          <w:lang w:val="lt-LT"/>
        </w:rPr>
        <w:t>K</w:t>
      </w:r>
      <w:r w:rsidRPr="00FF4C22">
        <w:rPr>
          <w:rFonts w:ascii="Cambria" w:hAnsi="Cambria"/>
          <w:i/>
          <w:iCs/>
          <w:noProof/>
          <w:sz w:val="22"/>
          <w:szCs w:val="22"/>
          <w:lang w:val="lt-LT"/>
        </w:rPr>
        <w:t>+ T</w:t>
      </w:r>
    </w:p>
    <w:p w:rsidR="009C51DE" w:rsidRPr="00FF4C22" w:rsidRDefault="009C51DE" w:rsidP="009C51DE">
      <w:pPr>
        <w:pStyle w:val="Sraopastraipa"/>
        <w:shd w:val="clear" w:color="auto" w:fill="FFFFFF"/>
        <w:ind w:left="0"/>
        <w:jc w:val="both"/>
        <w:rPr>
          <w:rFonts w:ascii="Cambria" w:hAnsi="Cambria"/>
          <w:noProof/>
        </w:rPr>
      </w:pPr>
      <w:r w:rsidRPr="00FF4C22">
        <w:rPr>
          <w:rFonts w:ascii="Cambria" w:hAnsi="Cambria"/>
          <w:noProof/>
        </w:rPr>
        <w:t>2. Pasiūlymo kainos (K) balai apskaičiuojami mažiausios pasiūlytos kainos (K</w:t>
      </w:r>
      <w:r w:rsidRPr="00FF4C22">
        <w:rPr>
          <w:rFonts w:ascii="Cambria" w:hAnsi="Cambria"/>
          <w:noProof/>
          <w:vertAlign w:val="subscript"/>
        </w:rPr>
        <w:t>min</w:t>
      </w:r>
      <w:r w:rsidRPr="00FF4C22">
        <w:rPr>
          <w:rFonts w:ascii="Cambria" w:hAnsi="Cambria"/>
          <w:noProof/>
        </w:rPr>
        <w:t>) ir vertinamo pasiūlymo kainos (K</w:t>
      </w:r>
      <w:r w:rsidRPr="00FF4C22">
        <w:rPr>
          <w:rFonts w:ascii="Cambria" w:hAnsi="Cambria"/>
          <w:noProof/>
          <w:vertAlign w:val="subscript"/>
        </w:rPr>
        <w:t>v</w:t>
      </w:r>
      <w:r w:rsidRPr="00FF4C22">
        <w:rPr>
          <w:rFonts w:ascii="Cambria" w:hAnsi="Cambria"/>
          <w:noProof/>
        </w:rPr>
        <w:t>) santykį padauginant iš kainos lyginamojo svorio (X):</w:t>
      </w:r>
    </w:p>
    <w:p w:rsidR="009C51DE" w:rsidRPr="00FF4C22" w:rsidRDefault="009C51DE" w:rsidP="009C51DE">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9C51DE" w:rsidRPr="00FF4C22" w:rsidRDefault="009C51DE" w:rsidP="009C51DE">
      <w:pPr>
        <w:jc w:val="both"/>
        <w:rPr>
          <w:rFonts w:ascii="Cambria" w:hAnsi="Cambria"/>
          <w:noProof/>
          <w:color w:val="000000" w:themeColor="text1"/>
          <w:sz w:val="22"/>
          <w:szCs w:val="22"/>
          <w:bdr w:val="none" w:sz="0" w:space="0" w:color="auto" w:frame="1"/>
          <w:lang w:val="lt-LT"/>
        </w:rPr>
      </w:pPr>
    </w:p>
    <w:p w:rsidR="009C51DE" w:rsidRPr="00FF4C22" w:rsidRDefault="009C51DE" w:rsidP="009C51DE">
      <w:pPr>
        <w:shd w:val="clear" w:color="auto" w:fill="FFFFFF"/>
        <w:jc w:val="both"/>
        <w:rPr>
          <w:rFonts w:ascii="Cambria" w:hAnsi="Cambria"/>
          <w:noProof/>
          <w:sz w:val="22"/>
          <w:szCs w:val="22"/>
          <w:lang w:val="lt-LT"/>
        </w:rPr>
      </w:pPr>
      <w:r w:rsidRPr="00FF4C22">
        <w:rPr>
          <w:rFonts w:ascii="Cambria" w:hAnsi="Cambria"/>
          <w:noProof/>
          <w:color w:val="000000" w:themeColor="text1"/>
          <w:sz w:val="22"/>
          <w:szCs w:val="22"/>
          <w:bdr w:val="none" w:sz="0" w:space="0" w:color="auto" w:frame="1"/>
          <w:lang w:val="lt-LT"/>
        </w:rPr>
        <w:t>3.</w:t>
      </w:r>
      <w:r w:rsidRPr="00FF4C22">
        <w:rPr>
          <w:rFonts w:ascii="Cambria" w:hAnsi="Cambria"/>
          <w:noProof/>
          <w:sz w:val="22"/>
          <w:szCs w:val="22"/>
          <w:lang w:val="lt-LT"/>
        </w:rPr>
        <w:t xml:space="preserve">Siūlomo objekto </w:t>
      </w:r>
      <w:bookmarkStart w:id="8" w:name="_Hlk203469730"/>
      <w:r w:rsidRPr="00FF4C22">
        <w:rPr>
          <w:rFonts w:ascii="Cambria" w:hAnsi="Cambria"/>
          <w:noProof/>
          <w:color w:val="000000"/>
          <w:sz w:val="22"/>
          <w:szCs w:val="22"/>
          <w:lang w:val="lt-LT"/>
        </w:rPr>
        <w:t>T</w:t>
      </w:r>
      <w:r w:rsidRPr="00FF4C22">
        <w:rPr>
          <w:rFonts w:ascii="Cambria" w:hAnsi="Cambria"/>
          <w:noProof/>
          <w:color w:val="000000"/>
          <w:sz w:val="22"/>
          <w:szCs w:val="22"/>
          <w:vertAlign w:val="subscript"/>
          <w:lang w:val="lt-LT"/>
        </w:rPr>
        <w:t>1,</w:t>
      </w:r>
      <w:r w:rsidRPr="00FF4C22">
        <w:rPr>
          <w:rFonts w:ascii="Cambria" w:hAnsi="Cambria"/>
          <w:noProof/>
          <w:sz w:val="22"/>
          <w:szCs w:val="22"/>
          <w:lang w:val="lt-LT"/>
        </w:rPr>
        <w:t>T</w:t>
      </w:r>
      <w:r w:rsidRPr="00FF4C22">
        <w:rPr>
          <w:rFonts w:ascii="Cambria" w:hAnsi="Cambria"/>
          <w:noProof/>
          <w:sz w:val="22"/>
          <w:szCs w:val="22"/>
          <w:vertAlign w:val="subscript"/>
          <w:lang w:val="lt-LT"/>
        </w:rPr>
        <w:t>2</w:t>
      </w:r>
      <w:r w:rsidRPr="00FF4C22">
        <w:rPr>
          <w:rFonts w:ascii="Cambria" w:hAnsi="Cambria"/>
          <w:noProof/>
          <w:sz w:val="22"/>
          <w:szCs w:val="22"/>
          <w:lang w:val="lt-LT"/>
        </w:rPr>
        <w:t>, techniniai parametrai aprašomi statiniu vertinimo būdu ir neturi skaitinių išraiškų (yra arba nėra), todėl parametrų įvertinimas apskaičiuojamas pagal pagal metodiką:</w:t>
      </w:r>
    </w:p>
    <w:p w:rsidR="009C51DE" w:rsidRPr="00FF4C22" w:rsidRDefault="009C51DE" w:rsidP="009C51DE">
      <w:pPr>
        <w:shd w:val="clear" w:color="auto" w:fill="FFFFFF"/>
        <w:jc w:val="both"/>
        <w:rPr>
          <w:rFonts w:ascii="Cambria" w:hAnsi="Cambria"/>
          <w:i/>
          <w:noProof/>
          <w:sz w:val="22"/>
          <w:szCs w:val="22"/>
          <w:vertAlign w:val="subscript"/>
          <w:lang w:val="lt-LT"/>
        </w:rPr>
      </w:pPr>
      <w:r w:rsidRPr="00FF4C22">
        <w:rPr>
          <w:rFonts w:ascii="Cambria" w:hAnsi="Cambria"/>
          <w:noProof/>
          <w:sz w:val="22"/>
          <w:szCs w:val="22"/>
          <w:lang w:val="lt-LT"/>
        </w:rPr>
        <w:t xml:space="preserve">Jei siūlomas objektas turi nurodytą pranašumą, gauna maksimalų balų skaičių pagal lyginamąjį svorį: </w:t>
      </w:r>
      <w:r w:rsidRPr="00FF4C22">
        <w:rPr>
          <w:rFonts w:ascii="Cambria" w:hAnsi="Cambria"/>
          <w:noProof/>
          <w:color w:val="000000"/>
          <w:sz w:val="22"/>
          <w:szCs w:val="22"/>
          <w:lang w:val="lt-LT"/>
        </w:rPr>
        <w:t>T</w:t>
      </w:r>
      <w:r w:rsidRPr="00FF4C22">
        <w:rPr>
          <w:rFonts w:ascii="Cambria" w:hAnsi="Cambria"/>
          <w:noProof/>
          <w:color w:val="000000"/>
          <w:sz w:val="22"/>
          <w:szCs w:val="22"/>
          <w:vertAlign w:val="subscript"/>
          <w:lang w:val="lt-LT"/>
        </w:rPr>
        <w:t>1</w:t>
      </w:r>
      <w:r w:rsidRPr="00FF4C22">
        <w:rPr>
          <w:rFonts w:ascii="Cambria" w:hAnsi="Cambria"/>
          <w:noProof/>
          <w:sz w:val="22"/>
          <w:szCs w:val="22"/>
          <w:lang w:val="lt-LT"/>
        </w:rPr>
        <w:t xml:space="preserve">= </w:t>
      </w:r>
      <w:r w:rsidRPr="00FF4C22">
        <w:rPr>
          <w:rFonts w:ascii="Cambria" w:hAnsi="Cambria"/>
          <w:noProof/>
          <w:color w:val="000000"/>
          <w:sz w:val="22"/>
          <w:szCs w:val="22"/>
          <w:lang w:val="lt-LT"/>
        </w:rPr>
        <w:t>L</w:t>
      </w:r>
      <w:r w:rsidRPr="00FF4C22">
        <w:rPr>
          <w:rFonts w:ascii="Cambria" w:hAnsi="Cambria"/>
          <w:noProof/>
          <w:color w:val="000000"/>
          <w:sz w:val="22"/>
          <w:szCs w:val="22"/>
          <w:vertAlign w:val="subscript"/>
          <w:lang w:val="lt-LT"/>
        </w:rPr>
        <w:t>1</w:t>
      </w:r>
      <w:r w:rsidRPr="00FF4C22">
        <w:rPr>
          <w:rFonts w:ascii="Cambria" w:hAnsi="Cambria"/>
          <w:noProof/>
          <w:sz w:val="22"/>
          <w:szCs w:val="22"/>
          <w:lang w:val="lt-LT"/>
        </w:rPr>
        <w:t>= 0,6; T</w:t>
      </w:r>
      <w:r w:rsidRPr="00FF4C22">
        <w:rPr>
          <w:rFonts w:ascii="Cambria" w:hAnsi="Cambria"/>
          <w:noProof/>
          <w:sz w:val="22"/>
          <w:szCs w:val="22"/>
          <w:vertAlign w:val="subscript"/>
          <w:lang w:val="lt-LT"/>
        </w:rPr>
        <w:t>2</w:t>
      </w:r>
      <w:r w:rsidRPr="00FF4C22">
        <w:rPr>
          <w:rFonts w:ascii="Cambria" w:hAnsi="Cambria"/>
          <w:noProof/>
          <w:sz w:val="22"/>
          <w:szCs w:val="22"/>
          <w:lang w:val="lt-LT"/>
        </w:rPr>
        <w:t xml:space="preserve"> = L</w:t>
      </w:r>
      <w:r w:rsidRPr="00FF4C22">
        <w:rPr>
          <w:rFonts w:ascii="Cambria" w:hAnsi="Cambria"/>
          <w:noProof/>
          <w:sz w:val="22"/>
          <w:szCs w:val="22"/>
          <w:vertAlign w:val="subscript"/>
          <w:lang w:val="lt-LT"/>
        </w:rPr>
        <w:t>2</w:t>
      </w:r>
      <w:r w:rsidRPr="00FF4C22">
        <w:rPr>
          <w:rFonts w:ascii="Cambria" w:hAnsi="Cambria"/>
          <w:noProof/>
          <w:sz w:val="22"/>
          <w:szCs w:val="22"/>
          <w:lang w:val="lt-LT"/>
        </w:rPr>
        <w:t xml:space="preserve"> = 0,4; </w:t>
      </w:r>
    </w:p>
    <w:p w:rsidR="009C51DE" w:rsidRPr="00FF4C22" w:rsidRDefault="009C51DE" w:rsidP="009C51DE">
      <w:pPr>
        <w:shd w:val="clear" w:color="auto" w:fill="FFFFFF"/>
        <w:jc w:val="both"/>
        <w:rPr>
          <w:rFonts w:ascii="Cambria" w:hAnsi="Cambria"/>
          <w:noProof/>
          <w:sz w:val="22"/>
          <w:szCs w:val="22"/>
          <w:lang w:val="lt-LT"/>
        </w:rPr>
      </w:pPr>
      <w:r w:rsidRPr="00FF4C22">
        <w:rPr>
          <w:rFonts w:ascii="Cambria" w:hAnsi="Cambria"/>
          <w:noProof/>
          <w:sz w:val="22"/>
          <w:szCs w:val="22"/>
          <w:lang w:val="lt-LT"/>
        </w:rPr>
        <w:t xml:space="preserve">Jei siūlomas objektas neturi nurodyto pranašumo, gauna nulį balų: </w:t>
      </w:r>
      <w:r w:rsidRPr="00FF4C22">
        <w:rPr>
          <w:rFonts w:ascii="Cambria" w:hAnsi="Cambria"/>
          <w:noProof/>
          <w:color w:val="000000"/>
          <w:sz w:val="22"/>
          <w:szCs w:val="22"/>
          <w:lang w:val="lt-LT"/>
        </w:rPr>
        <w:t>T</w:t>
      </w:r>
      <w:r w:rsidRPr="00FF4C22">
        <w:rPr>
          <w:rFonts w:ascii="Cambria" w:hAnsi="Cambria"/>
          <w:noProof/>
          <w:color w:val="000000"/>
          <w:sz w:val="22"/>
          <w:szCs w:val="22"/>
          <w:vertAlign w:val="subscript"/>
          <w:lang w:val="lt-LT"/>
        </w:rPr>
        <w:t>1</w:t>
      </w:r>
      <w:r w:rsidRPr="00FF4C22">
        <w:rPr>
          <w:rFonts w:ascii="Cambria" w:hAnsi="Cambria"/>
          <w:noProof/>
          <w:sz w:val="22"/>
          <w:szCs w:val="22"/>
          <w:lang w:val="lt-LT"/>
        </w:rPr>
        <w:t xml:space="preserve">= </w:t>
      </w:r>
      <w:r w:rsidRPr="00FF4C22">
        <w:rPr>
          <w:rFonts w:ascii="Cambria" w:hAnsi="Cambria"/>
          <w:noProof/>
          <w:color w:val="000000"/>
          <w:sz w:val="22"/>
          <w:szCs w:val="22"/>
          <w:lang w:val="lt-LT"/>
        </w:rPr>
        <w:t>L</w:t>
      </w:r>
      <w:r w:rsidRPr="00FF4C22">
        <w:rPr>
          <w:rFonts w:ascii="Cambria" w:hAnsi="Cambria"/>
          <w:noProof/>
          <w:color w:val="000000"/>
          <w:sz w:val="22"/>
          <w:szCs w:val="22"/>
          <w:vertAlign w:val="subscript"/>
          <w:lang w:val="lt-LT"/>
        </w:rPr>
        <w:t>1</w:t>
      </w:r>
      <w:r w:rsidRPr="00FF4C22">
        <w:rPr>
          <w:rFonts w:ascii="Cambria" w:hAnsi="Cambria"/>
          <w:noProof/>
          <w:sz w:val="22"/>
          <w:szCs w:val="22"/>
          <w:lang w:val="lt-LT"/>
        </w:rPr>
        <w:t>= 0;  T</w:t>
      </w:r>
      <w:r w:rsidRPr="00FF4C22">
        <w:rPr>
          <w:rFonts w:ascii="Cambria" w:hAnsi="Cambria"/>
          <w:noProof/>
          <w:sz w:val="22"/>
          <w:szCs w:val="22"/>
          <w:vertAlign w:val="subscript"/>
          <w:lang w:val="lt-LT"/>
        </w:rPr>
        <w:t>2</w:t>
      </w:r>
      <w:r w:rsidRPr="00FF4C22">
        <w:rPr>
          <w:rFonts w:ascii="Cambria" w:hAnsi="Cambria"/>
          <w:noProof/>
          <w:sz w:val="22"/>
          <w:szCs w:val="22"/>
          <w:lang w:val="lt-LT"/>
        </w:rPr>
        <w:t xml:space="preserve"> = L</w:t>
      </w:r>
      <w:r w:rsidRPr="00FF4C22">
        <w:rPr>
          <w:rFonts w:ascii="Cambria" w:hAnsi="Cambria"/>
          <w:noProof/>
          <w:sz w:val="22"/>
          <w:szCs w:val="22"/>
          <w:vertAlign w:val="subscript"/>
          <w:lang w:val="lt-LT"/>
        </w:rPr>
        <w:t>2</w:t>
      </w:r>
      <w:r w:rsidRPr="00FF4C22">
        <w:rPr>
          <w:rFonts w:ascii="Cambria" w:hAnsi="Cambria"/>
          <w:noProof/>
          <w:sz w:val="22"/>
          <w:szCs w:val="22"/>
          <w:lang w:val="lt-LT"/>
        </w:rPr>
        <w:t xml:space="preserve"> = 0; </w:t>
      </w:r>
    </w:p>
    <w:p w:rsidR="009C51DE" w:rsidRPr="00FF4C22" w:rsidRDefault="009C51DE" w:rsidP="009C51DE">
      <w:pPr>
        <w:shd w:val="clear" w:color="auto" w:fill="FFFFFF"/>
        <w:jc w:val="both"/>
        <w:rPr>
          <w:rFonts w:ascii="Cambria" w:hAnsi="Cambria"/>
          <w:noProof/>
          <w:sz w:val="22"/>
          <w:szCs w:val="22"/>
          <w:lang w:val="lt-LT"/>
        </w:rPr>
      </w:pPr>
      <w:r w:rsidRPr="00FF4C22">
        <w:rPr>
          <w:rFonts w:ascii="Cambria" w:hAnsi="Cambria"/>
          <w:noProof/>
          <w:sz w:val="22"/>
          <w:szCs w:val="22"/>
          <w:lang w:val="lt-LT"/>
        </w:rPr>
        <w:lastRenderedPageBreak/>
        <w:t>Techninių pranašumų (T) balai apskaičiuojami visų techninių kriterijų parametrų įvertinimų sumą padauginant iš techninių pranašumų lyginamojo svorio (Y):</w:t>
      </w:r>
    </w:p>
    <w:bookmarkEnd w:id="8"/>
    <w:p w:rsidR="009C51DE" w:rsidRPr="00FF4C22" w:rsidRDefault="009C51DE" w:rsidP="009C51DE">
      <w:pPr>
        <w:jc w:val="both"/>
        <w:rPr>
          <w:rFonts w:ascii="Cambria" w:hAnsi="Cambria"/>
          <w:noProof/>
          <w:color w:val="000000" w:themeColor="text1"/>
          <w:sz w:val="22"/>
          <w:szCs w:val="22"/>
          <w:bdr w:val="none" w:sz="0" w:space="0" w:color="auto" w:frame="1"/>
          <w:lang w:val="lt-LT"/>
        </w:rPr>
      </w:pPr>
    </w:p>
    <w:p w:rsidR="009C51DE" w:rsidRPr="00FF4C22" w:rsidRDefault="009C51DE" w:rsidP="009C51DE">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2</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9C51DE" w:rsidRPr="00FF4C22" w:rsidRDefault="009C51DE" w:rsidP="009C51DE">
      <w:pPr>
        <w:ind w:firstLine="426"/>
        <w:jc w:val="both"/>
        <w:rPr>
          <w:rFonts w:ascii="Cambria" w:hAnsi="Cambria"/>
          <w:noProof/>
          <w:color w:val="000000" w:themeColor="text1"/>
          <w:sz w:val="22"/>
          <w:szCs w:val="22"/>
          <w:lang w:val="lt-LT" w:bidi="hi-IN"/>
        </w:rPr>
      </w:pPr>
    </w:p>
    <w:p w:rsidR="009C51DE" w:rsidRPr="00FF4C22" w:rsidRDefault="009C51DE" w:rsidP="009C51DE">
      <w:pPr>
        <w:ind w:firstLine="426"/>
        <w:jc w:val="both"/>
        <w:rPr>
          <w:rFonts w:ascii="Cambria" w:eastAsia="Calibri" w:hAnsi="Cambria"/>
          <w:noProof/>
          <w:color w:val="000000" w:themeColor="text1"/>
          <w:sz w:val="22"/>
          <w:szCs w:val="22"/>
          <w:lang w:val="lt-LT"/>
        </w:rPr>
      </w:pPr>
      <w:r w:rsidRPr="00FF4C22">
        <w:rPr>
          <w:rFonts w:ascii="Cambria" w:hAnsi="Cambria"/>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9C51DE" w:rsidRPr="00FF4C22" w:rsidRDefault="009C51DE" w:rsidP="009C51DE">
      <w:pPr>
        <w:ind w:firstLine="426"/>
        <w:jc w:val="both"/>
        <w:rPr>
          <w:rFonts w:ascii="Cambria" w:hAnsi="Cambria"/>
          <w:noProof/>
          <w:color w:val="000000" w:themeColor="text1"/>
          <w:sz w:val="22"/>
          <w:szCs w:val="22"/>
          <w:lang w:val="lt-LT"/>
        </w:rPr>
      </w:pPr>
      <w:r w:rsidRPr="00FF4C22">
        <w:rPr>
          <w:rFonts w:ascii="Cambria" w:eastAsia="Calibri" w:hAnsi="Cambria"/>
          <w:noProof/>
          <w:color w:val="000000" w:themeColor="text1"/>
          <w:sz w:val="22"/>
          <w:szCs w:val="22"/>
          <w:lang w:val="lt-LT"/>
        </w:rPr>
        <w:t>Tais atvejais, kai kelių dalyvių pasiūlymų ekonominis naudingumas yra vienodas, nustatant pasiūlymų eilę, pirmesnis į šią eilę įrašomas dalyvis, kurio pasiūlymas pateiktas anksčiausiai.</w:t>
      </w:r>
      <w:r w:rsidRPr="00FF4C22">
        <w:rPr>
          <w:rFonts w:ascii="Cambria" w:hAnsi="Cambria"/>
          <w:noProof/>
          <w:color w:val="000000" w:themeColor="text1"/>
          <w:sz w:val="22"/>
          <w:szCs w:val="22"/>
          <w:lang w:val="lt-LT"/>
        </w:rPr>
        <w:t xml:space="preserve"> </w:t>
      </w:r>
    </w:p>
    <w:p w:rsidR="00FB1E55" w:rsidRPr="00E3795E" w:rsidRDefault="00FB1E55" w:rsidP="003714C3">
      <w:pPr>
        <w:suppressAutoHyphens/>
        <w:jc w:val="both"/>
        <w:rPr>
          <w:rFonts w:asciiTheme="majorHAnsi" w:hAnsiTheme="majorHAnsi"/>
          <w:sz w:val="22"/>
          <w:szCs w:val="22"/>
        </w:rPr>
      </w:pPr>
    </w:p>
    <w:p w:rsidR="00B50198" w:rsidRPr="003714C3" w:rsidRDefault="00B50198" w:rsidP="00822A25">
      <w:pPr>
        <w:pStyle w:val="Heading"/>
        <w:jc w:val="center"/>
        <w:rPr>
          <w:rFonts w:ascii="Cambria" w:hAnsi="Cambria" w:cs="Times New Roman"/>
          <w:color w:val="auto"/>
        </w:rPr>
      </w:pPr>
      <w:r w:rsidRPr="00E3795E">
        <w:rPr>
          <w:rFonts w:asciiTheme="majorHAnsi" w:hAnsiTheme="majorHAnsi" w:cs="Times New Roman"/>
          <w:color w:val="auto"/>
        </w:rPr>
        <w:t xml:space="preserve">15. PASIŪLYMŲ </w:t>
      </w:r>
      <w:r w:rsidRPr="00E3795E">
        <w:rPr>
          <w:rFonts w:asciiTheme="majorHAnsi" w:hAnsiTheme="majorHAnsi" w:cs="Times New Roman"/>
          <w:color w:val="auto"/>
          <w:lang w:val="da-DK"/>
        </w:rPr>
        <w:t>EIL</w:t>
      </w:r>
      <w:r w:rsidRPr="00E3795E">
        <w:rPr>
          <w:rFonts w:asciiTheme="majorHAnsi" w:hAnsiTheme="majorHAnsi" w:cs="Times New Roman"/>
          <w:color w:val="auto"/>
        </w:rPr>
        <w:t xml:space="preserve">Ė </w:t>
      </w:r>
      <w:r w:rsidRPr="00E3795E">
        <w:rPr>
          <w:rFonts w:asciiTheme="majorHAnsi" w:hAnsiTheme="majorHAnsi" w:cs="Times New Roman"/>
          <w:color w:val="auto"/>
          <w:lang w:val="de-DE"/>
        </w:rPr>
        <w:t>I</w:t>
      </w:r>
      <w:r w:rsidRPr="003714C3">
        <w:rPr>
          <w:rFonts w:ascii="Cambria" w:hAnsi="Cambria" w:cs="Times New Roman"/>
          <w:color w:val="auto"/>
          <w:lang w:val="de-DE"/>
        </w:rPr>
        <w:t xml:space="preserve">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lastRenderedPageBreak/>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Default="003A55F7" w:rsidP="003A55F7">
      <w:pPr>
        <w:pStyle w:val="Body2"/>
        <w:spacing w:after="0"/>
        <w:ind w:firstLine="1296"/>
        <w:rPr>
          <w:rFonts w:asciiTheme="majorHAnsi" w:hAnsiTheme="majorHAnsi"/>
          <w:lang w:val="lt-LT"/>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w:t>
      </w:r>
      <w:r w:rsidRPr="003714C3">
        <w:rPr>
          <w:rFonts w:asciiTheme="majorHAnsi" w:hAnsiTheme="majorHAnsi"/>
          <w:bCs/>
        </w:rPr>
        <w:lastRenderedPageBreak/>
        <w:t xml:space="preserve">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266B41" w:rsidRPr="00266B41" w:rsidRDefault="00266B41" w:rsidP="00266B41">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17.</w:t>
      </w:r>
      <w:r w:rsidR="00266B41">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F07373" w:rsidRDefault="00F0737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9C51DE">
        <w:rPr>
          <w:rFonts w:asciiTheme="majorHAnsi" w:hAnsiTheme="majorHAnsi"/>
          <w:b/>
          <w:bCs/>
          <w:sz w:val="22"/>
          <w:szCs w:val="22"/>
          <w:lang w:val="lt-LT"/>
        </w:rPr>
        <w:t>PACIENTŲ GYVYBINIŲ FUNKCIJŲ MONITORIŲ PRITAIKYTŲ DIRBTI MRT APLINKOJE</w:t>
      </w:r>
      <w:r w:rsidR="007C554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18671C" w:rsidRDefault="0018671C"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b/>
          <w:bCs/>
          <w:color w:val="000000"/>
          <w:sz w:val="22"/>
          <w:szCs w:val="22"/>
          <w:bdr w:val="none" w:sz="0" w:space="0" w:color="auto"/>
          <w:lang w:val="lt-LT" w:eastAsia="zh-CN"/>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9C51DE" w:rsidRPr="003714C3" w:rsidTr="00EA4078">
        <w:trPr>
          <w:trHeight w:val="510"/>
        </w:trPr>
        <w:tc>
          <w:tcPr>
            <w:tcW w:w="704" w:type="dxa"/>
            <w:vAlign w:val="center"/>
          </w:tcPr>
          <w:p w:rsidR="009C51DE" w:rsidRPr="003714C3" w:rsidRDefault="009C51DE" w:rsidP="009C51DE">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9C51DE" w:rsidRPr="00FF4C22" w:rsidRDefault="009C51DE" w:rsidP="009C51DE">
            <w:pPr>
              <w:pStyle w:val="prastasis1"/>
              <w:tabs>
                <w:tab w:val="left" w:pos="14175"/>
              </w:tabs>
              <w:spacing w:after="0" w:line="240" w:lineRule="auto"/>
              <w:jc w:val="both"/>
              <w:rPr>
                <w:rFonts w:ascii="Cambria" w:hAnsi="Cambria" w:cs="Times New Roman"/>
                <w:noProof/>
                <w:sz w:val="22"/>
                <w:szCs w:val="22"/>
                <w:lang w:val="lt-LT"/>
              </w:rPr>
            </w:pPr>
            <w:r w:rsidRPr="00FF4C22">
              <w:rPr>
                <w:rFonts w:ascii="Cambria" w:hAnsi="Cambria" w:cs="Times New Roman"/>
                <w:noProof/>
                <w:sz w:val="22"/>
                <w:szCs w:val="22"/>
                <w:lang w:val="lt-LT"/>
              </w:rPr>
              <w:t>Papildomas anesteziologinių dujų monitoravimo parametras – MAC (Minimal Alveolar Concentration – minimali alveolinė koncentracija) rodiklio apskaičiavimas ir atvaizdavimas (techninės specifikacijos p. 7.5.)</w:t>
            </w:r>
          </w:p>
        </w:tc>
        <w:tc>
          <w:tcPr>
            <w:tcW w:w="2126" w:type="dxa"/>
            <w:vAlign w:val="center"/>
          </w:tcPr>
          <w:p w:rsidR="009C51DE" w:rsidRPr="003714C3" w:rsidRDefault="009C51DE" w:rsidP="009C51D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C51DE" w:rsidRPr="003714C3" w:rsidRDefault="009C51DE" w:rsidP="009C51D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C51DE" w:rsidRPr="003714C3" w:rsidRDefault="009C51DE" w:rsidP="009C51D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9C51DE" w:rsidRPr="003714C3" w:rsidTr="00EA4078">
        <w:trPr>
          <w:trHeight w:val="510"/>
        </w:trPr>
        <w:tc>
          <w:tcPr>
            <w:tcW w:w="704" w:type="dxa"/>
            <w:vAlign w:val="center"/>
          </w:tcPr>
          <w:p w:rsidR="009C51DE" w:rsidRPr="003714C3" w:rsidRDefault="009C51DE" w:rsidP="009C51DE">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9C51DE" w:rsidRPr="00FF4C22" w:rsidRDefault="009C51DE" w:rsidP="009C51DE">
            <w:pPr>
              <w:tabs>
                <w:tab w:val="left" w:pos="14175"/>
              </w:tabs>
              <w:jc w:val="both"/>
              <w:rPr>
                <w:rFonts w:ascii="Cambria" w:hAnsi="Cambria"/>
                <w:noProof/>
                <w:color w:val="000000"/>
                <w:sz w:val="22"/>
                <w:szCs w:val="22"/>
                <w:lang w:val="lt-LT"/>
              </w:rPr>
            </w:pPr>
            <w:r w:rsidRPr="00FF4C22">
              <w:rPr>
                <w:rFonts w:ascii="Cambria" w:hAnsi="Cambria"/>
                <w:noProof/>
                <w:color w:val="000000"/>
                <w:sz w:val="22"/>
                <w:szCs w:val="22"/>
                <w:lang w:val="lt-LT"/>
              </w:rPr>
              <w:t>Garantinis terminas ≥ 36 mėn. (techninės specifikacijos p. 14)</w:t>
            </w:r>
          </w:p>
        </w:tc>
        <w:tc>
          <w:tcPr>
            <w:tcW w:w="2126" w:type="dxa"/>
            <w:vAlign w:val="center"/>
          </w:tcPr>
          <w:p w:rsidR="009C51DE" w:rsidRPr="003714C3" w:rsidRDefault="009C51DE" w:rsidP="009C51D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9C51DE" w:rsidRPr="003714C3" w:rsidRDefault="009C51DE" w:rsidP="009C51D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9C51DE" w:rsidRPr="003714C3" w:rsidRDefault="009C51DE" w:rsidP="009C51DE">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w:t>
            </w:r>
            <w:r w:rsidRPr="003714C3">
              <w:rPr>
                <w:rFonts w:asciiTheme="majorHAnsi" w:hAnsiTheme="majorHAnsi"/>
                <w:b/>
                <w:sz w:val="22"/>
                <w:szCs w:val="22"/>
                <w:u w:val="single"/>
                <w:lang w:eastAsia="lt-LT"/>
              </w:rPr>
              <w:lastRenderedPageBreak/>
              <w:t xml:space="preserve">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6819E8">
              <w:rPr>
                <w:rFonts w:asciiTheme="majorHAnsi" w:hAnsiTheme="majorHAnsi"/>
                <w:b/>
                <w:color w:val="FF0000"/>
                <w:sz w:val="22"/>
                <w:szCs w:val="22"/>
                <w:highlight w:val="green"/>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6819E8">
                    <w:rPr>
                      <w:rFonts w:asciiTheme="majorHAnsi" w:hAnsiTheme="majorHAnsi"/>
                      <w:sz w:val="21"/>
                      <w:szCs w:val="21"/>
                      <w:highlight w:val="gree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1ED" w:rsidRDefault="007F31ED" w:rsidP="00922417">
      <w:r>
        <w:separator/>
      </w:r>
    </w:p>
  </w:endnote>
  <w:endnote w:type="continuationSeparator" w:id="0">
    <w:p w:rsidR="007F31ED" w:rsidRDefault="007F31E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078" w:rsidRDefault="00EA4078">
    <w:pPr>
      <w:pStyle w:val="Porat"/>
      <w:jc w:val="right"/>
    </w:pPr>
  </w:p>
  <w:p w:rsidR="00EA4078" w:rsidRDefault="00EA407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078" w:rsidRDefault="00EA4078">
    <w:pPr>
      <w:pStyle w:val="Porat"/>
      <w:jc w:val="right"/>
    </w:pPr>
  </w:p>
  <w:p w:rsidR="00EA4078" w:rsidRDefault="00EA40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1ED" w:rsidRDefault="007F31ED" w:rsidP="00922417">
      <w:r>
        <w:separator/>
      </w:r>
    </w:p>
  </w:footnote>
  <w:footnote w:type="continuationSeparator" w:id="0">
    <w:p w:rsidR="007F31ED" w:rsidRDefault="007F31ED" w:rsidP="00922417">
      <w:r>
        <w:continuationSeparator/>
      </w:r>
    </w:p>
  </w:footnote>
  <w:footnote w:id="1">
    <w:p w:rsidR="00EA4078" w:rsidRPr="00C54A7B" w:rsidRDefault="00EA4078"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A4078" w:rsidRPr="00C54A7B" w:rsidRDefault="00EA4078" w:rsidP="00401D35">
      <w:pPr>
        <w:pStyle w:val="Puslapioinaostekstas"/>
        <w:numPr>
          <w:ilvl w:val="0"/>
          <w:numId w:val="6"/>
        </w:numPr>
        <w:rPr>
          <w:rFonts w:eastAsia="Yu Mincho"/>
          <w:i/>
          <w:iCs/>
        </w:rPr>
      </w:pPr>
      <w:r w:rsidRPr="00C54A7B">
        <w:rPr>
          <w:rFonts w:eastAsia="Yu Mincho"/>
          <w:i/>
          <w:iCs/>
        </w:rPr>
        <w:t xml:space="preserve">priesaikos deklaracija; </w:t>
      </w:r>
    </w:p>
    <w:p w:rsidR="00EA4078" w:rsidRDefault="00EA4078"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A4078" w:rsidRPr="00551FCA" w:rsidRDefault="00EA4078"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3" w15:restartNumberingAfterBreak="0">
    <w:nsid w:val="123F4104"/>
    <w:multiLevelType w:val="hybridMultilevel"/>
    <w:tmpl w:val="24BC9AE0"/>
    <w:lvl w:ilvl="0" w:tplc="9536D370">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0936294"/>
    <w:multiLevelType w:val="hybridMultilevel"/>
    <w:tmpl w:val="BA280980"/>
    <w:lvl w:ilvl="0" w:tplc="2E76E6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3D925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ED5C7F"/>
    <w:multiLevelType w:val="hybridMultilevel"/>
    <w:tmpl w:val="5C964CD4"/>
    <w:lvl w:ilvl="0" w:tplc="46D2446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20"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1" w15:restartNumberingAfterBreak="0">
    <w:nsid w:val="55462EFA"/>
    <w:multiLevelType w:val="hybridMultilevel"/>
    <w:tmpl w:val="6060C600"/>
    <w:lvl w:ilvl="0" w:tplc="ED045DFE">
      <w:start w:val="1"/>
      <w:numFmt w:val="decimal"/>
      <w:lvlText w:val="%1"/>
      <w:lvlJc w:val="left"/>
      <w:pPr>
        <w:ind w:left="1494" w:hanging="360"/>
      </w:pPr>
      <w:rPr>
        <w:rFonts w:ascii="Cambria" w:hAnsi="Cambria"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560375C7"/>
    <w:multiLevelType w:val="multilevel"/>
    <w:tmpl w:val="497A35C8"/>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7" w15:restartNumberingAfterBreak="0">
    <w:nsid w:val="64810644"/>
    <w:multiLevelType w:val="multilevel"/>
    <w:tmpl w:val="0B226FF8"/>
    <w:lvl w:ilvl="0">
      <w:start w:val="2"/>
      <w:numFmt w:val="decimal"/>
      <w:lvlText w:val="%1."/>
      <w:lvlJc w:val="left"/>
      <w:pPr>
        <w:ind w:left="360" w:hanging="360"/>
      </w:pPr>
      <w:rPr>
        <w:rFonts w:hint="default"/>
        <w:b w:val="0"/>
      </w:rPr>
    </w:lvl>
    <w:lvl w:ilvl="1">
      <w:start w:val="2"/>
      <w:numFmt w:val="decimal"/>
      <w:lvlText w:val="%1.%2."/>
      <w:lvlJc w:val="left"/>
      <w:pPr>
        <w:ind w:left="1430" w:hanging="7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28"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3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0"/>
  </w:num>
  <w:num w:numId="4">
    <w:abstractNumId w:val="14"/>
  </w:num>
  <w:num w:numId="5">
    <w:abstractNumId w:val="24"/>
  </w:num>
  <w:num w:numId="6">
    <w:abstractNumId w:val="25"/>
  </w:num>
  <w:num w:numId="7">
    <w:abstractNumId w:val="6"/>
  </w:num>
  <w:num w:numId="8">
    <w:abstractNumId w:val="26"/>
  </w:num>
  <w:num w:numId="9">
    <w:abstractNumId w:val="17"/>
  </w:num>
  <w:num w:numId="10">
    <w:abstractNumId w:val="28"/>
  </w:num>
  <w:num w:numId="11">
    <w:abstractNumId w:val="5"/>
  </w:num>
  <w:num w:numId="12">
    <w:abstractNumId w:val="16"/>
  </w:num>
  <w:num w:numId="13">
    <w:abstractNumId w:val="33"/>
  </w:num>
  <w:num w:numId="14">
    <w:abstractNumId w:val="1"/>
  </w:num>
  <w:num w:numId="15">
    <w:abstractNumId w:val="20"/>
  </w:num>
  <w:num w:numId="16">
    <w:abstractNumId w:val="2"/>
  </w:num>
  <w:num w:numId="17">
    <w:abstractNumId w:val="23"/>
  </w:num>
  <w:num w:numId="18">
    <w:abstractNumId w:val="32"/>
  </w:num>
  <w:num w:numId="19">
    <w:abstractNumId w:val="9"/>
  </w:num>
  <w:num w:numId="20">
    <w:abstractNumId w:val="8"/>
  </w:num>
  <w:num w:numId="21">
    <w:abstractNumId w:val="18"/>
  </w:num>
  <w:num w:numId="22">
    <w:abstractNumId w:val="29"/>
  </w:num>
  <w:num w:numId="23">
    <w:abstractNumId w:val="11"/>
  </w:num>
  <w:num w:numId="24">
    <w:abstractNumId w:val="4"/>
  </w:num>
  <w:num w:numId="25">
    <w:abstractNumId w:val="19"/>
  </w:num>
  <w:num w:numId="26">
    <w:abstractNumId w:val="22"/>
  </w:num>
  <w:num w:numId="27">
    <w:abstractNumId w:val="15"/>
  </w:num>
  <w:num w:numId="28">
    <w:abstractNumId w:val="13"/>
  </w:num>
  <w:num w:numId="29">
    <w:abstractNumId w:val="0"/>
  </w:num>
  <w:num w:numId="30">
    <w:abstractNumId w:val="21"/>
  </w:num>
  <w:num w:numId="31">
    <w:abstractNumId w:val="27"/>
  </w:num>
  <w:num w:numId="32">
    <w:abstractNumId w:val="7"/>
  </w:num>
  <w:num w:numId="33">
    <w:abstractNumId w:val="3"/>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972EE"/>
    <w:rsid w:val="000A0E88"/>
    <w:rsid w:val="000A1AD3"/>
    <w:rsid w:val="000A1CBA"/>
    <w:rsid w:val="000A1E20"/>
    <w:rsid w:val="000A4A2D"/>
    <w:rsid w:val="000A671F"/>
    <w:rsid w:val="000A6E92"/>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E7A9B"/>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0BB"/>
    <w:rsid w:val="0016681D"/>
    <w:rsid w:val="001669CC"/>
    <w:rsid w:val="0017021B"/>
    <w:rsid w:val="00174464"/>
    <w:rsid w:val="001758CB"/>
    <w:rsid w:val="00182E23"/>
    <w:rsid w:val="0018451D"/>
    <w:rsid w:val="001859B3"/>
    <w:rsid w:val="0018671C"/>
    <w:rsid w:val="00186735"/>
    <w:rsid w:val="00186FB4"/>
    <w:rsid w:val="00190814"/>
    <w:rsid w:val="00192ED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0654"/>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6B41"/>
    <w:rsid w:val="00270FF5"/>
    <w:rsid w:val="0027183B"/>
    <w:rsid w:val="00272F42"/>
    <w:rsid w:val="00275DB1"/>
    <w:rsid w:val="00277636"/>
    <w:rsid w:val="00291DBC"/>
    <w:rsid w:val="002A08FD"/>
    <w:rsid w:val="002A206E"/>
    <w:rsid w:val="002A4345"/>
    <w:rsid w:val="002A4416"/>
    <w:rsid w:val="002A6CCB"/>
    <w:rsid w:val="002A702D"/>
    <w:rsid w:val="002A7AC8"/>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782"/>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843E4"/>
    <w:rsid w:val="00492763"/>
    <w:rsid w:val="00495AD3"/>
    <w:rsid w:val="00496080"/>
    <w:rsid w:val="004A222B"/>
    <w:rsid w:val="004A67C3"/>
    <w:rsid w:val="004A70B6"/>
    <w:rsid w:val="004B35FC"/>
    <w:rsid w:val="004C26C8"/>
    <w:rsid w:val="004D48AC"/>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07F52"/>
    <w:rsid w:val="00510277"/>
    <w:rsid w:val="005131C4"/>
    <w:rsid w:val="00515B74"/>
    <w:rsid w:val="00516018"/>
    <w:rsid w:val="00516691"/>
    <w:rsid w:val="005260D6"/>
    <w:rsid w:val="0052618E"/>
    <w:rsid w:val="00532EB4"/>
    <w:rsid w:val="00536672"/>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451"/>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24C1"/>
    <w:rsid w:val="005C30A1"/>
    <w:rsid w:val="005C736F"/>
    <w:rsid w:val="005D14E1"/>
    <w:rsid w:val="005D35BB"/>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9E8"/>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C59CB"/>
    <w:rsid w:val="006D434E"/>
    <w:rsid w:val="006D4462"/>
    <w:rsid w:val="006D52D9"/>
    <w:rsid w:val="006D73F1"/>
    <w:rsid w:val="006D78CB"/>
    <w:rsid w:val="006E0A97"/>
    <w:rsid w:val="006E135E"/>
    <w:rsid w:val="006E2651"/>
    <w:rsid w:val="006E3851"/>
    <w:rsid w:val="006F167E"/>
    <w:rsid w:val="006F17AA"/>
    <w:rsid w:val="007009BD"/>
    <w:rsid w:val="00701A83"/>
    <w:rsid w:val="00703195"/>
    <w:rsid w:val="00707B07"/>
    <w:rsid w:val="00710BA6"/>
    <w:rsid w:val="0071233C"/>
    <w:rsid w:val="007135C3"/>
    <w:rsid w:val="00713A4C"/>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47E8B"/>
    <w:rsid w:val="00752BB4"/>
    <w:rsid w:val="00754887"/>
    <w:rsid w:val="00756445"/>
    <w:rsid w:val="00757709"/>
    <w:rsid w:val="00763114"/>
    <w:rsid w:val="00764E8D"/>
    <w:rsid w:val="0076555F"/>
    <w:rsid w:val="007672D3"/>
    <w:rsid w:val="00773BD6"/>
    <w:rsid w:val="00774300"/>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5544"/>
    <w:rsid w:val="007C6281"/>
    <w:rsid w:val="007C6FCE"/>
    <w:rsid w:val="007D79F2"/>
    <w:rsid w:val="007E0440"/>
    <w:rsid w:val="007E2E72"/>
    <w:rsid w:val="007E62D2"/>
    <w:rsid w:val="007F29F2"/>
    <w:rsid w:val="007F31ED"/>
    <w:rsid w:val="007F434E"/>
    <w:rsid w:val="007F4C5C"/>
    <w:rsid w:val="007F54EA"/>
    <w:rsid w:val="007F7A66"/>
    <w:rsid w:val="00801820"/>
    <w:rsid w:val="00802B09"/>
    <w:rsid w:val="00805429"/>
    <w:rsid w:val="00805DD4"/>
    <w:rsid w:val="0081035A"/>
    <w:rsid w:val="00812ED0"/>
    <w:rsid w:val="00814E69"/>
    <w:rsid w:val="0081620E"/>
    <w:rsid w:val="00822A25"/>
    <w:rsid w:val="00825639"/>
    <w:rsid w:val="0083280D"/>
    <w:rsid w:val="00832B3B"/>
    <w:rsid w:val="008349B0"/>
    <w:rsid w:val="00835D8D"/>
    <w:rsid w:val="008366BF"/>
    <w:rsid w:val="008367E9"/>
    <w:rsid w:val="008426B6"/>
    <w:rsid w:val="00842D03"/>
    <w:rsid w:val="008442DE"/>
    <w:rsid w:val="00844364"/>
    <w:rsid w:val="00845518"/>
    <w:rsid w:val="0084583A"/>
    <w:rsid w:val="00852DC7"/>
    <w:rsid w:val="008571CE"/>
    <w:rsid w:val="008604F0"/>
    <w:rsid w:val="00860BB6"/>
    <w:rsid w:val="00861DBB"/>
    <w:rsid w:val="00862771"/>
    <w:rsid w:val="00872279"/>
    <w:rsid w:val="00872B0B"/>
    <w:rsid w:val="00872E63"/>
    <w:rsid w:val="008756C1"/>
    <w:rsid w:val="00876A3D"/>
    <w:rsid w:val="00880A83"/>
    <w:rsid w:val="00881F26"/>
    <w:rsid w:val="00883167"/>
    <w:rsid w:val="00887276"/>
    <w:rsid w:val="00887ADA"/>
    <w:rsid w:val="00891014"/>
    <w:rsid w:val="00891659"/>
    <w:rsid w:val="00892316"/>
    <w:rsid w:val="00894823"/>
    <w:rsid w:val="008A115A"/>
    <w:rsid w:val="008A3026"/>
    <w:rsid w:val="008B08FC"/>
    <w:rsid w:val="008B19BF"/>
    <w:rsid w:val="008B3E8C"/>
    <w:rsid w:val="008B402E"/>
    <w:rsid w:val="008B746A"/>
    <w:rsid w:val="008B7D36"/>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177A"/>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51DE"/>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3393"/>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574E"/>
    <w:rsid w:val="00CA6B68"/>
    <w:rsid w:val="00CA6DE5"/>
    <w:rsid w:val="00CA7F82"/>
    <w:rsid w:val="00CB0BA7"/>
    <w:rsid w:val="00CB384F"/>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665D2"/>
    <w:rsid w:val="00D6792E"/>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29C9"/>
    <w:rsid w:val="00E24CD1"/>
    <w:rsid w:val="00E2515B"/>
    <w:rsid w:val="00E3795E"/>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37B7"/>
    <w:rsid w:val="00E958C2"/>
    <w:rsid w:val="00E9785F"/>
    <w:rsid w:val="00EA2E6F"/>
    <w:rsid w:val="00EA4078"/>
    <w:rsid w:val="00EA435E"/>
    <w:rsid w:val="00EB30B9"/>
    <w:rsid w:val="00EB3212"/>
    <w:rsid w:val="00EB3E70"/>
    <w:rsid w:val="00EB4E51"/>
    <w:rsid w:val="00EB4EB4"/>
    <w:rsid w:val="00EB631D"/>
    <w:rsid w:val="00EC04CF"/>
    <w:rsid w:val="00EC0668"/>
    <w:rsid w:val="00EC2386"/>
    <w:rsid w:val="00EC64F9"/>
    <w:rsid w:val="00EC69E6"/>
    <w:rsid w:val="00ED0E9D"/>
    <w:rsid w:val="00ED2E2F"/>
    <w:rsid w:val="00EE575B"/>
    <w:rsid w:val="00EE654E"/>
    <w:rsid w:val="00EF1080"/>
    <w:rsid w:val="00EF33FF"/>
    <w:rsid w:val="00EF427B"/>
    <w:rsid w:val="00EF557D"/>
    <w:rsid w:val="00EF7491"/>
    <w:rsid w:val="00F03831"/>
    <w:rsid w:val="00F044F9"/>
    <w:rsid w:val="00F04634"/>
    <w:rsid w:val="00F07373"/>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5747"/>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1E55"/>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 w:val="00FF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91C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266B4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66B41"/>
    <w:rPr>
      <w:rFonts w:ascii="Times New Roman" w:eastAsia="Arial Unicode MS" w:hAnsi="Times New Roman" w:cs="Times New Roman"/>
      <w:sz w:val="16"/>
      <w:szCs w:val="16"/>
      <w:bdr w:val="nil"/>
      <w:lang w:val="en-US"/>
    </w:rPr>
  </w:style>
  <w:style w:type="paragraph" w:styleId="prastasiniatinklio">
    <w:name w:val="Normal (Web)"/>
    <w:basedOn w:val="prastasis"/>
    <w:uiPriority w:val="99"/>
    <w:unhideWhenUsed/>
    <w:rsid w:val="004843E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4A1DA-8CB4-4ED6-977D-930DF6EA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24</Pages>
  <Words>45033</Words>
  <Characters>25670</Characters>
  <Application>Microsoft Office Word</Application>
  <DocSecurity>0</DocSecurity>
  <Lines>213</Lines>
  <Paragraphs>141</Paragraphs>
  <ScaleCrop>false</ScaleCrop>
  <HeadingPairs>
    <vt:vector size="6" baseType="variant">
      <vt:variant>
        <vt:lpstr>Pavadinimas</vt:lpstr>
      </vt:variant>
      <vt:variant>
        <vt:i4>1</vt:i4>
      </vt:variant>
      <vt:variant>
        <vt:lpstr>Antraštės</vt:lpstr>
      </vt:variant>
      <vt:variant>
        <vt:i4>29</vt:i4>
      </vt:variant>
      <vt:variant>
        <vt:lpstr>Title</vt:lpstr>
      </vt:variant>
      <vt:variant>
        <vt:i4>1</vt:i4>
      </vt:variant>
    </vt:vector>
  </HeadingPairs>
  <TitlesOfParts>
    <vt:vector size="3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PASIŪLYMŲ VERTINIMO KRITERIJAI</vt:lpstr>
      <vt:lpstr>BALŲ APSKAIČIAVIMAS</vt:lpstr>
      <vt:lpstr/>
      <vt:lpstr>Informavimas APIE VERTINIMO REZULTATUS </vt:lpstr>
      <vt:lpstr>2 PIRKIMO DALIS</vt:lpstr>
      <vt:lpstr>PASIŪLYMŲ VERTINIMO KRITERIJAI</vt:lpstr>
      <vt:lpstr>BALŲ APSKAIČIAVIMAS</vt:lpstr>
      <vt:lpstr/>
      <vt:lpstr>Informavimas APIE VERTINIMO REZULTATUS </vt:lpstr>
      <vt:lpstr/>
      <vt:lpstr>15. PASIŪLYMŲ EILĖ IR LAIMĖTOJO NUSTATYMAS</vt:lpstr>
      <vt:lpstr>16. PRETENZIJŲ IR SKUNDŲ NAGRINĖJIMAS</vt:lpstr>
      <vt:lpstr>17. PIRKIMO SUTARTIES PASIRAŠYMAS IR SĄLYGOS</vt:lpstr>
      <vt:lpstr>1 PIRKIMO DALIS</vt:lpstr>
      <vt:lpstr>2 PIRKIMO DALIS</vt:lpstr>
      <vt:lpstr/>
    </vt:vector>
  </TitlesOfParts>
  <Company/>
  <LinksUpToDate>false</LinksUpToDate>
  <CharactersWithSpaces>70562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216</cp:revision>
  <cp:lastPrinted>2024-03-22T12:28:00Z</cp:lastPrinted>
  <dcterms:created xsi:type="dcterms:W3CDTF">2023-11-14T08:29:00Z</dcterms:created>
  <dcterms:modified xsi:type="dcterms:W3CDTF">2025-11-24T20:39:00Z</dcterms:modified>
</cp:coreProperties>
</file>