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13004436"/>
        <w:docPartObj>
          <w:docPartGallery w:val="Cover Pages"/>
          <w:docPartUnique/>
        </w:docPartObj>
      </w:sdtPr>
      <w:sdtEndPr/>
      <w:sdtContent>
        <w:p w:rsidR="00D04FD4" w:rsidRDefault="00D04FD4">
          <w:pPr>
            <w:spacing w:after="120"/>
            <w:ind w:left="567" w:firstLine="0"/>
            <w:contextualSpacing/>
            <w:jc w:val="center"/>
            <w:rPr>
              <w:rFonts w:ascii="Arial" w:hAnsi="Arial" w:cs="Arial"/>
              <w:b/>
              <w:bCs/>
            </w:rPr>
          </w:pPr>
        </w:p>
        <w:p w:rsidR="00D04FD4" w:rsidRDefault="002309E4">
          <w:pPr>
            <w:spacing w:after="120"/>
            <w:ind w:left="567" w:firstLine="0"/>
            <w:contextualSpacing/>
            <w:jc w:val="center"/>
            <w:rPr>
              <w:rFonts w:ascii="Times New Roman" w:hAnsi="Times New Roman" w:cs="Times New Roman"/>
              <w:sz w:val="23"/>
              <w:szCs w:val="23"/>
            </w:rPr>
          </w:pPr>
          <w:r>
            <w:object w:dxaOrig="1037" w:dyaOrig="991">
              <v:shape id="ole_rId2" o:spid="_x0000_i1025" style="width:51.85pt;height:49.55pt" coordsize="" o:spt="100" adj="0,,0" path="" stroked="f">
                <v:stroke joinstyle="miter"/>
                <v:imagedata r:id="rId11" o:title=""/>
                <v:formulas/>
                <v:path o:connecttype="segments"/>
              </v:shape>
              <o:OLEObject Type="Embed" ProgID="Word.Picture.8" ShapeID="ole_rId2" DrawAspect="Content" ObjectID="_1825479410" r:id="rId12"/>
            </w:object>
          </w:r>
          <w:r>
            <w:rPr>
              <w:noProof/>
              <w:lang w:val="en-US" w:eastAsia="en-US"/>
            </w:rPr>
            <mc:AlternateContent>
              <mc:Choice Requires="wps">
                <w:drawing>
                  <wp:anchor distT="0" distB="0" distL="0" distR="0" simplePos="0" relativeHeight="2" behindDoc="0" locked="0" layoutInCell="1" allowOverlap="1" wp14:anchorId="2A448CC1">
                    <wp:simplePos x="0" y="0"/>
                    <wp:positionH relativeFrom="column">
                      <wp:posOffset>0</wp:posOffset>
                    </wp:positionH>
                    <wp:positionV relativeFrom="paragraph">
                      <wp:posOffset>635</wp:posOffset>
                    </wp:positionV>
                    <wp:extent cx="739775" cy="739775"/>
                    <wp:effectExtent l="0" t="0" r="0" b="0"/>
                    <wp:wrapNone/>
                    <wp:docPr id="1" name="_x005F_x0000_tole_rId2" hidden="1"/>
                    <wp:cNvGraphicFramePr/>
                    <a:graphic xmlns:a="http://schemas.openxmlformats.org/drawingml/2006/main">
                      <a:graphicData uri="http://schemas.microsoft.com/office/word/2010/wordprocessingShape">
                        <wps:wsp>
                          <wps:cNvSpPr/>
                          <wps:spPr>
                            <a:xfrm>
                              <a:off x="0" y="0"/>
                              <a:ext cx="739080" cy="7390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5F_x0000_tole_rId2" stroked="f" style="position:absolute;margin-left:0pt;margin-top:0.05pt;width:58.15pt;height:58.15pt" wp14:anchorId="2A448CC1">
                    <w10:wrap type="none"/>
                    <v:fill o:detectmouseclick="t" on="false"/>
                    <v:stroke color="#3465a4" joinstyle="round" endcap="flat"/>
                  </v:rect>
                </w:pict>
              </mc:Fallback>
            </mc:AlternateContent>
          </w:r>
          <w:r>
            <w:rPr>
              <w:noProof/>
              <w:lang w:val="en-US" w:eastAsia="en-US"/>
            </w:rPr>
            <mc:AlternateContent>
              <mc:Choice Requires="wps">
                <w:drawing>
                  <wp:anchor distT="0" distB="0" distL="0" distR="0" simplePos="0" relativeHeight="3" behindDoc="0" locked="0" layoutInCell="1" allowOverlap="1" wp14:anchorId="69A1F824">
                    <wp:simplePos x="0" y="0"/>
                    <wp:positionH relativeFrom="column">
                      <wp:posOffset>635</wp:posOffset>
                    </wp:positionH>
                    <wp:positionV relativeFrom="paragraph">
                      <wp:posOffset>635</wp:posOffset>
                    </wp:positionV>
                    <wp:extent cx="640080" cy="640080"/>
                    <wp:effectExtent l="0" t="0" r="0" b="0"/>
                    <wp:wrapNone/>
                    <wp:docPr id="2" name="shapetype_ole_rId2"/>
                    <wp:cNvGraphicFramePr/>
                    <a:graphic xmlns:a="http://schemas.openxmlformats.org/drawingml/2006/main">
                      <a:graphicData uri="http://schemas.microsoft.com/office/word/2010/wordprocessingShape">
                        <wps:wsp>
                          <wps:cNvSpPr/>
                          <wps:spPr>
                            <a:xfrm>
                              <a:off x="0" y="0"/>
                              <a:ext cx="639360" cy="6393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stroked="f" style="position:absolute;margin-left:0.05pt;margin-top:0.05pt;width:50.3pt;height:50.3pt" wp14:anchorId="69A1F824">
                    <w10:wrap type="none"/>
                    <v:fill o:detectmouseclick="t" on="false"/>
                    <v:stroke color="#3465a4" joinstyle="round" endcap="flat"/>
                  </v:rect>
                </w:pict>
              </mc:Fallback>
            </mc:AlternateContent>
          </w:r>
          <w:r>
            <w:rPr>
              <w:noProof/>
              <w:lang w:val="en-US" w:eastAsia="en-US"/>
            </w:rPr>
            <mc:AlternateContent>
              <mc:Choice Requires="wps">
                <w:drawing>
                  <wp:anchor distT="0" distB="0" distL="0" distR="0" simplePos="0" relativeHeight="4" behindDoc="0" locked="0" layoutInCell="1" allowOverlap="1" wp14:anchorId="35CEDE70">
                    <wp:simplePos x="0" y="0"/>
                    <wp:positionH relativeFrom="column">
                      <wp:posOffset>635</wp:posOffset>
                    </wp:positionH>
                    <wp:positionV relativeFrom="paragraph">
                      <wp:posOffset>635</wp:posOffset>
                    </wp:positionV>
                    <wp:extent cx="639445" cy="639445"/>
                    <wp:effectExtent l="0" t="0" r="0" b="0"/>
                    <wp:wrapNone/>
                    <wp:docPr id="3" name="shapetype_ole_rId2"/>
                    <wp:cNvGraphicFramePr/>
                    <a:graphic xmlns:a="http://schemas.openxmlformats.org/drawingml/2006/main">
                      <a:graphicData uri="http://schemas.microsoft.com/office/word/2010/wordprocessingShape">
                        <wps:wsp>
                          <wps:cNvSpPr/>
                          <wps:spPr>
                            <a:xfrm>
                              <a:off x="0" y="0"/>
                              <a:ext cx="638640" cy="6386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stroked="f" style="position:absolute;margin-left:0.05pt;margin-top:0.05pt;width:50.25pt;height:50.25pt" wp14:anchorId="35CEDE70">
                    <w10:wrap type="none"/>
                    <v:fill o:detectmouseclick="t" on="false"/>
                    <v:stroke color="#3465a4" joinstyle="round" endcap="flat"/>
                  </v:rect>
                </w:pict>
              </mc:Fallback>
            </mc:AlternateContent>
          </w:r>
          <w:r>
            <w:rPr>
              <w:noProof/>
              <w:lang w:val="en-US" w:eastAsia="en-US"/>
            </w:rPr>
            <mc:AlternateContent>
              <mc:Choice Requires="wps">
                <w:drawing>
                  <wp:anchor distT="0" distB="0" distL="0" distR="0" simplePos="0" relativeHeight="5" behindDoc="0" locked="0" layoutInCell="1" allowOverlap="1" wp14:anchorId="71FEE5DB">
                    <wp:simplePos x="0" y="0"/>
                    <wp:positionH relativeFrom="column">
                      <wp:posOffset>635</wp:posOffset>
                    </wp:positionH>
                    <wp:positionV relativeFrom="paragraph">
                      <wp:posOffset>635</wp:posOffset>
                    </wp:positionV>
                    <wp:extent cx="638810" cy="638810"/>
                    <wp:effectExtent l="0" t="0" r="0" b="0"/>
                    <wp:wrapNone/>
                    <wp:docPr id="4" name="shapetype_ole_rId2"/>
                    <wp:cNvGraphicFramePr/>
                    <a:graphic xmlns:a="http://schemas.openxmlformats.org/drawingml/2006/main">
                      <a:graphicData uri="http://schemas.microsoft.com/office/word/2010/wordprocessingShape">
                        <wps:wsp>
                          <wps:cNvSpPr/>
                          <wps:spPr>
                            <a:xfrm>
                              <a:off x="0" y="0"/>
                              <a:ext cx="638280" cy="6382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stroked="f" style="position:absolute;margin-left:0.05pt;margin-top:0.05pt;width:50.2pt;height:50.2pt" wp14:anchorId="71FEE5DB">
                    <w10:wrap type="none"/>
                    <v:fill o:detectmouseclick="t" on="false"/>
                    <v:stroke color="#3465a4" joinstyle="round" endcap="flat"/>
                  </v:rect>
                </w:pict>
              </mc:Fallback>
            </mc:AlternateContent>
          </w:r>
          <w:r>
            <w:rPr>
              <w:noProof/>
              <w:lang w:val="en-US" w:eastAsia="en-US"/>
            </w:rPr>
            <mc:AlternateContent>
              <mc:Choice Requires="wps">
                <w:drawing>
                  <wp:anchor distT="0" distB="0" distL="0" distR="0" simplePos="0" relativeHeight="6" behindDoc="0" locked="0" layoutInCell="1" allowOverlap="1" wp14:anchorId="51EE1143">
                    <wp:simplePos x="0" y="0"/>
                    <wp:positionH relativeFrom="column">
                      <wp:posOffset>635</wp:posOffset>
                    </wp:positionH>
                    <wp:positionV relativeFrom="paragraph">
                      <wp:posOffset>635</wp:posOffset>
                    </wp:positionV>
                    <wp:extent cx="638175" cy="638175"/>
                    <wp:effectExtent l="0" t="0" r="0" b="0"/>
                    <wp:wrapNone/>
                    <wp:docPr id="5" name="shapetype_ole_rId2"/>
                    <wp:cNvGraphicFramePr/>
                    <a:graphic xmlns:a="http://schemas.openxmlformats.org/drawingml/2006/main">
                      <a:graphicData uri="http://schemas.microsoft.com/office/word/2010/wordprocessingShape">
                        <wps:wsp>
                          <wps:cNvSpPr/>
                          <wps:spPr>
                            <a:xfrm>
                              <a:off x="0" y="0"/>
                              <a:ext cx="637560" cy="6375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stroked="f" style="position:absolute;margin-left:0.05pt;margin-top:0.05pt;width:50.15pt;height:50.15pt" wp14:anchorId="51EE1143">
                    <w10:wrap type="none"/>
                    <v:fill o:detectmouseclick="t" on="false"/>
                    <v:stroke color="#3465a4" joinstyle="round" endcap="flat"/>
                  </v:rect>
                </w:pict>
              </mc:Fallback>
            </mc:AlternateContent>
          </w:r>
          <w:r>
            <w:rPr>
              <w:noProof/>
              <w:lang w:val="en-US" w:eastAsia="en-US"/>
            </w:rPr>
            <mc:AlternateContent>
              <mc:Choice Requires="wps">
                <w:drawing>
                  <wp:anchor distT="0" distB="0" distL="0" distR="0" simplePos="0" relativeHeight="7" behindDoc="0" locked="0" layoutInCell="1" allowOverlap="1" wp14:anchorId="738B01F6">
                    <wp:simplePos x="0" y="0"/>
                    <wp:positionH relativeFrom="column">
                      <wp:posOffset>0</wp:posOffset>
                    </wp:positionH>
                    <wp:positionV relativeFrom="paragraph">
                      <wp:posOffset>635</wp:posOffset>
                    </wp:positionV>
                    <wp:extent cx="635635" cy="635635"/>
                    <wp:effectExtent l="0" t="0" r="3175" b="3175"/>
                    <wp:wrapNone/>
                    <wp:docPr id="6" name="Stačiakampis 10"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tačiakampis 10" stroked="f" style="position:absolute;margin-left:0pt;margin-top:0pt;width:49.95pt;height:49.95pt" wp14:anchorId="738B01F6">
                    <w10:wrap type="none"/>
                    <v:fill o:detectmouseclick="t" on="false"/>
                    <v:stroke color="#3465a4" joinstyle="round" endcap="flat"/>
                  </v:rect>
                </w:pict>
              </mc:Fallback>
            </mc:AlternateContent>
          </w:r>
          <w:r>
            <w:rPr>
              <w:noProof/>
              <w:lang w:val="en-US" w:eastAsia="en-US"/>
            </w:rPr>
            <mc:AlternateContent>
              <mc:Choice Requires="wps">
                <w:drawing>
                  <wp:anchor distT="0" distB="0" distL="0" distR="0" simplePos="0" relativeHeight="8" behindDoc="0" locked="0" layoutInCell="1" allowOverlap="1" wp14:anchorId="46CBF212">
                    <wp:simplePos x="0" y="0"/>
                    <wp:positionH relativeFrom="column">
                      <wp:posOffset>635</wp:posOffset>
                    </wp:positionH>
                    <wp:positionV relativeFrom="paragraph">
                      <wp:posOffset>635</wp:posOffset>
                    </wp:positionV>
                    <wp:extent cx="636270" cy="636270"/>
                    <wp:effectExtent l="0" t="0" r="0" b="0"/>
                    <wp:wrapNone/>
                    <wp:docPr id="7" name="shapetype_ole_rId2"/>
                    <wp:cNvGraphicFramePr/>
                    <a:graphic xmlns:a="http://schemas.openxmlformats.org/drawingml/2006/main">
                      <a:graphicData uri="http://schemas.microsoft.com/office/word/2010/wordprocessingShape">
                        <wps:wsp>
                          <wps:cNvSpPr/>
                          <wps:spPr>
                            <a:xfrm>
                              <a:off x="0" y="0"/>
                              <a:ext cx="635760" cy="6357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stroked="f" style="position:absolute;margin-left:0.05pt;margin-top:0.05pt;width:50pt;height:50pt" wp14:anchorId="46CBF212">
                    <w10:wrap type="none"/>
                    <v:fill o:detectmouseclick="t" on="false"/>
                    <v:stroke color="#3465a4" joinstyle="round" endcap="flat"/>
                  </v:rect>
                </w:pict>
              </mc:Fallback>
            </mc:AlternateContent>
          </w:r>
          <w:r>
            <w:rPr>
              <w:noProof/>
              <w:lang w:val="en-US" w:eastAsia="en-US"/>
            </w:rPr>
            <mc:AlternateContent>
              <mc:Choice Requires="wps">
                <w:drawing>
                  <wp:anchor distT="0" distB="0" distL="0" distR="0" simplePos="0" relativeHeight="9" behindDoc="0" locked="0" layoutInCell="1" allowOverlap="1" wp14:anchorId="1BF7576E">
                    <wp:simplePos x="0" y="0"/>
                    <wp:positionH relativeFrom="column">
                      <wp:posOffset>635</wp:posOffset>
                    </wp:positionH>
                    <wp:positionV relativeFrom="paragraph">
                      <wp:posOffset>635</wp:posOffset>
                    </wp:positionV>
                    <wp:extent cx="637540" cy="637540"/>
                    <wp:effectExtent l="0" t="0" r="0" b="0"/>
                    <wp:wrapNone/>
                    <wp:docPr id="8" name="shapetype_ole_rId2"/>
                    <wp:cNvGraphicFramePr/>
                    <a:graphic xmlns:a="http://schemas.openxmlformats.org/drawingml/2006/main">
                      <a:graphicData uri="http://schemas.microsoft.com/office/word/2010/wordprocessingShape">
                        <wps:wsp>
                          <wps:cNvSpPr/>
                          <wps:spPr>
                            <a:xfrm>
                              <a:off x="0" y="0"/>
                              <a:ext cx="636840" cy="6368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stroked="f" style="position:absolute;margin-left:0.05pt;margin-top:0.05pt;width:50.1pt;height:50.1pt" wp14:anchorId="1BF7576E">
                    <w10:wrap type="none"/>
                    <v:fill o:detectmouseclick="t" on="false"/>
                    <v:stroke color="#3465a4" joinstyle="round" endcap="flat"/>
                  </v:rect>
                </w:pict>
              </mc:Fallback>
            </mc:AlternateContent>
          </w:r>
        </w:p>
        <w:p w:rsidR="00D04FD4" w:rsidRDefault="00D04FD4">
          <w:pPr>
            <w:spacing w:line="240" w:lineRule="auto"/>
            <w:jc w:val="center"/>
            <w:rPr>
              <w:rFonts w:ascii="Times New Roman" w:hAnsi="Times New Roman" w:cs="Times New Roman"/>
              <w:sz w:val="23"/>
              <w:szCs w:val="23"/>
            </w:rPr>
          </w:pPr>
        </w:p>
        <w:p w:rsidR="00D04FD4" w:rsidRDefault="002309E4">
          <w:pPr>
            <w:tabs>
              <w:tab w:val="left" w:pos="5103"/>
              <w:tab w:val="left" w:pos="5387"/>
              <w:tab w:val="left" w:pos="7371"/>
              <w:tab w:val="left" w:pos="7938"/>
              <w:tab w:val="left" w:pos="9356"/>
            </w:tabs>
            <w:spacing w:line="240" w:lineRule="auto"/>
            <w:jc w:val="center"/>
            <w:rPr>
              <w:rFonts w:ascii="Times New Roman" w:hAnsi="Times New Roman" w:cs="Times New Roman"/>
              <w:sz w:val="23"/>
              <w:szCs w:val="23"/>
            </w:rPr>
          </w:pPr>
          <w:r>
            <w:rPr>
              <w:rFonts w:ascii="Times New Roman" w:hAnsi="Times New Roman" w:cs="Times New Roman"/>
              <w:b/>
              <w:bCs/>
              <w:kern w:val="2"/>
              <w:sz w:val="23"/>
              <w:szCs w:val="23"/>
              <w:lang w:eastAsia="zh-CN"/>
            </w:rPr>
            <w:t xml:space="preserve">POLICIJOS DEPARTAMENTAS </w:t>
          </w:r>
        </w:p>
        <w:p w:rsidR="00D04FD4" w:rsidRDefault="002309E4">
          <w:pPr>
            <w:spacing w:line="240" w:lineRule="auto"/>
            <w:jc w:val="center"/>
            <w:rPr>
              <w:rFonts w:ascii="Times New Roman" w:hAnsi="Times New Roman" w:cs="Times New Roman"/>
              <w:sz w:val="23"/>
              <w:szCs w:val="23"/>
            </w:rPr>
          </w:pPr>
          <w:r>
            <w:rPr>
              <w:rFonts w:ascii="Times New Roman" w:hAnsi="Times New Roman" w:cs="Times New Roman"/>
              <w:b/>
              <w:bCs/>
              <w:sz w:val="23"/>
              <w:szCs w:val="23"/>
            </w:rPr>
            <w:t>PRIE LIETUVOS RESPUBLIKOS VIDAUS REIKALŲ MINISTERIJOS</w:t>
          </w:r>
        </w:p>
        <w:p w:rsidR="00D04FD4" w:rsidRDefault="00D04FD4">
          <w:pPr>
            <w:spacing w:after="120"/>
            <w:ind w:left="567" w:firstLine="0"/>
            <w:contextualSpacing/>
            <w:jc w:val="center"/>
            <w:rPr>
              <w:rFonts w:ascii="Arial" w:hAnsi="Arial" w:cs="Arial"/>
              <w:color w:val="00B050"/>
            </w:rPr>
          </w:pPr>
        </w:p>
        <w:p w:rsidR="00D04FD4" w:rsidRDefault="00D04FD4">
          <w:pPr>
            <w:spacing w:after="120"/>
            <w:ind w:left="567" w:firstLine="0"/>
            <w:contextualSpacing/>
            <w:jc w:val="center"/>
            <w:rPr>
              <w:rFonts w:ascii="Arial" w:hAnsi="Arial" w:cs="Arial"/>
              <w:color w:val="00B050"/>
            </w:rPr>
          </w:pPr>
        </w:p>
        <w:p w:rsidR="00D04FD4" w:rsidRDefault="00D04FD4">
          <w:pPr>
            <w:spacing w:after="120"/>
            <w:ind w:left="567" w:firstLine="0"/>
            <w:contextualSpacing/>
            <w:jc w:val="center"/>
            <w:rPr>
              <w:rFonts w:ascii="Arial" w:hAnsi="Arial" w:cs="Arial"/>
            </w:rPr>
          </w:pPr>
        </w:p>
        <w:p w:rsidR="00D04FD4" w:rsidRDefault="00D04FD4">
          <w:pPr>
            <w:spacing w:after="120"/>
            <w:ind w:left="567" w:firstLine="0"/>
            <w:contextualSpacing/>
            <w:jc w:val="center"/>
            <w:rPr>
              <w:rFonts w:cstheme="minorHAnsi"/>
              <w:sz w:val="28"/>
              <w:szCs w:val="28"/>
            </w:rPr>
          </w:pPr>
        </w:p>
        <w:p w:rsidR="00D04FD4" w:rsidRDefault="00D04FD4">
          <w:pPr>
            <w:spacing w:after="120"/>
            <w:ind w:left="567" w:firstLine="0"/>
            <w:contextualSpacing/>
            <w:jc w:val="center"/>
            <w:rPr>
              <w:rFonts w:cstheme="minorHAnsi"/>
              <w:sz w:val="28"/>
              <w:szCs w:val="28"/>
            </w:rPr>
          </w:pPr>
        </w:p>
        <w:p w:rsidR="00D04FD4" w:rsidRDefault="002309E4">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MAŽOS VERTĖS VIEŠOJO PIRKIMO „TARNYBINIŲ KELIONIŲ UŽSIENYJE ORGANIZAVIMO PASLAUGOS“</w:t>
          </w:r>
        </w:p>
        <w:p w:rsidR="00D04FD4" w:rsidRDefault="002309E4">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SKELBIAMOS APKLAUSOS SPECIALIOSIOS SĄLYGOS </w:t>
          </w:r>
        </w:p>
      </w:sdtContent>
    </w:sdt>
    <w:tbl>
      <w:tblPr>
        <w:tblpPr w:leftFromText="180" w:rightFromText="180" w:vertAnchor="text" w:horzAnchor="margin" w:tblpY="7264"/>
        <w:tblW w:w="9986" w:type="dxa"/>
        <w:tblLook w:val="0000" w:firstRow="0" w:lastRow="0" w:firstColumn="0" w:lastColumn="0" w:noHBand="0" w:noVBand="0"/>
      </w:tblPr>
      <w:tblGrid>
        <w:gridCol w:w="1980"/>
        <w:gridCol w:w="2330"/>
        <w:gridCol w:w="3330"/>
        <w:gridCol w:w="2346"/>
      </w:tblGrid>
      <w:tr w:rsidR="00D04FD4">
        <w:trPr>
          <w:trHeight w:val="850"/>
        </w:trPr>
        <w:tc>
          <w:tcPr>
            <w:tcW w:w="1983" w:type="dxa"/>
            <w:tcBorders>
              <w:top w:val="single" w:sz="4" w:space="0" w:color="000000"/>
            </w:tcBorders>
            <w:shd w:val="clear" w:color="auto" w:fill="auto"/>
          </w:tcPr>
          <w:p w:rsidR="00D04FD4" w:rsidRDefault="002309E4">
            <w:pPr>
              <w:widowControl w:val="0"/>
              <w:tabs>
                <w:tab w:val="center" w:pos="4153"/>
                <w:tab w:val="center" w:pos="4513"/>
                <w:tab w:val="right" w:pos="8306"/>
                <w:tab w:val="right" w:pos="8931"/>
                <w:tab w:val="right" w:pos="9026"/>
              </w:tabs>
              <w:spacing w:line="240" w:lineRule="auto"/>
              <w:ind w:firstLine="0"/>
              <w:rPr>
                <w:rFonts w:ascii="Times New Roman" w:hAnsi="Times New Roman" w:cs="Times New Roman"/>
                <w:sz w:val="23"/>
                <w:szCs w:val="23"/>
              </w:rPr>
            </w:pPr>
            <w:r>
              <w:rPr>
                <w:rFonts w:ascii="Times New Roman" w:hAnsi="Times New Roman" w:cs="Times New Roman"/>
                <w:sz w:val="23"/>
                <w:szCs w:val="23"/>
              </w:rPr>
              <w:t>Biudžetinė įstaiga</w:t>
            </w:r>
          </w:p>
          <w:p w:rsidR="00D04FD4" w:rsidRDefault="002309E4">
            <w:pPr>
              <w:widowControl w:val="0"/>
              <w:tabs>
                <w:tab w:val="right" w:pos="2247"/>
                <w:tab w:val="center" w:pos="4513"/>
                <w:tab w:val="right" w:pos="9026"/>
              </w:tabs>
              <w:spacing w:line="240" w:lineRule="auto"/>
              <w:ind w:firstLine="0"/>
              <w:rPr>
                <w:rFonts w:ascii="Times New Roman" w:hAnsi="Times New Roman" w:cs="Times New Roman"/>
                <w:sz w:val="23"/>
                <w:szCs w:val="23"/>
              </w:rPr>
            </w:pPr>
            <w:r>
              <w:rPr>
                <w:rFonts w:ascii="Times New Roman" w:hAnsi="Times New Roman" w:cs="Times New Roman"/>
                <w:sz w:val="23"/>
                <w:szCs w:val="23"/>
              </w:rPr>
              <w:t>Saltoniškių g. 19</w:t>
            </w:r>
          </w:p>
          <w:p w:rsidR="00D04FD4" w:rsidRDefault="002309E4">
            <w:pPr>
              <w:widowControl w:val="0"/>
              <w:tabs>
                <w:tab w:val="right" w:pos="2247"/>
                <w:tab w:val="center" w:pos="4513"/>
                <w:tab w:val="right" w:pos="9026"/>
              </w:tabs>
              <w:spacing w:line="240" w:lineRule="auto"/>
              <w:ind w:firstLine="0"/>
              <w:rPr>
                <w:rFonts w:ascii="Times New Roman" w:hAnsi="Times New Roman" w:cs="Times New Roman"/>
                <w:sz w:val="23"/>
                <w:szCs w:val="23"/>
              </w:rPr>
            </w:pPr>
            <w:r>
              <w:rPr>
                <w:rFonts w:ascii="Times New Roman" w:hAnsi="Times New Roman" w:cs="Times New Roman"/>
                <w:sz w:val="23"/>
                <w:szCs w:val="23"/>
              </w:rPr>
              <w:t>LT-08106 Vilnius</w:t>
            </w:r>
          </w:p>
        </w:tc>
        <w:tc>
          <w:tcPr>
            <w:tcW w:w="2332" w:type="dxa"/>
            <w:tcBorders>
              <w:top w:val="single" w:sz="4" w:space="0" w:color="000000"/>
            </w:tcBorders>
            <w:shd w:val="clear" w:color="auto" w:fill="auto"/>
          </w:tcPr>
          <w:p w:rsidR="00D04FD4" w:rsidRDefault="002309E4">
            <w:pPr>
              <w:widowControl w:val="0"/>
              <w:spacing w:line="240" w:lineRule="auto"/>
              <w:ind w:firstLine="0"/>
              <w:rPr>
                <w:rFonts w:ascii="Times New Roman" w:hAnsi="Times New Roman" w:cs="Times New Roman"/>
                <w:sz w:val="23"/>
                <w:szCs w:val="23"/>
              </w:rPr>
            </w:pPr>
            <w:r>
              <w:rPr>
                <w:rFonts w:ascii="Times New Roman" w:hAnsi="Times New Roman" w:cs="Times New Roman"/>
                <w:sz w:val="23"/>
                <w:szCs w:val="23"/>
              </w:rPr>
              <w:t>Tel. +370 700  60 000</w:t>
            </w:r>
          </w:p>
          <w:p w:rsidR="00D04FD4" w:rsidRDefault="002309E4">
            <w:pPr>
              <w:widowControl w:val="0"/>
              <w:spacing w:line="240" w:lineRule="auto"/>
              <w:ind w:firstLine="0"/>
              <w:rPr>
                <w:rFonts w:ascii="Times New Roman" w:hAnsi="Times New Roman" w:cs="Times New Roman"/>
                <w:sz w:val="23"/>
                <w:szCs w:val="23"/>
              </w:rPr>
            </w:pPr>
            <w:r>
              <w:rPr>
                <w:rFonts w:ascii="Times New Roman" w:hAnsi="Times New Roman" w:cs="Times New Roman"/>
                <w:sz w:val="23"/>
                <w:szCs w:val="23"/>
              </w:rPr>
              <w:t>El. p. info@policija.lt</w:t>
            </w:r>
          </w:p>
        </w:tc>
        <w:tc>
          <w:tcPr>
            <w:tcW w:w="3338" w:type="dxa"/>
            <w:tcBorders>
              <w:top w:val="single" w:sz="4" w:space="0" w:color="000000"/>
            </w:tcBorders>
            <w:shd w:val="clear" w:color="auto" w:fill="auto"/>
          </w:tcPr>
          <w:p w:rsidR="00D04FD4" w:rsidRDefault="002309E4">
            <w:pPr>
              <w:widowControl w:val="0"/>
              <w:tabs>
                <w:tab w:val="center" w:pos="4153"/>
                <w:tab w:val="center" w:pos="4513"/>
                <w:tab w:val="right" w:pos="8306"/>
                <w:tab w:val="right" w:pos="8931"/>
                <w:tab w:val="right" w:pos="9026"/>
              </w:tabs>
              <w:spacing w:line="240" w:lineRule="auto"/>
              <w:ind w:firstLine="0"/>
              <w:rPr>
                <w:rFonts w:ascii="Times New Roman" w:hAnsi="Times New Roman" w:cs="Times New Roman"/>
                <w:sz w:val="23"/>
                <w:szCs w:val="23"/>
              </w:rPr>
            </w:pPr>
            <w:r>
              <w:rPr>
                <w:rFonts w:ascii="Times New Roman" w:hAnsi="Times New Roman" w:cs="Times New Roman"/>
                <w:sz w:val="23"/>
                <w:szCs w:val="23"/>
              </w:rPr>
              <w:t>Duomenys kaupiami ir saugomi Juridinių asmenų registre</w:t>
            </w:r>
          </w:p>
          <w:p w:rsidR="00D04FD4" w:rsidRDefault="002309E4">
            <w:pPr>
              <w:widowControl w:val="0"/>
              <w:tabs>
                <w:tab w:val="center" w:pos="4153"/>
                <w:tab w:val="center" w:pos="4513"/>
                <w:tab w:val="right" w:pos="8306"/>
                <w:tab w:val="right" w:pos="8931"/>
                <w:tab w:val="right" w:pos="9026"/>
              </w:tabs>
              <w:spacing w:line="240" w:lineRule="auto"/>
              <w:ind w:firstLine="0"/>
              <w:rPr>
                <w:rFonts w:ascii="Times New Roman" w:hAnsi="Times New Roman" w:cs="Times New Roman"/>
                <w:sz w:val="23"/>
                <w:szCs w:val="23"/>
              </w:rPr>
            </w:pPr>
            <w:r>
              <w:rPr>
                <w:rFonts w:ascii="Times New Roman" w:hAnsi="Times New Roman" w:cs="Times New Roman"/>
                <w:sz w:val="23"/>
                <w:szCs w:val="23"/>
              </w:rPr>
              <w:t>Kodas 188785847</w:t>
            </w:r>
          </w:p>
        </w:tc>
        <w:tc>
          <w:tcPr>
            <w:tcW w:w="2332" w:type="dxa"/>
            <w:tcBorders>
              <w:top w:val="single" w:sz="4" w:space="0" w:color="000000"/>
            </w:tcBorders>
            <w:shd w:val="clear" w:color="auto" w:fill="auto"/>
          </w:tcPr>
          <w:p w:rsidR="00D04FD4" w:rsidRDefault="002309E4">
            <w:pPr>
              <w:widowControl w:val="0"/>
              <w:tabs>
                <w:tab w:val="center" w:pos="4153"/>
                <w:tab w:val="center" w:pos="4513"/>
                <w:tab w:val="right" w:pos="8306"/>
                <w:tab w:val="right" w:pos="8931"/>
                <w:tab w:val="right" w:pos="9026"/>
              </w:tabs>
              <w:spacing w:line="240" w:lineRule="auto"/>
              <w:ind w:firstLine="0"/>
              <w:rPr>
                <w:rFonts w:ascii="Times New Roman" w:hAnsi="Times New Roman" w:cs="Times New Roman"/>
                <w:sz w:val="23"/>
                <w:szCs w:val="23"/>
              </w:rPr>
            </w:pPr>
            <w:r>
              <w:rPr>
                <w:noProof/>
                <w:lang w:val="en-US" w:eastAsia="en-US"/>
              </w:rPr>
              <w:drawing>
                <wp:inline distT="0" distB="0" distL="0" distR="0">
                  <wp:extent cx="1352550" cy="342900"/>
                  <wp:effectExtent l="0" t="0" r="0" b="0"/>
                  <wp:docPr id="9"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as1"/>
                          <pic:cNvPicPr>
                            <a:picLocks noChangeAspect="1" noChangeArrowheads="1"/>
                          </pic:cNvPicPr>
                        </pic:nvPicPr>
                        <pic:blipFill>
                          <a:blip r:embed="rId13"/>
                          <a:stretch>
                            <a:fillRect/>
                          </a:stretch>
                        </pic:blipFill>
                        <pic:spPr bwMode="auto">
                          <a:xfrm>
                            <a:off x="0" y="0"/>
                            <a:ext cx="1352550" cy="342900"/>
                          </a:xfrm>
                          <a:prstGeom prst="rect">
                            <a:avLst/>
                          </a:prstGeom>
                        </pic:spPr>
                      </pic:pic>
                    </a:graphicData>
                  </a:graphic>
                </wp:inline>
              </w:drawing>
            </w:r>
          </w:p>
        </w:tc>
      </w:tr>
    </w:tbl>
    <w:p w:rsidR="00D04FD4" w:rsidRDefault="002309E4">
      <w:pPr>
        <w:spacing w:after="120" w:line="240" w:lineRule="auto"/>
        <w:ind w:left="567" w:firstLine="0"/>
        <w:contextualSpacing/>
        <w:jc w:val="center"/>
        <w:rPr>
          <w:rFonts w:ascii="Arial" w:hAnsi="Arial" w:cs="Arial"/>
        </w:rPr>
      </w:pPr>
      <w:r>
        <w:rPr>
          <w:rFonts w:ascii="Times New Roman" w:hAnsi="Times New Roman" w:cs="Times New Roman"/>
          <w:b/>
          <w:bCs/>
          <w:sz w:val="28"/>
          <w:szCs w:val="28"/>
        </w:rPr>
        <w:t>Versija Nr. 1</w:t>
      </w:r>
    </w:p>
    <w:sdt>
      <w:sdtPr>
        <w:rPr>
          <w:rFonts w:asciiTheme="minorHAnsi" w:eastAsiaTheme="minorEastAsia" w:hAnsiTheme="minorHAnsi" w:cstheme="minorBidi"/>
          <w:color w:val="auto"/>
          <w:sz w:val="21"/>
          <w:szCs w:val="21"/>
        </w:rPr>
        <w:id w:val="246536004"/>
        <w:docPartObj>
          <w:docPartGallery w:val="Table of Contents"/>
          <w:docPartUnique/>
        </w:docPartObj>
      </w:sdtPr>
      <w:sdtEndPr/>
      <w:sdtContent>
        <w:p w:rsidR="00D04FD4" w:rsidRDefault="002309E4">
          <w:pPr>
            <w:pStyle w:val="TOCHeading"/>
            <w:tabs>
              <w:tab w:val="left" w:pos="6555"/>
            </w:tabs>
            <w:rPr>
              <w:rFonts w:asciiTheme="minorHAnsi" w:hAnsiTheme="minorHAnsi" w:cstheme="minorHAnsi"/>
            </w:rPr>
          </w:pPr>
          <w:r>
            <w:rPr>
              <w:rFonts w:asciiTheme="minorHAnsi" w:hAnsiTheme="minorHAnsi" w:cstheme="minorHAnsi"/>
            </w:rPr>
            <w:t>TURINYS</w:t>
          </w:r>
          <w:r>
            <w:rPr>
              <w:rFonts w:asciiTheme="minorHAnsi" w:hAnsiTheme="minorHAnsi" w:cstheme="minorHAnsi"/>
            </w:rPr>
            <w:tab/>
          </w:r>
        </w:p>
        <w:p w:rsidR="00D04FD4" w:rsidRDefault="002309E4">
          <w:pPr>
            <w:pStyle w:val="TOC1"/>
            <w:rPr>
              <w:sz w:val="22"/>
              <w:szCs w:val="22"/>
              <w:lang w:val="en-US" w:eastAsia="en-US"/>
            </w:rPr>
          </w:pPr>
          <w:r>
            <w:fldChar w:fldCharType="begin"/>
          </w:r>
          <w:r>
            <w:rPr>
              <w:rStyle w:val="Rodyklssaitas"/>
              <w:rFonts w:cs="Calibri"/>
              <w:webHidden/>
            </w:rPr>
            <w:instrText>TOC \z \o "1-3" \u \h</w:instrText>
          </w:r>
          <w:r>
            <w:rPr>
              <w:rStyle w:val="Rodyklssaitas"/>
              <w:rFonts w:cs="Calibri"/>
            </w:rPr>
            <w:fldChar w:fldCharType="separate"/>
          </w:r>
          <w:hyperlink w:anchor="_Toc137194947">
            <w:r>
              <w:rPr>
                <w:rStyle w:val="Rodyklssaitas"/>
                <w:rFonts w:cstheme="minorHAnsi"/>
                <w:webHidden/>
              </w:rPr>
              <w:t>1.</w:t>
            </w:r>
            <w:r>
              <w:rPr>
                <w:rStyle w:val="Rodyklssaitas"/>
                <w:sz w:val="22"/>
                <w:szCs w:val="22"/>
                <w:lang w:val="en-US" w:eastAsia="en-US"/>
              </w:rPr>
              <w:tab/>
            </w:r>
            <w:r>
              <w:rPr>
                <w:rStyle w:val="Rodyklssaitas"/>
                <w:rFonts w:cstheme="minorHAnsi"/>
              </w:rPr>
              <w:t>Bendra informacija</w:t>
            </w:r>
            <w:r>
              <w:rPr>
                <w:webHidden/>
              </w:rPr>
              <w:fldChar w:fldCharType="begin"/>
            </w:r>
            <w:r>
              <w:rPr>
                <w:webHidden/>
              </w:rPr>
              <w:instrText>PAGEREF _Toc137194947 \h</w:instrText>
            </w:r>
            <w:r>
              <w:rPr>
                <w:webHidden/>
              </w:rPr>
            </w:r>
            <w:r>
              <w:rPr>
                <w:webHidden/>
              </w:rPr>
              <w:fldChar w:fldCharType="separate"/>
            </w:r>
            <w:r>
              <w:rPr>
                <w:rStyle w:val="Rodyklssaitas"/>
              </w:rPr>
              <w:tab/>
            </w:r>
            <w:r w:rsidR="002A29F3">
              <w:rPr>
                <w:rStyle w:val="Rodyklssaitas"/>
              </w:rPr>
              <w:t>2</w:t>
            </w:r>
            <w:r>
              <w:rPr>
                <w:webHidden/>
              </w:rPr>
              <w:fldChar w:fldCharType="end"/>
            </w:r>
          </w:hyperlink>
        </w:p>
        <w:p w:rsidR="00D04FD4" w:rsidRDefault="00B65130">
          <w:pPr>
            <w:pStyle w:val="TOC1"/>
            <w:rPr>
              <w:sz w:val="22"/>
              <w:szCs w:val="22"/>
              <w:lang w:val="en-US" w:eastAsia="en-US"/>
            </w:rPr>
          </w:pPr>
          <w:hyperlink w:anchor="_Toc137194948">
            <w:r w:rsidR="002309E4">
              <w:rPr>
                <w:rStyle w:val="Rodyklssaitas"/>
                <w:rFonts w:eastAsia="Calibri" w:cstheme="minorHAnsi"/>
                <w:webHidden/>
              </w:rPr>
              <w:t>2.</w:t>
            </w:r>
            <w:r w:rsidR="002309E4">
              <w:rPr>
                <w:rStyle w:val="Rodyklssaitas"/>
                <w:sz w:val="22"/>
                <w:szCs w:val="22"/>
                <w:lang w:val="en-US" w:eastAsia="en-US"/>
              </w:rPr>
              <w:tab/>
            </w:r>
            <w:r w:rsidR="002309E4">
              <w:rPr>
                <w:rStyle w:val="Rodyklssaitas"/>
                <w:rFonts w:cstheme="minorHAnsi"/>
              </w:rPr>
              <w:t>Pirkimo objektas</w:t>
            </w:r>
            <w:r w:rsidR="002309E4">
              <w:rPr>
                <w:webHidden/>
              </w:rPr>
              <w:fldChar w:fldCharType="begin"/>
            </w:r>
            <w:r w:rsidR="002309E4">
              <w:rPr>
                <w:webHidden/>
              </w:rPr>
              <w:instrText>PAGEREF _Toc137194948 \h</w:instrText>
            </w:r>
            <w:r w:rsidR="002309E4">
              <w:rPr>
                <w:webHidden/>
              </w:rPr>
            </w:r>
            <w:r w:rsidR="002309E4">
              <w:rPr>
                <w:webHidden/>
              </w:rPr>
              <w:fldChar w:fldCharType="separate"/>
            </w:r>
            <w:r w:rsidR="002309E4">
              <w:rPr>
                <w:rStyle w:val="Rodyklssaitas"/>
              </w:rPr>
              <w:tab/>
            </w:r>
            <w:r w:rsidR="002A29F3">
              <w:rPr>
                <w:rStyle w:val="Rodyklssaitas"/>
              </w:rPr>
              <w:t>2</w:t>
            </w:r>
            <w:r w:rsidR="002309E4">
              <w:rPr>
                <w:webHidden/>
              </w:rPr>
              <w:fldChar w:fldCharType="end"/>
            </w:r>
          </w:hyperlink>
        </w:p>
        <w:p w:rsidR="00D04FD4" w:rsidRDefault="00B65130">
          <w:pPr>
            <w:pStyle w:val="TOC1"/>
            <w:rPr>
              <w:sz w:val="22"/>
              <w:szCs w:val="22"/>
              <w:lang w:val="en-US" w:eastAsia="en-US"/>
            </w:rPr>
          </w:pPr>
          <w:hyperlink w:anchor="_Toc137194949">
            <w:r w:rsidR="002309E4">
              <w:rPr>
                <w:rStyle w:val="Rodyklssaitas"/>
                <w:rFonts w:eastAsia="Calibri" w:cstheme="minorHAnsi"/>
                <w:webHidden/>
              </w:rPr>
              <w:t>3.</w:t>
            </w:r>
            <w:r w:rsidR="002309E4">
              <w:rPr>
                <w:rStyle w:val="Rodyklssaitas"/>
                <w:sz w:val="22"/>
                <w:szCs w:val="22"/>
                <w:lang w:val="en-US" w:eastAsia="en-US"/>
              </w:rPr>
              <w:tab/>
            </w:r>
            <w:r w:rsidR="002309E4">
              <w:rPr>
                <w:rStyle w:val="Rodyklssaitas"/>
                <w:rFonts w:cstheme="minorHAnsi"/>
              </w:rPr>
              <w:t>Tiekėjų pašalinimo pagrindai, kvalifikacijos reikalavimai ir reikalaujami kokybės vadybos sistemos ir (arba) aplinkos apsaugos vadybos sistemos standartai</w:t>
            </w:r>
            <w:r w:rsidR="002309E4">
              <w:rPr>
                <w:webHidden/>
              </w:rPr>
              <w:fldChar w:fldCharType="begin"/>
            </w:r>
            <w:r w:rsidR="002309E4">
              <w:rPr>
                <w:webHidden/>
              </w:rPr>
              <w:instrText>PAGEREF _Toc137194949 \h</w:instrText>
            </w:r>
            <w:r w:rsidR="002309E4">
              <w:rPr>
                <w:webHidden/>
              </w:rPr>
            </w:r>
            <w:r w:rsidR="002309E4">
              <w:rPr>
                <w:webHidden/>
              </w:rPr>
              <w:fldChar w:fldCharType="separate"/>
            </w:r>
            <w:r w:rsidR="002309E4">
              <w:rPr>
                <w:rStyle w:val="Rodyklssaitas"/>
              </w:rPr>
              <w:tab/>
            </w:r>
            <w:r w:rsidR="002A29F3">
              <w:rPr>
                <w:rStyle w:val="Rodyklssaitas"/>
              </w:rPr>
              <w:t>3</w:t>
            </w:r>
            <w:r w:rsidR="002309E4">
              <w:rPr>
                <w:webHidden/>
              </w:rPr>
              <w:fldChar w:fldCharType="end"/>
            </w:r>
          </w:hyperlink>
        </w:p>
        <w:p w:rsidR="00D04FD4" w:rsidRDefault="00B65130">
          <w:pPr>
            <w:pStyle w:val="TOC1"/>
            <w:rPr>
              <w:sz w:val="22"/>
              <w:szCs w:val="22"/>
              <w:lang w:val="en-US" w:eastAsia="en-US"/>
            </w:rPr>
          </w:pPr>
          <w:hyperlink w:anchor="_Toc137194950">
            <w:r w:rsidR="002309E4">
              <w:rPr>
                <w:rStyle w:val="Rodyklssaitas"/>
                <w:rFonts w:eastAsia="Calibri" w:cstheme="minorHAnsi"/>
                <w:webHidden/>
              </w:rPr>
              <w:t>4.</w:t>
            </w:r>
            <w:r w:rsidR="002309E4">
              <w:rPr>
                <w:rStyle w:val="Rodyklssaitas"/>
                <w:sz w:val="22"/>
                <w:szCs w:val="22"/>
                <w:lang w:val="en-US" w:eastAsia="en-US"/>
              </w:rPr>
              <w:tab/>
            </w:r>
            <w:r w:rsidR="002309E4">
              <w:rPr>
                <w:rStyle w:val="Rodyklssaitas"/>
                <w:rFonts w:cstheme="minorHAnsi"/>
              </w:rPr>
              <w:t>Reikalavimai, susiję su nacionaliniu saugumu</w:t>
            </w:r>
            <w:r w:rsidR="002309E4">
              <w:rPr>
                <w:webHidden/>
              </w:rPr>
              <w:fldChar w:fldCharType="begin"/>
            </w:r>
            <w:r w:rsidR="002309E4">
              <w:rPr>
                <w:webHidden/>
              </w:rPr>
              <w:instrText>PAGEREF _Toc137194950 \h</w:instrText>
            </w:r>
            <w:r w:rsidR="002309E4">
              <w:rPr>
                <w:webHidden/>
              </w:rPr>
            </w:r>
            <w:r w:rsidR="002309E4">
              <w:rPr>
                <w:webHidden/>
              </w:rPr>
              <w:fldChar w:fldCharType="separate"/>
            </w:r>
            <w:r w:rsidR="002309E4">
              <w:rPr>
                <w:rStyle w:val="Rodyklssaitas"/>
              </w:rPr>
              <w:tab/>
            </w:r>
            <w:r w:rsidR="002A29F3">
              <w:rPr>
                <w:rStyle w:val="Rodyklssaitas"/>
              </w:rPr>
              <w:t>3</w:t>
            </w:r>
            <w:r w:rsidR="002309E4">
              <w:rPr>
                <w:webHidden/>
              </w:rPr>
              <w:fldChar w:fldCharType="end"/>
            </w:r>
          </w:hyperlink>
        </w:p>
        <w:p w:rsidR="00D04FD4" w:rsidRDefault="00B65130">
          <w:pPr>
            <w:pStyle w:val="TOC1"/>
            <w:rPr>
              <w:sz w:val="22"/>
              <w:szCs w:val="22"/>
              <w:lang w:val="en-US" w:eastAsia="en-US"/>
            </w:rPr>
          </w:pPr>
          <w:hyperlink w:anchor="_Toc137194951">
            <w:r w:rsidR="002309E4">
              <w:rPr>
                <w:rStyle w:val="Rodyklssaitas"/>
                <w:rFonts w:eastAsia="Calibri" w:cstheme="minorHAnsi"/>
                <w:webHidden/>
              </w:rPr>
              <w:t>5.</w:t>
            </w:r>
            <w:r w:rsidR="002309E4">
              <w:rPr>
                <w:rStyle w:val="Rodyklssaitas"/>
                <w:sz w:val="22"/>
                <w:szCs w:val="22"/>
                <w:lang w:val="en-US" w:eastAsia="en-US"/>
              </w:rPr>
              <w:tab/>
            </w:r>
            <w:r w:rsidR="002309E4">
              <w:rPr>
                <w:rStyle w:val="Rodyklssaitas"/>
                <w:rFonts w:cstheme="minorHAnsi"/>
              </w:rPr>
              <w:t>Specialieji reikalavimai pasiūlymų rengimui ir pateikimui</w:t>
            </w:r>
            <w:r w:rsidR="002309E4">
              <w:rPr>
                <w:webHidden/>
              </w:rPr>
              <w:fldChar w:fldCharType="begin"/>
            </w:r>
            <w:r w:rsidR="002309E4">
              <w:rPr>
                <w:webHidden/>
              </w:rPr>
              <w:instrText>PAGEREF _Toc137194951 \h</w:instrText>
            </w:r>
            <w:r w:rsidR="002309E4">
              <w:rPr>
                <w:webHidden/>
              </w:rPr>
            </w:r>
            <w:r w:rsidR="002309E4">
              <w:rPr>
                <w:webHidden/>
              </w:rPr>
              <w:fldChar w:fldCharType="separate"/>
            </w:r>
            <w:r w:rsidR="002309E4">
              <w:rPr>
                <w:rStyle w:val="Rodyklssaitas"/>
              </w:rPr>
              <w:tab/>
            </w:r>
            <w:r w:rsidR="002A29F3">
              <w:rPr>
                <w:rStyle w:val="Rodyklssaitas"/>
              </w:rPr>
              <w:t>4</w:t>
            </w:r>
            <w:r w:rsidR="002309E4">
              <w:rPr>
                <w:webHidden/>
              </w:rPr>
              <w:fldChar w:fldCharType="end"/>
            </w:r>
          </w:hyperlink>
        </w:p>
        <w:p w:rsidR="00D04FD4" w:rsidRDefault="00B65130">
          <w:pPr>
            <w:pStyle w:val="TOC1"/>
            <w:rPr>
              <w:sz w:val="22"/>
              <w:szCs w:val="22"/>
              <w:lang w:val="en-US" w:eastAsia="en-US"/>
            </w:rPr>
          </w:pPr>
          <w:hyperlink w:anchor="_Toc137194952">
            <w:r w:rsidR="002309E4">
              <w:rPr>
                <w:rStyle w:val="Rodyklssaitas"/>
                <w:rFonts w:cstheme="minorHAnsi"/>
                <w:webHidden/>
              </w:rPr>
              <w:t>6.     Pasiūlymo galiojimo užtikrinimas</w:t>
            </w:r>
            <w:r w:rsidR="002309E4">
              <w:rPr>
                <w:webHidden/>
              </w:rPr>
              <w:fldChar w:fldCharType="begin"/>
            </w:r>
            <w:r w:rsidR="002309E4">
              <w:rPr>
                <w:webHidden/>
              </w:rPr>
              <w:instrText>PAGEREF _Toc137194952 \h</w:instrText>
            </w:r>
            <w:r w:rsidR="002309E4">
              <w:rPr>
                <w:webHidden/>
              </w:rPr>
            </w:r>
            <w:r w:rsidR="002309E4">
              <w:rPr>
                <w:webHidden/>
              </w:rPr>
              <w:fldChar w:fldCharType="separate"/>
            </w:r>
            <w:r w:rsidR="002309E4">
              <w:rPr>
                <w:rStyle w:val="Rodyklssaitas"/>
              </w:rPr>
              <w:tab/>
            </w:r>
            <w:r w:rsidR="002A29F3">
              <w:rPr>
                <w:rStyle w:val="Rodyklssaitas"/>
              </w:rPr>
              <w:t>4</w:t>
            </w:r>
            <w:r w:rsidR="002309E4">
              <w:rPr>
                <w:webHidden/>
              </w:rPr>
              <w:fldChar w:fldCharType="end"/>
            </w:r>
          </w:hyperlink>
        </w:p>
        <w:p w:rsidR="00D04FD4" w:rsidRDefault="00B65130">
          <w:pPr>
            <w:pStyle w:val="TOC1"/>
            <w:rPr>
              <w:sz w:val="22"/>
              <w:szCs w:val="22"/>
              <w:lang w:val="en-US" w:eastAsia="en-US"/>
            </w:rPr>
          </w:pPr>
          <w:hyperlink w:anchor="_Toc137194953">
            <w:r w:rsidR="002309E4">
              <w:rPr>
                <w:rStyle w:val="Rodyklssaitas"/>
                <w:rFonts w:cs="Arial"/>
                <w:webHidden/>
              </w:rPr>
              <w:t>7</w:t>
            </w:r>
            <w:r w:rsidR="002309E4">
              <w:rPr>
                <w:rStyle w:val="Rodyklssaitas"/>
                <w:rFonts w:ascii="Arial" w:hAnsi="Arial" w:cs="Arial"/>
              </w:rPr>
              <w:t>.</w:t>
            </w:r>
            <w:r w:rsidR="002309E4">
              <w:rPr>
                <w:rStyle w:val="Rodyklssaitas"/>
                <w:sz w:val="22"/>
                <w:szCs w:val="22"/>
                <w:lang w:val="en-US" w:eastAsia="en-US"/>
              </w:rPr>
              <w:tab/>
            </w:r>
            <w:r w:rsidR="002309E4">
              <w:rPr>
                <w:rStyle w:val="Rodyklssaitas"/>
                <w:rFonts w:cstheme="minorHAnsi"/>
              </w:rPr>
              <w:t>Pasiūlymų vertinimas</w:t>
            </w:r>
            <w:r w:rsidR="002309E4">
              <w:rPr>
                <w:webHidden/>
              </w:rPr>
              <w:fldChar w:fldCharType="begin"/>
            </w:r>
            <w:r w:rsidR="002309E4">
              <w:rPr>
                <w:webHidden/>
              </w:rPr>
              <w:instrText>PAGEREF _Toc137194953 \h</w:instrText>
            </w:r>
            <w:r w:rsidR="002309E4">
              <w:rPr>
                <w:webHidden/>
              </w:rPr>
            </w:r>
            <w:r w:rsidR="002309E4">
              <w:rPr>
                <w:webHidden/>
              </w:rPr>
              <w:fldChar w:fldCharType="separate"/>
            </w:r>
            <w:r w:rsidR="002309E4">
              <w:rPr>
                <w:rStyle w:val="Rodyklssaitas"/>
              </w:rPr>
              <w:tab/>
            </w:r>
            <w:r w:rsidR="002A29F3">
              <w:rPr>
                <w:rStyle w:val="Rodyklssaitas"/>
              </w:rPr>
              <w:t>5</w:t>
            </w:r>
            <w:r w:rsidR="002309E4">
              <w:rPr>
                <w:webHidden/>
              </w:rPr>
              <w:fldChar w:fldCharType="end"/>
            </w:r>
          </w:hyperlink>
        </w:p>
        <w:p w:rsidR="00D04FD4" w:rsidRDefault="00B65130">
          <w:pPr>
            <w:pStyle w:val="TOC1"/>
            <w:rPr>
              <w:sz w:val="22"/>
              <w:szCs w:val="22"/>
              <w:lang w:val="en-US" w:eastAsia="en-US"/>
            </w:rPr>
          </w:pPr>
          <w:hyperlink w:anchor="_Toc137194954">
            <w:r w:rsidR="002309E4">
              <w:rPr>
                <w:rStyle w:val="Rodyklssaitas"/>
                <w:rFonts w:cstheme="minorHAnsi"/>
                <w:webHidden/>
              </w:rPr>
              <w:t>8.     Sutarties sudarymas</w:t>
            </w:r>
            <w:r w:rsidR="002309E4">
              <w:rPr>
                <w:webHidden/>
              </w:rPr>
              <w:fldChar w:fldCharType="begin"/>
            </w:r>
            <w:r w:rsidR="002309E4">
              <w:rPr>
                <w:webHidden/>
              </w:rPr>
              <w:instrText>PAGEREF _Toc137194954 \h</w:instrText>
            </w:r>
            <w:r w:rsidR="002309E4">
              <w:rPr>
                <w:webHidden/>
              </w:rPr>
            </w:r>
            <w:r w:rsidR="002309E4">
              <w:rPr>
                <w:webHidden/>
              </w:rPr>
              <w:fldChar w:fldCharType="separate"/>
            </w:r>
            <w:r w:rsidR="002309E4">
              <w:rPr>
                <w:rStyle w:val="Rodyklssaitas"/>
              </w:rPr>
              <w:tab/>
            </w:r>
            <w:r w:rsidR="002A29F3">
              <w:rPr>
                <w:rStyle w:val="Rodyklssaitas"/>
              </w:rPr>
              <w:t>5</w:t>
            </w:r>
            <w:r w:rsidR="002309E4">
              <w:rPr>
                <w:webHidden/>
              </w:rPr>
              <w:fldChar w:fldCharType="end"/>
            </w:r>
          </w:hyperlink>
        </w:p>
        <w:p w:rsidR="00D04FD4" w:rsidRDefault="002309E4">
          <w:pPr>
            <w:pStyle w:val="TOC1"/>
          </w:pPr>
          <w:r>
            <w:t>Priedai:</w:t>
          </w:r>
        </w:p>
        <w:p w:rsidR="00D04FD4" w:rsidRDefault="002309E4">
          <w:r>
            <w:t>Pirkimo sąlygų 1 priedas "Techninė specifikacija" (atskiras dokumentas)</w:t>
          </w:r>
        </w:p>
        <w:p w:rsidR="00D04FD4" w:rsidRDefault="002309E4">
          <w:r>
            <w:t>Pirkimo sąlygų 2 priedas "Pasiūlymo forma" (atskiras dokumentas)</w:t>
          </w:r>
        </w:p>
        <w:p w:rsidR="00D04FD4" w:rsidRDefault="002309E4">
          <w:r>
            <w:t>Pirkimo sąlygų 3 priedas "Sutarties projektas" (atskiras dokumentas)</w:t>
          </w:r>
        </w:p>
        <w:p w:rsidR="00D04FD4" w:rsidRDefault="002309E4">
          <w:r>
            <w:t>Pirkimo sąlygų 4 priedas "Terminai"</w:t>
          </w:r>
        </w:p>
        <w:p w:rsidR="00D04FD4" w:rsidRDefault="002309E4">
          <w:r>
            <w:t>Pirkimo sąlygų 5 priedas "Tiekėjų pašalinimo pagrindai"</w:t>
          </w:r>
        </w:p>
        <w:p w:rsidR="00D04FD4" w:rsidRDefault="002309E4">
          <w:r>
            <w:t>Pirkimo sąlygų 6 priedas „Tiekėjų kvalifikacijos reikalavimai ir reikalaujami kokybės bei</w:t>
          </w:r>
        </w:p>
        <w:p w:rsidR="00D04FD4" w:rsidRDefault="002309E4">
          <w:r>
            <w:t>aplinkos apsaugos vadybos sistemų standartai“</w:t>
          </w:r>
        </w:p>
        <w:p w:rsidR="00D04FD4" w:rsidRDefault="002309E4">
          <w:r>
            <w:t xml:space="preserve">Pirkimų sąlygų 7 priedas </w:t>
          </w:r>
          <w:r>
            <w:rPr>
              <w:rFonts w:cstheme="minorHAnsi"/>
            </w:rPr>
            <w:t>„Pasiūlymų vertinimo kriterijai ir sąlygos“</w:t>
          </w:r>
        </w:p>
        <w:p w:rsidR="00D04FD4" w:rsidRDefault="00B65130">
          <w:pPr>
            <w:sectPr w:rsidR="00D04FD4">
              <w:footerReference w:type="default" r:id="rId14"/>
              <w:footerReference w:type="first" r:id="rId15"/>
              <w:pgSz w:w="12240" w:h="15840"/>
              <w:pgMar w:top="1134" w:right="567" w:bottom="1134" w:left="1701" w:header="0" w:footer="720" w:gutter="0"/>
              <w:pgNumType w:start="0"/>
              <w:cols w:space="720"/>
              <w:formProt w:val="0"/>
              <w:titlePg/>
              <w:docGrid w:linePitch="360" w:charSpace="6143"/>
            </w:sectPr>
          </w:pPr>
        </w:p>
      </w:sdtContent>
    </w:sdt>
    <w:p w:rsidR="00D04FD4" w:rsidRDefault="002309E4">
      <w:pPr>
        <w:spacing w:after="120"/>
        <w:ind w:firstLine="0"/>
        <w:contextualSpacing/>
        <w:rPr>
          <w:rFonts w:ascii="Arial" w:hAnsi="Arial" w:cs="Arial"/>
        </w:rPr>
      </w:pPr>
      <w:r>
        <w:rPr>
          <w:rFonts w:ascii="Arial" w:hAnsi="Arial" w:cs="Arial"/>
        </w:rPr>
        <w:lastRenderedPageBreak/>
        <w:fldChar w:fldCharType="end"/>
      </w:r>
    </w:p>
    <w:p w:rsidR="00D04FD4" w:rsidRDefault="002309E4">
      <w:pPr>
        <w:pStyle w:val="Heading1"/>
        <w:numPr>
          <w:ilvl w:val="0"/>
          <w:numId w:val="1"/>
        </w:numPr>
        <w:spacing w:before="720" w:after="0" w:line="300" w:lineRule="auto"/>
        <w:ind w:left="357" w:hanging="357"/>
        <w:rPr>
          <w:rFonts w:asciiTheme="minorHAnsi" w:hAnsiTheme="minorHAnsi" w:cstheme="minorHAnsi"/>
          <w:color w:val="auto"/>
        </w:rPr>
      </w:pPr>
      <w:bookmarkStart w:id="0" w:name="part_472a163f4f844a9297cdf9e29b7fb942"/>
      <w:bookmarkStart w:id="1" w:name="part_b3f278cdbcbe467a8b3f1d6ea4ea85f8"/>
      <w:bookmarkStart w:id="2" w:name="part_2d694ec0bf4747a2ace8bc3a118ff44f"/>
      <w:bookmarkStart w:id="3" w:name="part_da460e3efffa45688cb920cd281c7959"/>
      <w:bookmarkStart w:id="4" w:name="part_c8889be5d523482e81bb176e6fe56cd2"/>
      <w:bookmarkStart w:id="5" w:name="_Toc137194947"/>
      <w:bookmarkEnd w:id="0"/>
      <w:bookmarkEnd w:id="1"/>
      <w:bookmarkEnd w:id="2"/>
      <w:bookmarkEnd w:id="3"/>
      <w:bookmarkEnd w:id="4"/>
      <w:r>
        <w:rPr>
          <w:rFonts w:asciiTheme="minorHAnsi" w:hAnsiTheme="minorHAnsi" w:cstheme="minorHAnsi"/>
          <w:color w:val="auto"/>
        </w:rPr>
        <w:t>Bendra informacija</w:t>
      </w:r>
      <w:bookmarkEnd w:id="5"/>
      <w:r>
        <w:rPr>
          <w:rFonts w:asciiTheme="minorHAnsi" w:hAnsiTheme="minorHAnsi" w:cstheme="minorHAnsi"/>
          <w:color w:val="auto"/>
        </w:rPr>
        <w:t xml:space="preserve"> </w:t>
      </w:r>
    </w:p>
    <w:p w:rsidR="00D04FD4" w:rsidRDefault="00D04FD4">
      <w:pPr>
        <w:ind w:firstLine="0"/>
      </w:pPr>
    </w:p>
    <w:p w:rsidR="00D04FD4" w:rsidRDefault="002309E4">
      <w:pPr>
        <w:spacing w:line="240" w:lineRule="auto"/>
        <w:ind w:firstLine="357"/>
        <w:rPr>
          <w:rFonts w:cstheme="minorHAnsi"/>
        </w:rPr>
      </w:pPr>
      <w:r>
        <w:rPr>
          <w:rFonts w:cstheme="minorHAnsi"/>
        </w:rPr>
        <w:t xml:space="preserve">        1.1. Perkančioji organizacija – </w:t>
      </w:r>
      <w:r>
        <w:rPr>
          <w:rFonts w:eastAsia="Calibri" w:cstheme="minorHAnsi"/>
        </w:rPr>
        <w:t>Vilniaus apskrities vyriausiasis policijos komisariatas (toliau – Vilniaus apskr. VPK),</w:t>
      </w:r>
      <w:r>
        <w:rPr>
          <w:rFonts w:eastAsia="Calibri" w:cstheme="minorHAnsi"/>
          <w:color w:val="00B050"/>
        </w:rPr>
        <w:t xml:space="preserve"> </w:t>
      </w:r>
      <w:r>
        <w:rPr>
          <w:rFonts w:eastAsia="Calibri" w:cstheme="minorHAnsi"/>
        </w:rPr>
        <w:t xml:space="preserve">juridinio asmens kodas 191688326, adresas Birželio 23-iosios g. 16, LT-03602 Vilnius, darbo laikas I-IV  08.00-17.00  val., V 08.00-16.45 val. </w:t>
      </w:r>
      <w:r>
        <w:rPr>
          <w:rFonts w:eastAsiaTheme="minorHAnsi" w:cstheme="minorHAnsi"/>
          <w:lang w:eastAsia="en-US"/>
        </w:rPr>
        <w:t>Perkančioji organizacija nėra PVM mokėtoja</w:t>
      </w:r>
      <w:r>
        <w:rPr>
          <w:rFonts w:eastAsia="Calibri" w:cstheme="minorHAnsi"/>
        </w:rPr>
        <w:t>.</w:t>
      </w:r>
    </w:p>
    <w:p w:rsidR="00D04FD4" w:rsidRDefault="002309E4">
      <w:pPr>
        <w:pStyle w:val="ListParagraph"/>
        <w:numPr>
          <w:ilvl w:val="1"/>
          <w:numId w:val="4"/>
        </w:numPr>
        <w:spacing w:line="240" w:lineRule="auto"/>
        <w:ind w:left="0" w:firstLine="710"/>
        <w:rPr>
          <w:rFonts w:cstheme="minorHAnsi"/>
        </w:rPr>
      </w:pPr>
      <w:r>
        <w:rPr>
          <w:rFonts w:eastAsia="Calibri" w:cstheme="minorHAnsi"/>
        </w:rPr>
        <w:t xml:space="preserve">Pirkimą </w:t>
      </w:r>
      <w:r>
        <w:rPr>
          <w:rFonts w:cstheme="minorHAnsi"/>
        </w:rPr>
        <w:t xml:space="preserve">perkančiosios organizacijos </w:t>
      </w:r>
      <w:r>
        <w:rPr>
          <w:rFonts w:eastAsia="Calibri" w:cstheme="minorHAnsi"/>
        </w:rPr>
        <w:t>vardu atlieka</w:t>
      </w:r>
      <w:r>
        <w:rPr>
          <w:rFonts w:eastAsia="Calibri" w:cstheme="minorHAnsi"/>
          <w:color w:val="00B050"/>
        </w:rPr>
        <w:t xml:space="preserve"> </w:t>
      </w:r>
      <w:r>
        <w:rPr>
          <w:rFonts w:eastAsia="Calibri"/>
        </w:rPr>
        <w:t xml:space="preserve">įgaliotoji organizacija – Policijos sistemos centrinė perkančioji organizacija – Policijos departamentas prie Lietuvos Respublikos vidaus reikalų ministerijos (toliau – Policijos departamentas), juridinio asmens kodas 188785847, adresas Saltoniškių g. 19, LT-08106 Vilnius, </w:t>
      </w:r>
      <w:r>
        <w:rPr>
          <w:rFonts w:eastAsia="Calibri" w:cstheme="minorHAnsi"/>
        </w:rPr>
        <w:t>darbo laikas I-IV  08.00-17.00  val., V 08.00-16.45 val.</w:t>
      </w:r>
      <w:r>
        <w:rPr>
          <w:rFonts w:eastAsia="Calibri"/>
        </w:rPr>
        <w:t xml:space="preserve"> </w:t>
      </w:r>
      <w:r>
        <w:rPr>
          <w:rFonts w:eastAsia="Calibri" w:cstheme="minorHAnsi"/>
        </w:rPr>
        <w:t xml:space="preserve">Sutartį pasirašys </w:t>
      </w:r>
      <w:r>
        <w:rPr>
          <w:rFonts w:cstheme="minorHAnsi"/>
        </w:rPr>
        <w:t>perkančioji organizacija</w:t>
      </w:r>
      <w:r>
        <w:rPr>
          <w:rFonts w:eastAsia="Calibri" w:cstheme="minorHAnsi"/>
        </w:rPr>
        <w:t xml:space="preserve">. </w:t>
      </w:r>
    </w:p>
    <w:p w:rsidR="00D04FD4" w:rsidRDefault="002309E4">
      <w:pPr>
        <w:pStyle w:val="ListParagraph"/>
        <w:numPr>
          <w:ilvl w:val="1"/>
          <w:numId w:val="4"/>
        </w:numPr>
        <w:spacing w:line="240" w:lineRule="auto"/>
        <w:ind w:left="0" w:firstLine="710"/>
        <w:rPr>
          <w:rFonts w:cstheme="minorHAnsi"/>
        </w:rPr>
      </w:pPr>
      <w:r>
        <w:rPr>
          <w:rFonts w:cstheme="minorHAnsi"/>
          <w:color w:val="000000" w:themeColor="text1"/>
        </w:rPr>
        <w:t xml:space="preserve">Pirkimas neatliekamas naudojantis centralizuotų pirkimų katalogu, nes kataloge siūlomos kelionių organizavimo paslaugos neatitinka perkančiosios organizacijos poreikių ir techninės specifikacijos reikalavimų.  </w:t>
      </w:r>
    </w:p>
    <w:p w:rsidR="00D04FD4" w:rsidRDefault="002309E4">
      <w:pPr>
        <w:spacing w:line="240" w:lineRule="auto"/>
        <w:ind w:left="697" w:firstLine="0"/>
        <w:rPr>
          <w:rFonts w:cstheme="minorHAnsi"/>
        </w:rPr>
      </w:pPr>
      <w:r>
        <w:rPr>
          <w:rFonts w:cstheme="minorHAnsi"/>
        </w:rPr>
        <w:t xml:space="preserve">1.4. Pirkimo Komisija </w:t>
      </w:r>
      <w:sdt>
        <w:sdtPr>
          <w:id w:val="-1185517709"/>
          <w:dropDownList>
            <w:listItem w:displayText="[Pasirinkite]" w:value="[Pasirinkite]"/>
            <w:listItem w:displayText="nėra" w:value="nėra"/>
            <w:listItem w:displayText="yra" w:value="yra"/>
          </w:dropDownList>
        </w:sdtPr>
        <w:sdtEndPr/>
        <w:sdtContent>
          <w:r>
            <w:t>nėra</w:t>
          </w:r>
        </w:sdtContent>
      </w:sdt>
      <w:sdt>
        <w:sdtPr>
          <w:id w:val="680577293"/>
        </w:sdtPr>
        <w:sdtEndPr/>
        <w:sdtContent>
          <w:r>
            <w:rPr>
              <w:rFonts w:cstheme="minorHAnsi"/>
            </w:rPr>
            <w:t xml:space="preserve"> sudaroma. </w:t>
          </w:r>
        </w:sdtContent>
      </w:sdt>
    </w:p>
    <w:p w:rsidR="00D04FD4" w:rsidRDefault="002309E4">
      <w:pPr>
        <w:pStyle w:val="ListParagraph"/>
        <w:spacing w:line="240" w:lineRule="auto"/>
        <w:ind w:left="0" w:firstLine="709"/>
        <w:rPr>
          <w:color w:val="00B050"/>
        </w:rPr>
      </w:pPr>
      <w:r>
        <w:t>1.5.</w:t>
      </w:r>
      <w:r>
        <w:rPr>
          <w:i/>
          <w:iCs/>
        </w:rPr>
        <w:t xml:space="preserve"> </w:t>
      </w:r>
      <w:r>
        <w:t xml:space="preserve">Atliekamas žaliasis pirkimas. Pirkimas vykdomas vadovaujantis </w:t>
      </w:r>
      <w:hyperlink r:id="rId16">
        <w:r>
          <w:rPr>
            <w:rStyle w:val="Internetosaitas"/>
            <w:rFonts w:cstheme="minorHAnsi"/>
          </w:rPr>
          <w:t>Lietuvos Respublikos aplinkos ministro 2011 m. birželio 28 d. įsakymu Nr. D1-508 „Dėl aplinkos apsaugos kriterijų taikymo, vykdant žaliuosius pirkimus, tvarkos aprašo patvirtinimo“</w:t>
        </w:r>
      </w:hyperlink>
      <w:r>
        <w:rPr>
          <w:color w:val="00B050"/>
        </w:rPr>
        <w:t xml:space="preserve"> </w:t>
      </w:r>
      <w:r>
        <w:rPr>
          <w:rFonts w:cstheme="minorHAnsi"/>
        </w:rPr>
        <w:t>4.3 ir 4.4.4.1</w:t>
      </w:r>
      <w:r>
        <w:rPr>
          <w:i/>
          <w:color w:val="00B050"/>
        </w:rPr>
        <w:t xml:space="preserve"> </w:t>
      </w:r>
      <w:r>
        <w:t xml:space="preserve"> papunkčiais. Aplinkos apsaugos kriterijai nustatyti specialiųjų pirkimo sąlygų 7 priede „Pasiūlymų vertinimo kriterijai ir sąlygos“ ir 3 priede „Sutarties projektas“.</w:t>
      </w:r>
    </w:p>
    <w:p w:rsidR="00D04FD4" w:rsidRDefault="002309E4">
      <w:pPr>
        <w:spacing w:line="240" w:lineRule="auto"/>
        <w:ind w:left="312" w:firstLine="397"/>
        <w:rPr>
          <w:rFonts w:cstheme="minorHAnsi"/>
        </w:rPr>
      </w:pPr>
      <w:r>
        <w:rPr>
          <w:rFonts w:eastAsia="Arial" w:cstheme="minorHAnsi"/>
        </w:rPr>
        <w:t>1.6. Bendrosios pirkimo sąlygos yra neatskiriama šių pirkimo sąlygų dalis.</w:t>
      </w:r>
    </w:p>
    <w:p w:rsidR="00D04FD4" w:rsidRDefault="002309E4">
      <w:pPr>
        <w:pStyle w:val="Heading1"/>
        <w:numPr>
          <w:ilvl w:val="0"/>
          <w:numId w:val="3"/>
        </w:numPr>
        <w:spacing w:before="720" w:after="0" w:line="300" w:lineRule="auto"/>
        <w:rPr>
          <w:rFonts w:asciiTheme="minorHAnsi" w:hAnsiTheme="minorHAnsi" w:cstheme="minorHAnsi"/>
          <w:color w:val="auto"/>
        </w:rPr>
      </w:pPr>
      <w:bookmarkStart w:id="6" w:name="_Toc137194948"/>
      <w:r>
        <w:rPr>
          <w:rFonts w:asciiTheme="minorHAnsi" w:hAnsiTheme="minorHAnsi" w:cstheme="minorHAnsi"/>
          <w:color w:val="auto"/>
        </w:rPr>
        <w:t>Pirkimo objektas</w:t>
      </w:r>
      <w:bookmarkEnd w:id="6"/>
    </w:p>
    <w:p w:rsidR="00D04FD4" w:rsidRDefault="00D04FD4">
      <w:pPr>
        <w:spacing w:line="240" w:lineRule="auto"/>
        <w:ind w:firstLine="0"/>
      </w:pPr>
    </w:p>
    <w:p w:rsidR="00D04FD4" w:rsidRDefault="002309E4">
      <w:pPr>
        <w:pStyle w:val="NoSpacing"/>
        <w:numPr>
          <w:ilvl w:val="1"/>
          <w:numId w:val="3"/>
        </w:numPr>
        <w:tabs>
          <w:tab w:val="left" w:pos="1134"/>
        </w:tabs>
        <w:spacing w:after="120"/>
        <w:ind w:left="0" w:firstLine="709"/>
        <w:contextualSpacing/>
        <w:rPr>
          <w:rFonts w:eastAsia="Calibri" w:cstheme="minorHAnsi"/>
          <w:color w:val="000000" w:themeColor="text1"/>
        </w:rPr>
      </w:pPr>
      <w:r>
        <w:rPr>
          <w:rFonts w:cstheme="minorHAnsi"/>
        </w:rPr>
        <w:t xml:space="preserve"> Perkančioji organizacija </w:t>
      </w:r>
      <w:r>
        <w:rPr>
          <w:rFonts w:eastAsia="Calibri" w:cstheme="minorHAnsi"/>
          <w:color w:val="000000" w:themeColor="text1"/>
        </w:rPr>
        <w:t>numato įsigyti</w:t>
      </w:r>
      <w:r>
        <w:rPr>
          <w:rFonts w:ascii="Times New Roman" w:eastAsia="Times New Roman" w:hAnsi="Times New Roman" w:cs="Times New Roman"/>
          <w:kern w:val="2"/>
          <w:sz w:val="24"/>
          <w:szCs w:val="24"/>
          <w:lang w:eastAsia="en-US"/>
        </w:rPr>
        <w:t xml:space="preserve"> </w:t>
      </w:r>
      <w:r>
        <w:rPr>
          <w:rFonts w:eastAsia="Calibri" w:cstheme="minorHAnsi"/>
          <w:color w:val="000000" w:themeColor="text1"/>
        </w:rPr>
        <w:t xml:space="preserve">tarnybinių kelionių </w:t>
      </w:r>
      <w:r w:rsidR="00A0147C">
        <w:rPr>
          <w:rFonts w:eastAsia="Calibri" w:cstheme="minorHAnsi"/>
          <w:color w:val="000000" w:themeColor="text1"/>
        </w:rPr>
        <w:t xml:space="preserve">užsienyje </w:t>
      </w:r>
      <w:bookmarkStart w:id="7" w:name="_GoBack"/>
      <w:bookmarkEnd w:id="7"/>
      <w:r>
        <w:rPr>
          <w:rFonts w:eastAsia="Calibri" w:cstheme="minorHAnsi"/>
          <w:color w:val="000000" w:themeColor="text1"/>
        </w:rPr>
        <w:t>organizavimo paslaugas, neviršijant planuojamos maksimalios 50000 Eur su PVM sumos (toliau – Paslaugos). Pagrindinis kodas pagal Bendrąjį viešųjų pirkimų žodyną (toliau – BVPŽ) – 63512000-1 Kelionių bilietų pardavimo ir turistinių kelionių organizavimo paslaugos.</w:t>
      </w:r>
    </w:p>
    <w:p w:rsidR="00D04FD4" w:rsidRDefault="002309E4">
      <w:pPr>
        <w:pStyle w:val="NoSpacing"/>
        <w:contextualSpacing/>
        <w:rPr>
          <w:rFonts w:cstheme="minorHAnsi"/>
        </w:rPr>
      </w:pPr>
      <w:r>
        <w:rPr>
          <w:rFonts w:cstheme="minorHAnsi"/>
        </w:rPr>
        <w:t>2.2. Pirkimo objektas į dalis neskaidomas. Pirkimo apimtys, reikalavimai ir techninė specifikacija apibrėžti specialiųjų pirkimo sąlygų 1</w:t>
      </w:r>
      <w:r>
        <w:rPr>
          <w:rFonts w:cstheme="minorHAnsi"/>
          <w:color w:val="00B050"/>
        </w:rPr>
        <w:t xml:space="preserve"> </w:t>
      </w:r>
      <w:r>
        <w:rPr>
          <w:rFonts w:cstheme="minorHAnsi"/>
        </w:rPr>
        <w:t>priede „Techninė specifikacija“.</w:t>
      </w:r>
    </w:p>
    <w:p w:rsidR="00D04FD4" w:rsidRDefault="002309E4">
      <w:pPr>
        <w:pStyle w:val="ListParagraph"/>
        <w:spacing w:line="240" w:lineRule="auto"/>
        <w:ind w:left="0" w:firstLine="709"/>
        <w:rPr>
          <w:rFonts w:cstheme="minorHAnsi"/>
        </w:rPr>
      </w:pPr>
      <w:r>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D04FD4" w:rsidRDefault="002309E4">
      <w:pPr>
        <w:pStyle w:val="ListParagraph"/>
        <w:spacing w:line="240" w:lineRule="auto"/>
        <w:ind w:left="0" w:firstLine="709"/>
        <w:rPr>
          <w:rFonts w:cstheme="minorHAnsi"/>
        </w:rPr>
      </w:pPr>
      <w:r>
        <w:rPr>
          <w:rFonts w:cstheme="minorHAnsi"/>
        </w:rPr>
        <w:t xml:space="preserve">2.4. Jeigu apibūdinant pirkimo objektą techninėje specifikacijoje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turi būti laikoma, kad kiekviena tokia nuoroda yra pateikta su žodžiais „arba lygiavertis“.</w:t>
      </w:r>
    </w:p>
    <w:p w:rsidR="00D04FD4" w:rsidRDefault="002309E4">
      <w:pPr>
        <w:pStyle w:val="Heading1"/>
        <w:numPr>
          <w:ilvl w:val="0"/>
          <w:numId w:val="3"/>
        </w:numPr>
        <w:spacing w:before="720" w:after="0"/>
        <w:ind w:left="357" w:hanging="357"/>
        <w:rPr>
          <w:rFonts w:asciiTheme="minorHAnsi" w:hAnsiTheme="minorHAnsi" w:cstheme="minorHAnsi"/>
          <w:color w:val="auto"/>
        </w:rPr>
      </w:pPr>
      <w:bookmarkStart w:id="8" w:name="_Toc137194949"/>
      <w:r>
        <w:rPr>
          <w:rFonts w:asciiTheme="minorHAnsi" w:hAnsiTheme="minorHAnsi" w:cstheme="minorHAnsi"/>
          <w:color w:val="auto"/>
        </w:rPr>
        <w:lastRenderedPageBreak/>
        <w:t>Tiekėjų pašalinimo pagrindai, kvalifikacijos reikalavimai ir reikalaujami kokybės vadybos sistemos ir (arba) aplinkos apsaugos vadybos sistemos standartai</w:t>
      </w:r>
      <w:bookmarkEnd w:id="8"/>
      <w:r>
        <w:rPr>
          <w:rFonts w:asciiTheme="minorHAnsi" w:hAnsiTheme="minorHAnsi" w:cstheme="minorHAnsi"/>
          <w:color w:val="auto"/>
        </w:rPr>
        <w:t xml:space="preserve"> </w:t>
      </w:r>
    </w:p>
    <w:p w:rsidR="00D04FD4" w:rsidRDefault="00D04FD4">
      <w:pPr>
        <w:spacing w:line="240" w:lineRule="auto"/>
        <w:ind w:firstLine="0"/>
      </w:pPr>
    </w:p>
    <w:p w:rsidR="00D04FD4" w:rsidRDefault="002309E4">
      <w:pPr>
        <w:pStyle w:val="ListParagraph"/>
        <w:numPr>
          <w:ilvl w:val="1"/>
          <w:numId w:val="3"/>
        </w:numPr>
        <w:spacing w:line="240" w:lineRule="auto"/>
        <w:ind w:left="0" w:firstLine="709"/>
        <w:rPr>
          <w:rFonts w:cstheme="minorHAnsi"/>
          <w:i/>
          <w:iCs/>
        </w:rPr>
      </w:pPr>
      <w:r>
        <w:rPr>
          <w:rFonts w:cstheme="minorHAnsi"/>
        </w:rPr>
        <w:t>Reikalavimai dėl tiekėjo ir subtiekėjų (jeigu taikoma), ūkio subjektų, kurių pajėgumais tiekėjas remiasi, pašalinimo pagrindų nebuvimo bei jų nebuvimą patvirtinantys dokumentai nurodyti specialiųjų pirkimo sąlygų 5</w:t>
      </w:r>
      <w:r>
        <w:rPr>
          <w:rFonts w:cstheme="minorHAnsi"/>
          <w:color w:val="00B050"/>
        </w:rPr>
        <w:t xml:space="preserve"> </w:t>
      </w:r>
      <w:r>
        <w:rPr>
          <w:rFonts w:cstheme="minorHAnsi"/>
        </w:rPr>
        <w:t xml:space="preserve">priede „Tiekėjų pašalinimo pagrindai“. </w:t>
      </w:r>
    </w:p>
    <w:p w:rsidR="00D04FD4" w:rsidRDefault="002309E4">
      <w:pPr>
        <w:pStyle w:val="ListParagraph"/>
        <w:numPr>
          <w:ilvl w:val="1"/>
          <w:numId w:val="3"/>
        </w:numPr>
        <w:spacing w:line="240" w:lineRule="auto"/>
        <w:ind w:left="0" w:firstLine="697"/>
        <w:rPr>
          <w:rFonts w:cstheme="minorHAnsi"/>
        </w:rPr>
      </w:pPr>
      <w:r>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rsidR="00D04FD4" w:rsidRDefault="002309E4">
      <w:pPr>
        <w:pStyle w:val="ListParagraph"/>
        <w:numPr>
          <w:ilvl w:val="1"/>
          <w:numId w:val="3"/>
        </w:numPr>
        <w:spacing w:line="240" w:lineRule="auto"/>
        <w:ind w:left="0" w:firstLine="697"/>
        <w:rPr>
          <w:rFonts w:cstheme="minorHAnsi"/>
        </w:rPr>
      </w:pPr>
      <w:r>
        <w:rPr>
          <w:rFonts w:eastAsia="Arial" w:cstheme="minorHAnsi"/>
        </w:rPr>
        <w:t xml:space="preserve">Tiekėjas teikdamas pasiūlymą neturi pateikti nei EBVPD, nei laisvos formos deklaracijos dėl atitikties reikalavimams. </w:t>
      </w:r>
    </w:p>
    <w:p w:rsidR="00D04FD4" w:rsidRDefault="002309E4">
      <w:pPr>
        <w:pStyle w:val="Heading1"/>
        <w:numPr>
          <w:ilvl w:val="0"/>
          <w:numId w:val="3"/>
        </w:numPr>
        <w:spacing w:before="720" w:after="0" w:line="300" w:lineRule="auto"/>
        <w:ind w:left="357" w:hanging="357"/>
        <w:rPr>
          <w:rFonts w:asciiTheme="minorHAnsi" w:hAnsiTheme="minorHAnsi" w:cstheme="minorHAnsi"/>
          <w:color w:val="auto"/>
        </w:rPr>
      </w:pPr>
      <w:bookmarkStart w:id="9" w:name="_Toc137194950"/>
      <w:r>
        <w:rPr>
          <w:rFonts w:asciiTheme="minorHAnsi" w:hAnsiTheme="minorHAnsi" w:cstheme="minorHAnsi"/>
          <w:color w:val="auto"/>
        </w:rPr>
        <w:t>Reikalavimai, susiję su nacionaliniu saugumu</w:t>
      </w:r>
      <w:bookmarkEnd w:id="9"/>
      <w:r>
        <w:rPr>
          <w:rFonts w:asciiTheme="minorHAnsi" w:hAnsiTheme="minorHAnsi" w:cstheme="minorHAnsi"/>
          <w:color w:val="auto"/>
        </w:rPr>
        <w:t xml:space="preserve"> </w:t>
      </w:r>
    </w:p>
    <w:p w:rsidR="00D04FD4" w:rsidRDefault="002309E4">
      <w:pPr>
        <w:pStyle w:val="ListParagraph"/>
        <w:numPr>
          <w:ilvl w:val="1"/>
          <w:numId w:val="3"/>
        </w:numPr>
        <w:tabs>
          <w:tab w:val="left" w:pos="993"/>
        </w:tabs>
        <w:suppressAutoHyphens/>
        <w:spacing w:line="240" w:lineRule="auto"/>
        <w:ind w:left="0" w:firstLine="567"/>
        <w:rPr>
          <w:rFonts w:cstheme="minorHAnsi"/>
        </w:rPr>
      </w:pPr>
      <w:r>
        <w:rPr>
          <w:rFonts w:cstheme="minorHAnsi"/>
          <w:iCs/>
        </w:rPr>
        <w:t>Perkančioji organizacija laiko, kad pirkimo objektas nekelia grėsmės nacionaliniam saugumui, todėl reikalavimų, susijusių su nacionaliniu saugumu nekelia.</w:t>
      </w:r>
    </w:p>
    <w:p w:rsidR="00D04FD4" w:rsidRDefault="002309E4">
      <w:pPr>
        <w:pStyle w:val="ListParagraph"/>
        <w:numPr>
          <w:ilvl w:val="1"/>
          <w:numId w:val="3"/>
        </w:numPr>
        <w:tabs>
          <w:tab w:val="left" w:pos="993"/>
        </w:tabs>
        <w:suppressAutoHyphens/>
        <w:spacing w:line="240" w:lineRule="auto"/>
        <w:ind w:left="0" w:firstLine="567"/>
        <w:rPr>
          <w:rFonts w:cstheme="minorHAnsi"/>
        </w:rPr>
      </w:pPr>
      <w:r>
        <w:rPr>
          <w:rFonts w:cstheme="minorHAnsi"/>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rsidR="00D04FD4" w:rsidRDefault="002309E4">
      <w:pPr>
        <w:pStyle w:val="ListParagraph"/>
        <w:numPr>
          <w:ilvl w:val="2"/>
          <w:numId w:val="3"/>
        </w:numPr>
        <w:tabs>
          <w:tab w:val="left" w:pos="993"/>
        </w:tabs>
        <w:suppressAutoHyphens/>
        <w:spacing w:line="240" w:lineRule="auto"/>
        <w:ind w:left="0" w:firstLine="567"/>
        <w:rPr>
          <w:rFonts w:cstheme="minorHAnsi"/>
        </w:rPr>
      </w:pPr>
      <w:r>
        <w:rPr>
          <w:rFonts w:cstheme="minorHAnsi"/>
        </w:rPr>
        <w:t xml:space="preserve">tiekėjas, jo subtiekėjas, ūkio subjektai, kurių pajėgumais remiamasi,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p>
    <w:p w:rsidR="00D04FD4" w:rsidRDefault="002309E4">
      <w:pPr>
        <w:pStyle w:val="ListParagraph"/>
        <w:numPr>
          <w:ilvl w:val="2"/>
          <w:numId w:val="3"/>
        </w:numPr>
        <w:tabs>
          <w:tab w:val="left" w:pos="993"/>
        </w:tabs>
        <w:suppressAutoHyphens/>
        <w:spacing w:line="240" w:lineRule="auto"/>
        <w:ind w:left="0" w:firstLine="567"/>
        <w:rPr>
          <w:rFonts w:cstheme="minorHAnsi"/>
        </w:rPr>
      </w:pPr>
      <w:r>
        <w:rPr>
          <w:rFonts w:cstheme="minorHAnsi"/>
        </w:rPr>
        <w:t xml:space="preserve">perkančioji organizacija turi kompetentingų institucijų informacijos, kad tiekėjas, jo subtiekėjas, ūkio subjektai, kurių pajėgumais remiamasi ar juos kontroliuojantys asmenys yra juridiniai asmenys turi interesų, galinčių kelti grėsmę nacionaliniam saugumui; </w:t>
      </w:r>
    </w:p>
    <w:p w:rsidR="00D04FD4" w:rsidRDefault="002309E4">
      <w:pPr>
        <w:pStyle w:val="ListParagraph"/>
        <w:numPr>
          <w:ilvl w:val="2"/>
          <w:numId w:val="3"/>
        </w:numPr>
        <w:tabs>
          <w:tab w:val="left" w:pos="993"/>
        </w:tabs>
        <w:suppressAutoHyphens/>
        <w:spacing w:line="240" w:lineRule="auto"/>
        <w:ind w:left="0" w:firstLine="567"/>
        <w:rPr>
          <w:rFonts w:cstheme="minorHAnsi"/>
        </w:rPr>
      </w:pPr>
      <w:r>
        <w:rPr>
          <w:rFonts w:cstheme="minorHAnsi"/>
        </w:rPr>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00D04FD4" w:rsidRDefault="002309E4">
      <w:pPr>
        <w:tabs>
          <w:tab w:val="left" w:pos="993"/>
        </w:tabs>
        <w:suppressAutoHyphens/>
        <w:spacing w:line="240" w:lineRule="auto"/>
        <w:ind w:firstLine="567"/>
        <w:rPr>
          <w:rFonts w:cstheme="minorHAnsi"/>
        </w:rPr>
      </w:pPr>
      <w:r>
        <w:rPr>
          <w:rFonts w:cstheme="minorHAnsi"/>
        </w:rPr>
        <w:t>4.3. Tiekėjas teikdamas pasiūlymą, pasiūlymo formoje patvirtina (specialiųjų pirkimo sąlygų 6 priedas „Pasiūlymo forma“) atitiktį 4.2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rsidR="00D04FD4" w:rsidRDefault="00D04FD4">
      <w:pPr>
        <w:tabs>
          <w:tab w:val="left" w:pos="993"/>
        </w:tabs>
        <w:suppressAutoHyphens/>
        <w:spacing w:line="240" w:lineRule="auto"/>
        <w:ind w:firstLine="567"/>
        <w:rPr>
          <w:rFonts w:cstheme="minorHAnsi"/>
          <w:sz w:val="24"/>
          <w:szCs w:val="24"/>
        </w:rPr>
      </w:pPr>
    </w:p>
    <w:p w:rsidR="00D04FD4" w:rsidRDefault="002309E4">
      <w:pPr>
        <w:pStyle w:val="Heading1"/>
        <w:numPr>
          <w:ilvl w:val="0"/>
          <w:numId w:val="3"/>
        </w:numPr>
        <w:spacing w:before="720" w:after="0" w:line="300" w:lineRule="auto"/>
        <w:rPr>
          <w:rFonts w:asciiTheme="minorHAnsi" w:hAnsiTheme="minorHAnsi" w:cstheme="minorHAnsi"/>
          <w:color w:val="auto"/>
        </w:rPr>
      </w:pPr>
      <w:bookmarkStart w:id="10" w:name="_Toc48053171"/>
      <w:bookmarkStart w:id="11" w:name="_Ref39666796"/>
      <w:bookmarkStart w:id="12" w:name="_Ref39666794"/>
      <w:bookmarkStart w:id="13" w:name="_Toc137194951"/>
      <w:r>
        <w:rPr>
          <w:rFonts w:asciiTheme="minorHAnsi" w:hAnsiTheme="minorHAnsi" w:cstheme="minorHAnsi"/>
          <w:color w:val="auto"/>
        </w:rPr>
        <w:lastRenderedPageBreak/>
        <w:t>Specialieji reikalavimai pasiūlymų rengimui ir pateikimui</w:t>
      </w:r>
      <w:bookmarkEnd w:id="10"/>
      <w:bookmarkEnd w:id="11"/>
      <w:bookmarkEnd w:id="12"/>
      <w:bookmarkEnd w:id="13"/>
    </w:p>
    <w:p w:rsidR="00D04FD4" w:rsidRDefault="00D04FD4">
      <w:pPr>
        <w:ind w:firstLine="0"/>
        <w:rPr>
          <w:rFonts w:ascii="Arial" w:hAnsi="Arial" w:cs="Arial"/>
          <w:b/>
          <w:bCs/>
        </w:rPr>
      </w:pPr>
    </w:p>
    <w:p w:rsidR="00D04FD4" w:rsidRDefault="002309E4">
      <w:pPr>
        <w:pStyle w:val="ListParagraph"/>
        <w:spacing w:line="240" w:lineRule="auto"/>
        <w:ind w:left="0" w:firstLine="709"/>
        <w:rPr>
          <w:rFonts w:cstheme="minorHAnsi"/>
        </w:rPr>
      </w:pPr>
      <w:r>
        <w:rPr>
          <w:rFonts w:cstheme="minorHAnsi"/>
        </w:rPr>
        <w:t xml:space="preserve">5.1. </w:t>
      </w:r>
      <w:r>
        <w:rPr>
          <w:rFonts w:cstheme="minorHAnsi"/>
          <w:b/>
          <w:bCs/>
        </w:rPr>
        <w:t>CVP IS pasiūlymo lango eilutėje „Prisegti dokumentus“ pateikiamas</w:t>
      </w:r>
      <w:r>
        <w:rPr>
          <w:rFonts w:cstheme="minorHAnsi"/>
        </w:rPr>
        <w:t xml:space="preserve"> tiekėjo pasirašytas pasiūlymas, parengtas pagal specialiųjų </w:t>
      </w:r>
      <w:r>
        <w:rPr>
          <w:rFonts w:cstheme="minorHAnsi"/>
        </w:rPr>
        <w:fldChar w:fldCharType="begin"/>
      </w:r>
      <w:r>
        <w:rPr>
          <w:rFonts w:cs="Calibri"/>
        </w:rPr>
        <w:instrText>REF _Ref38540913 \h</w:instrText>
      </w:r>
      <w:r>
        <w:rPr>
          <w:rFonts w:cstheme="minorHAnsi"/>
        </w:rPr>
      </w:r>
      <w:r>
        <w:rPr>
          <w:rFonts w:cs="Calibri"/>
        </w:rPr>
        <w:fldChar w:fldCharType="end"/>
      </w:r>
      <w:r>
        <w:rPr>
          <w:rFonts w:cstheme="minorHAnsi"/>
        </w:rPr>
        <w:t>priede pateiktą pasiūlymo formą ir pasiūlymo formoje nurodyti ir kiti, tiekėjo nuomone, būtini dokumentai (jų kopijos).</w:t>
      </w:r>
    </w:p>
    <w:p w:rsidR="00D04FD4" w:rsidRDefault="002309E4">
      <w:pPr>
        <w:pStyle w:val="ListParagraph"/>
        <w:spacing w:line="240" w:lineRule="auto"/>
        <w:ind w:left="0"/>
        <w:rPr>
          <w:rFonts w:cstheme="minorHAnsi"/>
          <w:u w:val="single"/>
        </w:rPr>
      </w:pPr>
      <w:r>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cstheme="minorHAnsi"/>
        </w:rPr>
        <w:t>Perkančiajai organizacijai kilus abejonių dėl dokumentų tikrumo, ji turi teisę reikalauti pateikti dokumentų originalus.</w:t>
      </w:r>
      <w:r>
        <w:rPr>
          <w:rFonts w:eastAsia="Calibri" w:cstheme="minorHAnsi"/>
        </w:rPr>
        <w:t xml:space="preserve"> Gali būti:</w:t>
      </w:r>
    </w:p>
    <w:p w:rsidR="00D04FD4" w:rsidRDefault="002309E4">
      <w:pPr>
        <w:spacing w:line="240" w:lineRule="auto"/>
        <w:ind w:firstLine="709"/>
        <w:rPr>
          <w:rFonts w:cstheme="minorHAnsi"/>
        </w:rPr>
      </w:pPr>
      <w:r>
        <w:rPr>
          <w:rFonts w:eastAsia="Calibri" w:cstheme="minorHAnsi"/>
        </w:rPr>
        <w:t>5.2.1. pateikiami kvalifikuotu elektroniniu parašu pasirašyti elektroninėmis priemonėmis suformuoti dokumentai;</w:t>
      </w:r>
    </w:p>
    <w:p w:rsidR="00D04FD4" w:rsidRDefault="002309E4">
      <w:pPr>
        <w:pStyle w:val="ListParagraph"/>
        <w:spacing w:line="240" w:lineRule="auto"/>
        <w:ind w:left="0"/>
        <w:rPr>
          <w:rFonts w:cstheme="minorHAnsi"/>
        </w:rPr>
      </w:pPr>
      <w:r>
        <w:rPr>
          <w:rFonts w:eastAsia="Calibri" w:cstheme="minorHAnsi"/>
        </w:rPr>
        <w:t>5.2.2. skaitmeninės dokumentų kopijos (fiziniu parašu tvirtinami dokumentai turi būti pateikiami pasirašyti ir nuskenuoti).</w:t>
      </w:r>
    </w:p>
    <w:p w:rsidR="00D04FD4" w:rsidRDefault="002309E4">
      <w:pPr>
        <w:pStyle w:val="ListParagraph"/>
        <w:spacing w:line="240" w:lineRule="auto"/>
        <w:ind w:left="0"/>
        <w:rPr>
          <w:rFonts w:cstheme="minorHAnsi"/>
        </w:rPr>
      </w:pPr>
      <w:r>
        <w:rPr>
          <w:rFonts w:eastAsia="Arial" w:cstheme="minorHAnsi"/>
        </w:rPr>
        <w:t xml:space="preserve">5.3. Pasiūlymas turi būti parengtas lietuvių kalba. </w:t>
      </w:r>
      <w:r>
        <w:rPr>
          <w:rFonts w:eastAsia="Arial"/>
        </w:rPr>
        <w:t xml:space="preserve">Jei kurie nors su pasiūlymu teikiami dokumentai parengti ne ta kalba, kuria reikalaujama, turi būti pateiktas tikslus vertimas į reikalaujamą kalbą. </w:t>
      </w:r>
    </w:p>
    <w:p w:rsidR="00D04FD4" w:rsidRDefault="002309E4">
      <w:pPr>
        <w:pStyle w:val="ListParagraph"/>
        <w:spacing w:line="240" w:lineRule="auto"/>
        <w:ind w:left="0"/>
        <w:rPr>
          <w:rFonts w:cstheme="minorHAnsi"/>
        </w:rPr>
      </w:pPr>
      <w:r>
        <w:rPr>
          <w:rFonts w:cstheme="minorHAnsi"/>
        </w:rPr>
        <w:t>5.4. Pasiūlymuose nurodytos kainos bus vertinamos eurais</w:t>
      </w:r>
      <w:r>
        <w:rPr>
          <w:rFonts w:eastAsia="Calibri" w:cstheme="minorHAnsi"/>
        </w:rPr>
        <w:t>.</w:t>
      </w:r>
      <w:r>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04FD4" w:rsidRDefault="002309E4">
      <w:pPr>
        <w:pStyle w:val="ListParagraph"/>
        <w:spacing w:after="160" w:line="240" w:lineRule="auto"/>
        <w:ind w:left="0" w:firstLine="710"/>
        <w:rPr>
          <w:rFonts w:eastAsia="Arial"/>
          <w:color w:val="7030A0"/>
        </w:rPr>
      </w:pPr>
      <w:r>
        <w:rPr>
          <w:rFonts w:eastAsia="Arial" w:cstheme="minorHAnsi"/>
        </w:rPr>
        <w:t xml:space="preserve">5.5. </w:t>
      </w:r>
      <w:r>
        <w:rPr>
          <w:rFonts w:eastAsia="Arial"/>
        </w:rPr>
        <w:t>Visi pasiūlyme nurodyti įkainiai (be PVM) ar kainos sudedamosios dalys, bendra pasiūlymo kaina su PVM turi būti nurodoma dviejų skaitmenų po kablelio tikslumu.</w:t>
      </w:r>
    </w:p>
    <w:p w:rsidR="00D04FD4" w:rsidRDefault="002309E4">
      <w:pPr>
        <w:pStyle w:val="ListParagraph"/>
        <w:spacing w:after="160" w:line="240" w:lineRule="auto"/>
        <w:ind w:left="710" w:firstLine="0"/>
        <w:rPr>
          <w:rFonts w:cstheme="minorHAnsi"/>
        </w:rPr>
      </w:pPr>
      <w:r>
        <w:rPr>
          <w:rFonts w:eastAsia="Arial"/>
        </w:rPr>
        <w:t xml:space="preserve">5.6. Tiekėjų pasiūlymuose nurodytos kainos bus vertinamos </w:t>
      </w:r>
      <w:r>
        <w:t xml:space="preserve">ir lyginamos su visais mokesčiais, įskaitant PVM. </w:t>
      </w:r>
    </w:p>
    <w:p w:rsidR="00D04FD4" w:rsidRDefault="00D04FD4">
      <w:pPr>
        <w:pStyle w:val="ListParagraph"/>
        <w:spacing w:line="240" w:lineRule="auto"/>
        <w:ind w:left="0"/>
        <w:rPr>
          <w:rFonts w:eastAsia="Arial" w:cstheme="minorHAnsi"/>
          <w:vanish/>
          <w:color w:val="7030A0"/>
        </w:rPr>
      </w:pPr>
    </w:p>
    <w:p w:rsidR="00D04FD4" w:rsidRDefault="00D04FD4">
      <w:pPr>
        <w:pStyle w:val="paragrafesrasas2lygis"/>
        <w:spacing w:line="240" w:lineRule="auto"/>
        <w:rPr>
          <w:rFonts w:asciiTheme="minorHAnsi" w:hAnsiTheme="minorHAnsi" w:cstheme="minorHAnsi"/>
          <w:sz w:val="21"/>
          <w:szCs w:val="21"/>
        </w:rPr>
      </w:pPr>
    </w:p>
    <w:p w:rsidR="00D04FD4" w:rsidRDefault="002309E4">
      <w:pPr>
        <w:pStyle w:val="Heading1"/>
        <w:spacing w:before="0" w:after="0" w:line="300" w:lineRule="auto"/>
        <w:ind w:left="357" w:firstLine="0"/>
        <w:rPr>
          <w:rFonts w:asciiTheme="minorHAnsi" w:hAnsiTheme="minorHAnsi" w:cstheme="minorHAnsi"/>
          <w:color w:val="auto"/>
        </w:rPr>
      </w:pPr>
      <w:bookmarkStart w:id="14" w:name="_Toc137194952"/>
      <w:r>
        <w:rPr>
          <w:rFonts w:asciiTheme="minorHAnsi" w:hAnsiTheme="minorHAnsi" w:cstheme="minorHAnsi"/>
          <w:color w:val="auto"/>
        </w:rPr>
        <w:t>6. Pasiūlymo galiojimo užtikrinimas</w:t>
      </w:r>
      <w:bookmarkEnd w:id="14"/>
    </w:p>
    <w:p w:rsidR="00D04FD4" w:rsidRDefault="00D04FD4">
      <w:pPr>
        <w:ind w:firstLine="0"/>
        <w:rPr>
          <w:rFonts w:ascii="Arial" w:hAnsi="Arial" w:cs="Arial"/>
          <w:i/>
          <w:iCs/>
          <w:color w:val="7030A0"/>
        </w:rPr>
      </w:pPr>
    </w:p>
    <w:p w:rsidR="00D04FD4" w:rsidRDefault="002309E4">
      <w:pPr>
        <w:spacing w:line="240" w:lineRule="auto"/>
        <w:ind w:firstLine="567"/>
        <w:rPr>
          <w:rFonts w:cstheme="minorHAnsi"/>
          <w:color w:val="7030A0"/>
        </w:rPr>
      </w:pPr>
      <w:r>
        <w:rPr>
          <w:rFonts w:cstheme="minorHAnsi"/>
        </w:rPr>
        <w:t>6.1. Tiekėjas privalo užtikrinti savo pasiūlymo galiojimą ne mažesne kaip 2000,00 Eur su PVM</w:t>
      </w:r>
      <w:r w:rsidR="002A29F3">
        <w:rPr>
          <w:rFonts w:cstheme="minorHAnsi"/>
        </w:rPr>
        <w:t xml:space="preserve"> </w:t>
      </w:r>
      <w:r>
        <w:rPr>
          <w:rFonts w:cstheme="minorHAnsi"/>
        </w:rPr>
        <w:t xml:space="preserve">(dviejų tūkstančių eurų) dydžio bauda, kurią, pateikdamas pasiūlymą tiekėjas įsipareigoja sumokėti esant bent vienai iš specialiųjų pirkimo sąlygų 6.4 punkto sąlygai per 10 (dešimt) darbo dienų nuo atitinkamos sąlygos atsiradimo. </w:t>
      </w:r>
    </w:p>
    <w:p w:rsidR="00D04FD4" w:rsidRDefault="002309E4">
      <w:pPr>
        <w:spacing w:line="240" w:lineRule="auto"/>
        <w:ind w:firstLine="567"/>
        <w:rPr>
          <w:rFonts w:cstheme="minorHAnsi"/>
        </w:rPr>
      </w:pPr>
      <w:r>
        <w:rPr>
          <w:rFonts w:cstheme="minorHAnsi"/>
        </w:rPr>
        <w:t>6.2. Jeigu pasiūlymą teikia tiekėjų grupė – turi būti pateiktas vienas pasiūlymo galiojimo užtikrinimas visų tiekėjų grupės narių vardu.</w:t>
      </w:r>
    </w:p>
    <w:p w:rsidR="00D04FD4" w:rsidRDefault="002309E4">
      <w:pPr>
        <w:tabs>
          <w:tab w:val="left" w:pos="1134"/>
        </w:tabs>
        <w:suppressAutoHyphens/>
        <w:spacing w:line="240" w:lineRule="auto"/>
        <w:ind w:firstLine="567"/>
        <w:rPr>
          <w:rFonts w:cstheme="minorHAnsi"/>
        </w:rPr>
      </w:pPr>
      <w:r>
        <w:rPr>
          <w:rFonts w:cstheme="minorHAnsi"/>
          <w:iCs/>
        </w:rPr>
        <w:t>6.3. Pasiūlymo galiojimo užtikrinimas galioja ne trumpiau nei nustatytas pasiūlymo galiojimas (specialiųjų pirkimo sąlygų 4 priedo „Terminai“ Eil. Nr. 5), atsižvelgiant ir į jo pratęsimą.</w:t>
      </w:r>
    </w:p>
    <w:p w:rsidR="00D04FD4" w:rsidRDefault="002309E4">
      <w:pPr>
        <w:numPr>
          <w:ilvl w:val="1"/>
          <w:numId w:val="5"/>
        </w:numPr>
        <w:tabs>
          <w:tab w:val="left" w:pos="993"/>
        </w:tabs>
        <w:suppressAutoHyphens/>
        <w:spacing w:line="240" w:lineRule="auto"/>
        <w:ind w:left="0" w:firstLine="567"/>
        <w:contextualSpacing/>
        <w:rPr>
          <w:rFonts w:cstheme="minorHAnsi"/>
        </w:rPr>
      </w:pPr>
      <w:r>
        <w:rPr>
          <w:rFonts w:cstheme="minorHAnsi"/>
        </w:rPr>
        <w:t>Dalyvis netenka pasiūlymo galiojimo užtikrinimo ir įsipareigoja sumokėti perkančiajai organizacijai 6.1. punkte nustatyto dydžio baudą, esant bent vienai šių sąlygų:</w:t>
      </w:r>
    </w:p>
    <w:p w:rsidR="00D04FD4" w:rsidRDefault="002309E4">
      <w:pPr>
        <w:numPr>
          <w:ilvl w:val="2"/>
          <w:numId w:val="5"/>
        </w:numPr>
        <w:tabs>
          <w:tab w:val="left" w:pos="1134"/>
          <w:tab w:val="left" w:pos="1276"/>
        </w:tabs>
        <w:suppressAutoHyphens/>
        <w:spacing w:line="240" w:lineRule="auto"/>
        <w:ind w:left="0" w:firstLine="567"/>
        <w:contextualSpacing/>
        <w:rPr>
          <w:rFonts w:cstheme="minorHAnsi"/>
        </w:rPr>
      </w:pPr>
      <w:r>
        <w:rPr>
          <w:rFonts w:cstheme="minorHAnsi"/>
        </w:rPr>
        <w:t>pasiūlymo galiojimo laikotarpiu tiekėjas atsisako savo pasiūlymo arba jo dalies (pasiūlyme nurodyto pirkimo objekto, jo kiekio (apimties), siūlomų kainų, tiekimo ar mokėjimo terminų, kitų pasiūlyme nurodytų sąlygų);</w:t>
      </w:r>
    </w:p>
    <w:p w:rsidR="00D04FD4" w:rsidRDefault="002309E4">
      <w:pPr>
        <w:numPr>
          <w:ilvl w:val="2"/>
          <w:numId w:val="5"/>
        </w:numPr>
        <w:tabs>
          <w:tab w:val="left" w:pos="1134"/>
          <w:tab w:val="left" w:pos="1276"/>
        </w:tabs>
        <w:suppressAutoHyphens/>
        <w:spacing w:line="240" w:lineRule="auto"/>
        <w:ind w:left="0" w:firstLine="567"/>
        <w:contextualSpacing/>
        <w:rPr>
          <w:rFonts w:cstheme="minorHAnsi"/>
        </w:rPr>
      </w:pPr>
      <w:r>
        <w:rPr>
          <w:rFonts w:cstheme="minorHAnsi"/>
        </w:rPr>
        <w:t>perkančiajai organizacijai paprašius pagrįsti neįprastai mažą kainą, tiekėjas nepateikia jokio pagrindimo;</w:t>
      </w:r>
    </w:p>
    <w:p w:rsidR="00D04FD4" w:rsidRDefault="002309E4">
      <w:pPr>
        <w:numPr>
          <w:ilvl w:val="2"/>
          <w:numId w:val="5"/>
        </w:numPr>
        <w:tabs>
          <w:tab w:val="left" w:pos="1134"/>
          <w:tab w:val="left" w:pos="1276"/>
        </w:tabs>
        <w:suppressAutoHyphens/>
        <w:spacing w:line="240" w:lineRule="auto"/>
        <w:ind w:left="0" w:firstLine="567"/>
        <w:contextualSpacing/>
        <w:rPr>
          <w:rFonts w:cstheme="minorHAnsi"/>
        </w:rPr>
      </w:pPr>
      <w:r>
        <w:rPr>
          <w:rFonts w:cstheme="minorHAnsi"/>
          <w:lang w:eastAsia="en-US"/>
        </w:rPr>
        <w:t xml:space="preserve">tiekėjas, kuris yra paskelbtas pirkimo laimėtoju raštu atsisako sudaryti pirkimo sutartį </w:t>
      </w:r>
      <w:r>
        <w:rPr>
          <w:rFonts w:cstheme="minorHAnsi"/>
        </w:rPr>
        <w:t>pagal pirkimo dokumentuose pateiktas sutarties sąlygas ir (ar) sutarties projektą;</w:t>
      </w:r>
    </w:p>
    <w:p w:rsidR="00D04FD4" w:rsidRDefault="002309E4">
      <w:pPr>
        <w:numPr>
          <w:ilvl w:val="2"/>
          <w:numId w:val="5"/>
        </w:numPr>
        <w:tabs>
          <w:tab w:val="left" w:pos="1134"/>
          <w:tab w:val="left" w:pos="1276"/>
        </w:tabs>
        <w:suppressAutoHyphens/>
        <w:spacing w:line="240" w:lineRule="auto"/>
        <w:ind w:left="0" w:firstLine="567"/>
        <w:contextualSpacing/>
        <w:rPr>
          <w:rFonts w:cstheme="minorHAnsi"/>
        </w:rPr>
      </w:pPr>
      <w:r>
        <w:rPr>
          <w:rFonts w:cstheme="minorHAnsi"/>
          <w:lang w:eastAsia="en-US"/>
        </w:rPr>
        <w:t>tiekėjas, kuris yra paskelbtas pirkimo laimėtoju iki nurodyto laiko nepasirašo pirkimo sutarties</w:t>
      </w:r>
      <w:r>
        <w:rPr>
          <w:rFonts w:cstheme="minorHAnsi"/>
          <w:u w:val="single"/>
          <w:lang w:eastAsia="en-US"/>
        </w:rPr>
        <w:t>,</w:t>
      </w:r>
      <w:r>
        <w:rPr>
          <w:rFonts w:cstheme="minorHAnsi"/>
        </w:rPr>
        <w:t xml:space="preserve"> laikoma, kad jis atsisakė sudaryti sutartį.</w:t>
      </w:r>
    </w:p>
    <w:p w:rsidR="00D04FD4" w:rsidRDefault="002309E4">
      <w:pPr>
        <w:numPr>
          <w:ilvl w:val="2"/>
          <w:numId w:val="5"/>
        </w:numPr>
        <w:tabs>
          <w:tab w:val="left" w:pos="1134"/>
          <w:tab w:val="left" w:pos="1276"/>
        </w:tabs>
        <w:suppressAutoHyphens/>
        <w:spacing w:line="240" w:lineRule="auto"/>
        <w:ind w:left="0" w:firstLine="567"/>
        <w:contextualSpacing/>
        <w:rPr>
          <w:rFonts w:cstheme="minorHAnsi"/>
        </w:rPr>
      </w:pPr>
      <w:r>
        <w:rPr>
          <w:rFonts w:cstheme="minorHAnsi"/>
        </w:rPr>
        <w:t xml:space="preserve"> paprašius tiekėjo pateikti aktualius dokumentus, patvirtinančius jo pašalinimo pagrindų nebuvimą ir, jei taikoma, atitiktį kvalifikacijos reikalavimams, tiekėjas neteikia patvirtinančių dokumentų.</w:t>
      </w:r>
    </w:p>
    <w:p w:rsidR="00D04FD4" w:rsidRDefault="002309E4">
      <w:pPr>
        <w:numPr>
          <w:ilvl w:val="1"/>
          <w:numId w:val="5"/>
        </w:numPr>
        <w:tabs>
          <w:tab w:val="left" w:pos="993"/>
        </w:tabs>
        <w:suppressAutoHyphens/>
        <w:spacing w:line="240" w:lineRule="auto"/>
        <w:ind w:left="0" w:firstLine="567"/>
        <w:contextualSpacing/>
        <w:rPr>
          <w:rFonts w:cstheme="minorHAnsi"/>
        </w:rPr>
      </w:pPr>
      <w:r>
        <w:rPr>
          <w:rFonts w:cstheme="minorHAnsi"/>
        </w:rPr>
        <w:t>Perkančioji organizacija gali prašyti tiekėjus pratęsti pasiūlymo galiojimo užtikrinimo laiką iki konkrečiai nurodytos datos.</w:t>
      </w:r>
    </w:p>
    <w:p w:rsidR="00D04FD4" w:rsidRDefault="002309E4">
      <w:pPr>
        <w:numPr>
          <w:ilvl w:val="1"/>
          <w:numId w:val="5"/>
        </w:numPr>
        <w:tabs>
          <w:tab w:val="left" w:pos="993"/>
        </w:tabs>
        <w:suppressAutoHyphens/>
        <w:spacing w:line="240" w:lineRule="auto"/>
        <w:ind w:left="0" w:firstLine="567"/>
        <w:contextualSpacing/>
        <w:rPr>
          <w:rFonts w:cstheme="minorHAnsi"/>
        </w:rPr>
      </w:pPr>
      <w:r>
        <w:rPr>
          <w:rFonts w:cstheme="minorHAnsi"/>
        </w:rPr>
        <w:t>Atsisakoma teisių į pasiūlymo galiojimo užtikrinimą įvykus bent vienai iš šių sąlygų:</w:t>
      </w:r>
    </w:p>
    <w:p w:rsidR="00D04FD4" w:rsidRDefault="002309E4">
      <w:pPr>
        <w:numPr>
          <w:ilvl w:val="2"/>
          <w:numId w:val="5"/>
        </w:numPr>
        <w:tabs>
          <w:tab w:val="left" w:pos="1134"/>
          <w:tab w:val="left" w:pos="1276"/>
        </w:tabs>
        <w:suppressAutoHyphens/>
        <w:spacing w:line="240" w:lineRule="auto"/>
        <w:ind w:left="0" w:firstLine="567"/>
        <w:contextualSpacing/>
        <w:rPr>
          <w:rFonts w:cstheme="minorHAnsi"/>
          <w:color w:val="000000" w:themeColor="text1"/>
        </w:rPr>
      </w:pPr>
      <w:r>
        <w:rPr>
          <w:rFonts w:cstheme="minorHAnsi"/>
        </w:rPr>
        <w:t>pasibaigia pasiūlymų užtikrinimo galiojimo laikas ir tiekėjas jo nepratęsia;</w:t>
      </w:r>
    </w:p>
    <w:p w:rsidR="00D04FD4" w:rsidRDefault="002309E4">
      <w:pPr>
        <w:numPr>
          <w:ilvl w:val="2"/>
          <w:numId w:val="5"/>
        </w:numPr>
        <w:tabs>
          <w:tab w:val="left" w:pos="1134"/>
          <w:tab w:val="left" w:pos="1276"/>
        </w:tabs>
        <w:suppressAutoHyphens/>
        <w:spacing w:line="240" w:lineRule="auto"/>
        <w:ind w:left="0" w:firstLine="567"/>
        <w:contextualSpacing/>
        <w:rPr>
          <w:rFonts w:cstheme="minorHAnsi"/>
        </w:rPr>
      </w:pPr>
      <w:r>
        <w:rPr>
          <w:rFonts w:cstheme="minorHAnsi"/>
          <w:color w:val="000000" w:themeColor="text1"/>
        </w:rPr>
        <w:t>įsigalioja pasirašyta sutartis;</w:t>
      </w:r>
    </w:p>
    <w:p w:rsidR="00D04FD4" w:rsidRDefault="002309E4">
      <w:pPr>
        <w:numPr>
          <w:ilvl w:val="2"/>
          <w:numId w:val="5"/>
        </w:numPr>
        <w:tabs>
          <w:tab w:val="left" w:pos="1134"/>
          <w:tab w:val="left" w:pos="1276"/>
        </w:tabs>
        <w:suppressAutoHyphens/>
        <w:spacing w:line="240" w:lineRule="auto"/>
        <w:ind w:left="0" w:firstLine="567"/>
        <w:contextualSpacing/>
        <w:rPr>
          <w:rFonts w:cstheme="minorHAnsi"/>
        </w:rPr>
      </w:pPr>
      <w:r>
        <w:rPr>
          <w:rFonts w:cstheme="minorHAnsi"/>
          <w:color w:val="000000" w:themeColor="text1"/>
        </w:rPr>
        <w:lastRenderedPageBreak/>
        <w:t>nutraukiamos pirkimo procedūros.</w:t>
      </w:r>
    </w:p>
    <w:p w:rsidR="00D04FD4" w:rsidRDefault="00D04FD4">
      <w:pPr>
        <w:spacing w:line="240" w:lineRule="auto"/>
        <w:ind w:firstLine="567"/>
        <w:rPr>
          <w:rFonts w:cstheme="minorHAnsi"/>
        </w:rPr>
      </w:pPr>
    </w:p>
    <w:p w:rsidR="00D04FD4" w:rsidRDefault="002309E4">
      <w:pPr>
        <w:pStyle w:val="Heading1"/>
        <w:numPr>
          <w:ilvl w:val="0"/>
          <w:numId w:val="2"/>
        </w:numPr>
        <w:spacing w:before="0" w:after="0" w:line="300" w:lineRule="auto"/>
        <w:ind w:left="425" w:firstLine="0"/>
        <w:rPr>
          <w:rFonts w:ascii="Arial" w:hAnsi="Arial" w:cs="Arial"/>
        </w:rPr>
      </w:pPr>
      <w:bookmarkStart w:id="15" w:name="_Toc15392775"/>
      <w:bookmarkStart w:id="16" w:name="_Toc137194953"/>
      <w:r>
        <w:rPr>
          <w:rFonts w:asciiTheme="minorHAnsi" w:hAnsiTheme="minorHAnsi" w:cstheme="minorHAnsi"/>
          <w:color w:val="auto"/>
        </w:rPr>
        <w:t>P</w:t>
      </w:r>
      <w:bookmarkEnd w:id="15"/>
      <w:r>
        <w:rPr>
          <w:rFonts w:asciiTheme="minorHAnsi" w:hAnsiTheme="minorHAnsi" w:cstheme="minorHAnsi"/>
          <w:color w:val="auto"/>
        </w:rPr>
        <w:t>asiūlymų vertinimas</w:t>
      </w:r>
      <w:bookmarkEnd w:id="16"/>
    </w:p>
    <w:p w:rsidR="00D04FD4" w:rsidRDefault="00D04FD4">
      <w:pPr>
        <w:spacing w:line="240" w:lineRule="auto"/>
        <w:ind w:firstLine="0"/>
        <w:rPr>
          <w:rFonts w:cstheme="minorHAnsi"/>
          <w:vanish/>
        </w:rPr>
      </w:pPr>
    </w:p>
    <w:p w:rsidR="00D04FD4" w:rsidRDefault="002309E4">
      <w:pPr>
        <w:pStyle w:val="ListParagraph"/>
        <w:spacing w:line="240" w:lineRule="auto"/>
        <w:ind w:left="0" w:firstLine="709"/>
        <w:rPr>
          <w:rFonts w:eastAsia="Calibri" w:cstheme="minorHAnsi"/>
        </w:rPr>
      </w:pPr>
      <w:r>
        <w:rPr>
          <w:rFonts w:eastAsia="Calibri" w:cstheme="minorHAnsi"/>
        </w:rPr>
        <w:t xml:space="preserve">7.1.  </w:t>
      </w:r>
      <w:r>
        <w:rPr>
          <w:rFonts w:cstheme="minorHAnsi"/>
        </w:rPr>
        <w:t>Perkančioji organizacija</w:t>
      </w:r>
      <w:r>
        <w:rPr>
          <w:rFonts w:eastAsia="Calibri" w:cstheme="minorHAnsi"/>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2 priede „Pasiūlymo forma“ ir </w:t>
      </w:r>
      <w:r>
        <w:t xml:space="preserve">7 priede </w:t>
      </w:r>
      <w:r>
        <w:rPr>
          <w:rFonts w:cstheme="minorHAnsi"/>
        </w:rPr>
        <w:t>„Pasiūlymų vertinimo kriterijai ir sąlygos“.</w:t>
      </w:r>
    </w:p>
    <w:p w:rsidR="00D04FD4" w:rsidRDefault="002309E4">
      <w:pPr>
        <w:pStyle w:val="ListParagraph"/>
        <w:spacing w:line="240" w:lineRule="auto"/>
        <w:ind w:left="0"/>
        <w:rPr>
          <w:rFonts w:cstheme="minorHAnsi"/>
        </w:rPr>
      </w:pPr>
      <w:r>
        <w:rPr>
          <w:rFonts w:cstheme="minorHAnsi"/>
          <w:color w:val="000000" w:themeColor="text1"/>
        </w:rPr>
        <w:t xml:space="preserve">7.2. Laimėjusiu pasiūlymu galės būti pripažintas tik 1 (vienas) ekonomiškai naudingiausias pasiūlymas, esantis pasiūlymų eilės pirmojoje vietoje. </w:t>
      </w:r>
    </w:p>
    <w:p w:rsidR="00D04FD4" w:rsidRDefault="002309E4">
      <w:pPr>
        <w:pStyle w:val="Heading1"/>
        <w:tabs>
          <w:tab w:val="left" w:pos="567"/>
        </w:tabs>
        <w:spacing w:line="20" w:lineRule="atLeast"/>
        <w:ind w:firstLine="0"/>
        <w:contextualSpacing/>
        <w:rPr>
          <w:rFonts w:asciiTheme="minorHAnsi" w:hAnsiTheme="minorHAnsi" w:cstheme="minorHAnsi"/>
        </w:rPr>
      </w:pPr>
      <w:bookmarkStart w:id="17" w:name="_Toc137194954"/>
      <w:bookmarkStart w:id="18" w:name="_Toc126333937"/>
      <w:bookmarkStart w:id="19" w:name="_Ref39426005"/>
      <w:bookmarkStart w:id="20" w:name="_Ref39425999"/>
      <w:r>
        <w:rPr>
          <w:rFonts w:asciiTheme="minorHAnsi" w:hAnsiTheme="minorHAnsi" w:cstheme="minorHAnsi"/>
        </w:rPr>
        <w:t>8. Sutarties sudarymas</w:t>
      </w:r>
      <w:bookmarkEnd w:id="17"/>
      <w:bookmarkEnd w:id="18"/>
      <w:bookmarkEnd w:id="19"/>
      <w:bookmarkEnd w:id="20"/>
    </w:p>
    <w:p w:rsidR="00D04FD4" w:rsidRDefault="00D04FD4">
      <w:pPr>
        <w:spacing w:line="240" w:lineRule="auto"/>
        <w:ind w:left="284" w:hanging="284"/>
        <w:rPr>
          <w:rFonts w:cstheme="minorHAnsi"/>
          <w:color w:val="000000" w:themeColor="text1"/>
        </w:rPr>
      </w:pPr>
    </w:p>
    <w:p w:rsidR="00D04FD4" w:rsidRDefault="002309E4">
      <w:pPr>
        <w:pStyle w:val="ListParagraph"/>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 xml:space="preserve">Sutarties sąlygos pateikiamos specialiųjų pirkimo sąlygų 3 </w:t>
      </w:r>
      <w:r>
        <w:rPr>
          <w:rFonts w:cstheme="minorHAnsi"/>
        </w:rPr>
        <w:t xml:space="preserve">priede „Sutarties projektas“. </w:t>
      </w:r>
    </w:p>
    <w:p w:rsidR="00D04FD4" w:rsidRDefault="00D04FD4">
      <w:pPr>
        <w:pStyle w:val="NoSpacing"/>
        <w:spacing w:line="276" w:lineRule="auto"/>
        <w:contextualSpacing/>
        <w:jc w:val="left"/>
        <w:rPr>
          <w:rFonts w:ascii="Arial" w:eastAsiaTheme="minorHAnsi" w:hAnsi="Arial" w:cs="Arial"/>
        </w:rPr>
      </w:pPr>
    </w:p>
    <w:p w:rsidR="00D04FD4" w:rsidRDefault="00D04FD4">
      <w:pPr>
        <w:pStyle w:val="NoSpacing"/>
        <w:spacing w:line="276" w:lineRule="auto"/>
        <w:contextualSpacing/>
        <w:jc w:val="left"/>
        <w:rPr>
          <w:rFonts w:ascii="Arial" w:eastAsiaTheme="minorHAnsi" w:hAnsi="Arial" w:cs="Arial"/>
        </w:rPr>
      </w:pPr>
    </w:p>
    <w:p w:rsidR="00D04FD4" w:rsidRDefault="00D04FD4">
      <w:pPr>
        <w:pStyle w:val="NoSpacing"/>
        <w:spacing w:line="300" w:lineRule="auto"/>
        <w:ind w:firstLine="0"/>
        <w:contextualSpacing/>
        <w:rPr>
          <w:rFonts w:eastAsiaTheme="minorHAnsi" w:cstheme="minorHAnsi"/>
        </w:rPr>
      </w:pPr>
    </w:p>
    <w:p w:rsidR="00D04FD4" w:rsidRDefault="002309E4">
      <w:pPr>
        <w:pStyle w:val="NoSpacing"/>
        <w:spacing w:line="276" w:lineRule="auto"/>
        <w:ind w:firstLine="0"/>
        <w:contextualSpacing/>
        <w:rPr>
          <w:rFonts w:ascii="Arial" w:eastAsiaTheme="minorHAnsi" w:hAnsi="Arial" w:cs="Arial"/>
        </w:rPr>
      </w:pPr>
      <w:r>
        <w:br w:type="page"/>
      </w:r>
    </w:p>
    <w:p w:rsidR="00D04FD4" w:rsidRDefault="002309E4">
      <w:pPr>
        <w:spacing w:line="240" w:lineRule="auto"/>
        <w:ind w:left="7314" w:firstLine="0"/>
        <w:rPr>
          <w:rFonts w:cstheme="minorHAnsi"/>
        </w:rPr>
      </w:pPr>
      <w:r>
        <w:rPr>
          <w:rFonts w:cstheme="minorHAnsi"/>
        </w:rPr>
        <w:lastRenderedPageBreak/>
        <w:t>Pirkimo sąlygų 1 priedas „Techninė specifikacija“</w:t>
      </w:r>
    </w:p>
    <w:p w:rsidR="00D04FD4" w:rsidRDefault="00D04FD4">
      <w:pPr>
        <w:spacing w:line="240" w:lineRule="auto"/>
        <w:ind w:left="7314" w:firstLine="0"/>
        <w:rPr>
          <w:rFonts w:cstheme="minorHAnsi"/>
        </w:rPr>
      </w:pPr>
    </w:p>
    <w:p w:rsidR="00D04FD4" w:rsidRDefault="00D04FD4">
      <w:pPr>
        <w:spacing w:line="240" w:lineRule="auto"/>
        <w:ind w:left="7314" w:firstLine="0"/>
        <w:jc w:val="left"/>
      </w:pPr>
      <w:bookmarkStart w:id="21" w:name="_Toc85706892"/>
      <w:bookmarkStart w:id="22" w:name="_Toc48053189"/>
      <w:bookmarkStart w:id="23" w:name="_Ref38901392"/>
      <w:bookmarkStart w:id="24" w:name="_Ref38898051"/>
      <w:bookmarkStart w:id="25" w:name="_Ref38540913"/>
      <w:bookmarkStart w:id="26" w:name="_Hlk86825377"/>
      <w:bookmarkEnd w:id="21"/>
      <w:bookmarkEnd w:id="22"/>
      <w:bookmarkEnd w:id="23"/>
      <w:bookmarkEnd w:id="24"/>
      <w:bookmarkEnd w:id="25"/>
      <w:bookmarkEnd w:id="26"/>
    </w:p>
    <w:p w:rsidR="00D04FD4" w:rsidRDefault="002309E4">
      <w:pPr>
        <w:rPr>
          <w:rFonts w:cstheme="minorHAnsi"/>
        </w:rPr>
      </w:pPr>
      <w:r>
        <w:rPr>
          <w:rFonts w:cstheme="minorHAnsi"/>
        </w:rPr>
        <w:t>Atskiras dokumentas (pridedamas)</w:t>
      </w: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2309E4">
      <w:pPr>
        <w:spacing w:line="240" w:lineRule="auto"/>
        <w:ind w:left="7314" w:firstLine="0"/>
        <w:rPr>
          <w:rFonts w:cstheme="minorHAnsi"/>
        </w:rPr>
      </w:pPr>
      <w:r>
        <w:rPr>
          <w:rFonts w:cstheme="minorHAnsi"/>
        </w:rPr>
        <w:lastRenderedPageBreak/>
        <w:t>Pirkimo sąlygų 2 priedas „Pasiūlymo forma“</w:t>
      </w:r>
    </w:p>
    <w:p w:rsidR="00D04FD4" w:rsidRDefault="002309E4">
      <w:pPr>
        <w:rPr>
          <w:rFonts w:cstheme="minorHAnsi"/>
        </w:rPr>
      </w:pPr>
      <w:r>
        <w:rPr>
          <w:rFonts w:cstheme="minorHAnsi"/>
        </w:rPr>
        <w:t>Atskiras dokumentas (pridedamas)</w:t>
      </w: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rPr>
          <w:rFonts w:cstheme="minorHAnsi"/>
        </w:rPr>
      </w:pPr>
    </w:p>
    <w:p w:rsidR="00D04FD4" w:rsidRDefault="00D04FD4">
      <w:pPr>
        <w:ind w:firstLine="6237"/>
        <w:jc w:val="right"/>
        <w:rPr>
          <w:rFonts w:cstheme="minorHAnsi"/>
        </w:rPr>
      </w:pPr>
    </w:p>
    <w:p w:rsidR="00D04FD4" w:rsidRDefault="002309E4">
      <w:pPr>
        <w:spacing w:line="240" w:lineRule="auto"/>
        <w:ind w:left="7314" w:firstLine="0"/>
        <w:rPr>
          <w:rFonts w:cstheme="minorHAnsi"/>
        </w:rPr>
      </w:pPr>
      <w:r>
        <w:rPr>
          <w:rFonts w:cstheme="minorHAnsi"/>
        </w:rPr>
        <w:lastRenderedPageBreak/>
        <w:t>Pirkimo sąlygų 3 priedas „Sutarties projektas“</w:t>
      </w:r>
    </w:p>
    <w:p w:rsidR="00D04FD4" w:rsidRDefault="002309E4">
      <w:pPr>
        <w:spacing w:line="240" w:lineRule="auto"/>
        <w:rPr>
          <w:rFonts w:cstheme="minorHAnsi"/>
        </w:rPr>
      </w:pPr>
      <w:r>
        <w:rPr>
          <w:rFonts w:cstheme="minorHAnsi"/>
        </w:rPr>
        <w:t>Atskiras dokumentas (pridedamas)</w:t>
      </w: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spacing w:line="240" w:lineRule="auto"/>
        <w:rPr>
          <w:rFonts w:cstheme="minorHAnsi"/>
        </w:rPr>
      </w:pPr>
    </w:p>
    <w:p w:rsidR="00D04FD4" w:rsidRDefault="00D04FD4">
      <w:pPr>
        <w:ind w:firstLine="6237"/>
        <w:jc w:val="right"/>
        <w:rPr>
          <w:rFonts w:cstheme="minorHAnsi"/>
        </w:rPr>
      </w:pPr>
    </w:p>
    <w:p w:rsidR="00D04FD4" w:rsidRDefault="00D04FD4">
      <w:pPr>
        <w:ind w:firstLine="6237"/>
        <w:jc w:val="right"/>
        <w:rPr>
          <w:rFonts w:cstheme="minorHAnsi"/>
        </w:rPr>
      </w:pPr>
    </w:p>
    <w:p w:rsidR="00D04FD4" w:rsidRDefault="002309E4">
      <w:pPr>
        <w:ind w:firstLine="6237"/>
        <w:jc w:val="right"/>
        <w:rPr>
          <w:rFonts w:cstheme="minorHAnsi"/>
        </w:rPr>
      </w:pPr>
      <w:r>
        <w:rPr>
          <w:rFonts w:cstheme="minorHAnsi"/>
        </w:rPr>
        <w:lastRenderedPageBreak/>
        <w:t>Pirkimo sąlygų 4 priedas „Terminai“</w:t>
      </w:r>
    </w:p>
    <w:p w:rsidR="00D04FD4" w:rsidRDefault="002309E4">
      <w:pPr>
        <w:ind w:firstLine="0"/>
        <w:jc w:val="center"/>
        <w:rPr>
          <w:rFonts w:eastAsiaTheme="minorHAnsi" w:cstheme="minorHAnsi"/>
          <w:b/>
          <w:bCs/>
          <w:iCs/>
        </w:rPr>
      </w:pPr>
      <w:r>
        <w:rPr>
          <w:rFonts w:cstheme="minorHAnsi"/>
          <w:b/>
        </w:rPr>
        <w:t>TERMINAI</w:t>
      </w:r>
    </w:p>
    <w:tbl>
      <w:tblPr>
        <w:tblStyle w:val="TableGrid21"/>
        <w:tblW w:w="10065" w:type="dxa"/>
        <w:tblInd w:w="-5" w:type="dxa"/>
        <w:tblLook w:val="04A0" w:firstRow="1" w:lastRow="0" w:firstColumn="1" w:lastColumn="0" w:noHBand="0" w:noVBand="1"/>
      </w:tblPr>
      <w:tblGrid>
        <w:gridCol w:w="598"/>
        <w:gridCol w:w="4929"/>
        <w:gridCol w:w="4538"/>
      </w:tblGrid>
      <w:tr w:rsidR="00D04FD4">
        <w:trPr>
          <w:trHeight w:val="20"/>
        </w:trPr>
        <w:tc>
          <w:tcPr>
            <w:tcW w:w="598" w:type="dxa"/>
            <w:shd w:val="clear" w:color="auto" w:fill="auto"/>
          </w:tcPr>
          <w:p w:rsidR="00D04FD4" w:rsidRDefault="002309E4">
            <w:pPr>
              <w:suppressAutoHyphens/>
              <w:ind w:firstLine="0"/>
              <w:jc w:val="center"/>
              <w:rPr>
                <w:rFonts w:cstheme="minorHAnsi"/>
              </w:rPr>
            </w:pPr>
            <w:r>
              <w:rPr>
                <w:rFonts w:cstheme="minorHAnsi"/>
              </w:rPr>
              <w:t>Eil.</w:t>
            </w:r>
          </w:p>
          <w:p w:rsidR="00D04FD4" w:rsidRDefault="002309E4">
            <w:pPr>
              <w:suppressAutoHyphens/>
              <w:ind w:firstLine="0"/>
              <w:jc w:val="center"/>
              <w:rPr>
                <w:rFonts w:cstheme="minorHAnsi"/>
              </w:rPr>
            </w:pPr>
            <w:r>
              <w:rPr>
                <w:rFonts w:cstheme="minorHAnsi"/>
              </w:rPr>
              <w:t>Nr.</w:t>
            </w:r>
          </w:p>
        </w:tc>
        <w:tc>
          <w:tcPr>
            <w:tcW w:w="4929" w:type="dxa"/>
            <w:shd w:val="clear" w:color="auto" w:fill="auto"/>
          </w:tcPr>
          <w:p w:rsidR="00D04FD4" w:rsidRDefault="002309E4">
            <w:pPr>
              <w:suppressAutoHyphens/>
              <w:ind w:firstLine="0"/>
              <w:jc w:val="center"/>
              <w:rPr>
                <w:rFonts w:cstheme="minorHAnsi"/>
              </w:rPr>
            </w:pPr>
            <w:r>
              <w:rPr>
                <w:rFonts w:cstheme="minorHAnsi"/>
                <w:b/>
              </w:rPr>
              <w:t>VEIKSMAS</w:t>
            </w:r>
          </w:p>
        </w:tc>
        <w:tc>
          <w:tcPr>
            <w:tcW w:w="4538" w:type="dxa"/>
            <w:shd w:val="clear" w:color="auto" w:fill="auto"/>
          </w:tcPr>
          <w:p w:rsidR="00D04FD4" w:rsidRDefault="002309E4">
            <w:pPr>
              <w:suppressAutoHyphens/>
              <w:ind w:firstLine="34"/>
              <w:jc w:val="center"/>
              <w:rPr>
                <w:rFonts w:cstheme="minorHAnsi"/>
                <w:b/>
              </w:rPr>
            </w:pPr>
            <w:r>
              <w:rPr>
                <w:rFonts w:cstheme="minorHAnsi"/>
                <w:b/>
              </w:rPr>
              <w:t>DATA/DIENŲ SKAIČIUS/ LAIKAS</w:t>
            </w:r>
          </w:p>
          <w:p w:rsidR="00D04FD4" w:rsidRDefault="002309E4">
            <w:pPr>
              <w:suppressAutoHyphens/>
              <w:ind w:firstLine="34"/>
              <w:jc w:val="center"/>
              <w:rPr>
                <w:rFonts w:cstheme="minorHAnsi"/>
              </w:rPr>
            </w:pPr>
            <w:r>
              <w:rPr>
                <w:rFonts w:cstheme="minorHAnsi"/>
              </w:rPr>
              <w:t>(Lietuvos laiku)</w:t>
            </w:r>
          </w:p>
        </w:tc>
      </w:tr>
      <w:tr w:rsidR="00D04FD4">
        <w:trPr>
          <w:trHeight w:val="20"/>
        </w:trPr>
        <w:tc>
          <w:tcPr>
            <w:tcW w:w="598" w:type="dxa"/>
            <w:shd w:val="clear" w:color="auto" w:fill="auto"/>
          </w:tcPr>
          <w:p w:rsidR="00D04FD4" w:rsidRDefault="002309E4">
            <w:pPr>
              <w:suppressAutoHyphens/>
              <w:ind w:firstLine="0"/>
              <w:rPr>
                <w:rFonts w:cstheme="minorHAnsi"/>
                <w:bCs/>
              </w:rPr>
            </w:pPr>
            <w:r>
              <w:rPr>
                <w:rFonts w:cstheme="minorHAnsi"/>
                <w:bCs/>
              </w:rPr>
              <w:t>1.</w:t>
            </w:r>
          </w:p>
        </w:tc>
        <w:tc>
          <w:tcPr>
            <w:tcW w:w="4929" w:type="dxa"/>
            <w:shd w:val="clear" w:color="auto" w:fill="auto"/>
          </w:tcPr>
          <w:p w:rsidR="00D04FD4" w:rsidRDefault="002309E4">
            <w:pPr>
              <w:suppressAutoHyphens/>
              <w:ind w:firstLine="0"/>
              <w:rPr>
                <w:rFonts w:cstheme="minorHAnsi"/>
                <w:bCs/>
              </w:rPr>
            </w:pPr>
            <w:r>
              <w:rPr>
                <w:rFonts w:cstheme="minorHAnsi"/>
                <w:bCs/>
              </w:rPr>
              <w:t>Pasiūlymų pateikimo terminas</w:t>
            </w:r>
          </w:p>
        </w:tc>
        <w:tc>
          <w:tcPr>
            <w:tcW w:w="4538" w:type="dxa"/>
            <w:shd w:val="clear" w:color="auto" w:fill="auto"/>
          </w:tcPr>
          <w:p w:rsidR="00D04FD4" w:rsidRDefault="002309E4">
            <w:pPr>
              <w:suppressAutoHyphens/>
              <w:ind w:firstLine="34"/>
              <w:rPr>
                <w:rFonts w:cstheme="minorHAnsi"/>
              </w:rPr>
            </w:pPr>
            <w:r>
              <w:rPr>
                <w:rFonts w:cstheme="minorHAnsi"/>
              </w:rPr>
              <w:t xml:space="preserve">Bus nurodytas skelbime apie pirkimą. </w:t>
            </w:r>
          </w:p>
          <w:p w:rsidR="00D04FD4" w:rsidRDefault="00D04FD4">
            <w:pPr>
              <w:suppressAutoHyphens/>
              <w:ind w:firstLine="34"/>
              <w:rPr>
                <w:rFonts w:cstheme="minorHAnsi"/>
              </w:rPr>
            </w:pPr>
          </w:p>
          <w:p w:rsidR="00D04FD4" w:rsidRDefault="002309E4">
            <w:pPr>
              <w:suppressAutoHyphens/>
              <w:ind w:firstLine="0"/>
              <w:rPr>
                <w:rFonts w:cstheme="minorHAnsi"/>
              </w:rPr>
            </w:pPr>
            <w:r>
              <w:rPr>
                <w:rFonts w:cstheme="minorHAnsi"/>
                <w:i/>
              </w:rPr>
              <w:t>Pastaba: Perkančioji organizacija turi teisę pratęsti pasiūlymų pateikimo terminą.</w:t>
            </w:r>
          </w:p>
        </w:tc>
      </w:tr>
      <w:tr w:rsidR="00D04FD4">
        <w:trPr>
          <w:trHeight w:val="20"/>
        </w:trPr>
        <w:tc>
          <w:tcPr>
            <w:tcW w:w="598" w:type="dxa"/>
            <w:shd w:val="clear" w:color="auto" w:fill="auto"/>
          </w:tcPr>
          <w:p w:rsidR="00D04FD4" w:rsidRDefault="002309E4">
            <w:pPr>
              <w:suppressAutoHyphens/>
              <w:ind w:firstLine="0"/>
              <w:rPr>
                <w:rFonts w:cstheme="minorHAnsi"/>
                <w:bCs/>
              </w:rPr>
            </w:pPr>
            <w:r>
              <w:rPr>
                <w:rFonts w:cstheme="minorHAnsi"/>
                <w:bCs/>
              </w:rPr>
              <w:t>2.</w:t>
            </w:r>
          </w:p>
        </w:tc>
        <w:tc>
          <w:tcPr>
            <w:tcW w:w="4929" w:type="dxa"/>
            <w:shd w:val="clear" w:color="auto" w:fill="auto"/>
          </w:tcPr>
          <w:p w:rsidR="00D04FD4" w:rsidRDefault="002309E4">
            <w:pPr>
              <w:suppressAutoHyphens/>
              <w:ind w:firstLine="0"/>
              <w:rPr>
                <w:rFonts w:cstheme="minorHAnsi"/>
                <w:bCs/>
              </w:rPr>
            </w:pPr>
            <w:r>
              <w:rPr>
                <w:rFonts w:cstheme="minorHAnsi"/>
              </w:rPr>
              <w:t>Pasiūlymą patikslinti pirkimo dokumentus arba prašymus dėl pirkimo dokumentų paaiškinimų tiekėjas turi pateikti ne vėliau kaip:</w:t>
            </w:r>
          </w:p>
        </w:tc>
        <w:tc>
          <w:tcPr>
            <w:tcW w:w="4538" w:type="dxa"/>
            <w:shd w:val="clear" w:color="auto" w:fill="auto"/>
          </w:tcPr>
          <w:p w:rsidR="00D04FD4" w:rsidRDefault="002309E4">
            <w:pPr>
              <w:suppressAutoHyphens/>
              <w:ind w:firstLine="0"/>
              <w:rPr>
                <w:rFonts w:cstheme="minorHAnsi"/>
              </w:rPr>
            </w:pPr>
            <w:r>
              <w:rPr>
                <w:rFonts w:cstheme="minorHAnsi"/>
              </w:rPr>
              <w:t xml:space="preserve">Likus </w:t>
            </w:r>
            <w:r>
              <w:rPr>
                <w:rFonts w:cstheme="minorHAnsi"/>
                <w:b/>
              </w:rPr>
              <w:t>2 darbo dienoms</w:t>
            </w:r>
            <w:r>
              <w:rPr>
                <w:rFonts w:cstheme="minorHAnsi"/>
              </w:rPr>
              <w:t xml:space="preserve"> iki pasiūlymų pateikimo termino pabaigos.</w:t>
            </w:r>
          </w:p>
        </w:tc>
      </w:tr>
      <w:tr w:rsidR="00D04FD4">
        <w:trPr>
          <w:trHeight w:val="20"/>
        </w:trPr>
        <w:tc>
          <w:tcPr>
            <w:tcW w:w="598" w:type="dxa"/>
            <w:shd w:val="clear" w:color="auto" w:fill="auto"/>
          </w:tcPr>
          <w:p w:rsidR="00D04FD4" w:rsidRDefault="002309E4">
            <w:pPr>
              <w:suppressAutoHyphens/>
              <w:ind w:firstLine="0"/>
              <w:rPr>
                <w:rFonts w:cstheme="minorHAnsi"/>
                <w:bCs/>
              </w:rPr>
            </w:pPr>
            <w:r>
              <w:rPr>
                <w:rFonts w:cstheme="minorHAnsi"/>
                <w:bCs/>
              </w:rPr>
              <w:t>3.</w:t>
            </w:r>
          </w:p>
        </w:tc>
        <w:tc>
          <w:tcPr>
            <w:tcW w:w="4929" w:type="dxa"/>
            <w:shd w:val="clear" w:color="auto" w:fill="auto"/>
          </w:tcPr>
          <w:p w:rsidR="00D04FD4" w:rsidRDefault="002309E4">
            <w:pPr>
              <w:suppressAutoHyphens/>
              <w:ind w:firstLine="0"/>
              <w:rPr>
                <w:rFonts w:cstheme="minorHAnsi"/>
              </w:rPr>
            </w:pPr>
            <w:r>
              <w:rPr>
                <w:rFonts w:eastAsia="Arial" w:cstheme="minorHAnsi"/>
              </w:rPr>
              <w:t xml:space="preserve">Perkančioji organizacija </w:t>
            </w:r>
            <w:r>
              <w:rPr>
                <w:rFonts w:cstheme="minorHAnsi"/>
              </w:rPr>
              <w:t>pirkimo dokumentų paaiškinimą, patikslinimą pateikia visiems dalyviams:</w:t>
            </w:r>
          </w:p>
        </w:tc>
        <w:tc>
          <w:tcPr>
            <w:tcW w:w="4538" w:type="dxa"/>
            <w:shd w:val="clear" w:color="auto" w:fill="auto"/>
          </w:tcPr>
          <w:p w:rsidR="00D04FD4" w:rsidRDefault="002309E4">
            <w:pPr>
              <w:suppressAutoHyphens/>
              <w:ind w:firstLine="0"/>
              <w:rPr>
                <w:rFonts w:cstheme="minorHAnsi"/>
              </w:rPr>
            </w:pPr>
            <w:r>
              <w:rPr>
                <w:rFonts w:cstheme="minorHAnsi"/>
                <w:bCs/>
              </w:rPr>
              <w:t>Likus ne mažiau kaip</w:t>
            </w:r>
            <w:r>
              <w:rPr>
                <w:rFonts w:cstheme="minorHAnsi"/>
                <w:b/>
              </w:rPr>
              <w:t xml:space="preserve"> 1 darbo dienai</w:t>
            </w:r>
            <w:r>
              <w:rPr>
                <w:rFonts w:cstheme="minorHAnsi"/>
              </w:rPr>
              <w:t xml:space="preserve"> iki pasiūlymų pateikimo termino pabaigos.</w:t>
            </w:r>
          </w:p>
          <w:p w:rsidR="00D04FD4" w:rsidRDefault="00D04FD4">
            <w:pPr>
              <w:suppressAutoHyphens/>
              <w:ind w:firstLine="0"/>
              <w:rPr>
                <w:rFonts w:cstheme="minorHAnsi"/>
              </w:rPr>
            </w:pPr>
          </w:p>
          <w:p w:rsidR="00D04FD4" w:rsidRDefault="002309E4">
            <w:pPr>
              <w:suppressAutoHyphens/>
              <w:ind w:firstLine="0"/>
              <w:rPr>
                <w:rFonts w:cstheme="minorHAnsi"/>
              </w:rPr>
            </w:pPr>
            <w:r>
              <w:rPr>
                <w:rFonts w:cstheme="minorHAnsi"/>
                <w:i/>
              </w:rPr>
              <w:t xml:space="preserve">Pastaba: </w:t>
            </w:r>
            <w:r>
              <w:rPr>
                <w:rFonts w:cstheme="minorHAnsi"/>
                <w:i/>
                <w:color w:val="000000"/>
              </w:rPr>
              <w:t xml:space="preserve">Jei paaiškinimai ar patikslinimai teikiami perkančiosios organizacijos iniciatyva, jų pateikimo terminas nesikeičia. </w:t>
            </w:r>
          </w:p>
        </w:tc>
      </w:tr>
      <w:tr w:rsidR="00D04FD4">
        <w:trPr>
          <w:trHeight w:val="561"/>
        </w:trPr>
        <w:tc>
          <w:tcPr>
            <w:tcW w:w="598" w:type="dxa"/>
            <w:shd w:val="clear" w:color="auto" w:fill="auto"/>
          </w:tcPr>
          <w:p w:rsidR="00D04FD4" w:rsidRDefault="002309E4">
            <w:pPr>
              <w:suppressAutoHyphens/>
              <w:ind w:firstLine="0"/>
              <w:rPr>
                <w:rFonts w:cstheme="minorHAnsi"/>
                <w:bCs/>
              </w:rPr>
            </w:pPr>
            <w:r>
              <w:rPr>
                <w:rFonts w:cstheme="minorHAnsi"/>
                <w:bCs/>
              </w:rPr>
              <w:t>4.</w:t>
            </w:r>
          </w:p>
        </w:tc>
        <w:tc>
          <w:tcPr>
            <w:tcW w:w="4929" w:type="dxa"/>
            <w:shd w:val="clear" w:color="auto" w:fill="auto"/>
          </w:tcPr>
          <w:p w:rsidR="00D04FD4" w:rsidRDefault="002309E4">
            <w:pPr>
              <w:suppressAutoHyphens/>
              <w:ind w:firstLine="0"/>
              <w:rPr>
                <w:rFonts w:cstheme="minorHAnsi"/>
              </w:rPr>
            </w:pPr>
            <w:r>
              <w:rPr>
                <w:rFonts w:cstheme="minorHAnsi"/>
              </w:rPr>
              <w:t>Pradinis susipažinimas su CVP IS priemonėmis gautais pasiūlymais</w:t>
            </w:r>
          </w:p>
        </w:tc>
        <w:tc>
          <w:tcPr>
            <w:tcW w:w="4538" w:type="dxa"/>
            <w:shd w:val="clear" w:color="auto" w:fill="auto"/>
          </w:tcPr>
          <w:p w:rsidR="00D04FD4" w:rsidRDefault="002309E4">
            <w:pPr>
              <w:suppressAutoHyphens/>
              <w:ind w:firstLine="34"/>
              <w:rPr>
                <w:rFonts w:cstheme="minorHAnsi"/>
              </w:rPr>
            </w:pPr>
            <w:r>
              <w:rPr>
                <w:rFonts w:cstheme="minorHAnsi"/>
              </w:rPr>
              <w:t xml:space="preserve">Pradedamas ne anksčiau nei </w:t>
            </w:r>
            <w:r>
              <w:rPr>
                <w:rFonts w:cstheme="minorHAnsi"/>
                <w:color w:val="000000" w:themeColor="text1"/>
              </w:rPr>
              <w:t>po 30 minučių</w:t>
            </w:r>
            <w:r>
              <w:rPr>
                <w:rFonts w:cstheme="minorHAnsi"/>
              </w:rPr>
              <w:t xml:space="preserve"> po galutinių pasiūlymų pateikimo termino pabaigos</w:t>
            </w:r>
          </w:p>
        </w:tc>
      </w:tr>
      <w:tr w:rsidR="00D04FD4">
        <w:trPr>
          <w:trHeight w:val="20"/>
        </w:trPr>
        <w:tc>
          <w:tcPr>
            <w:tcW w:w="598" w:type="dxa"/>
            <w:shd w:val="clear" w:color="auto" w:fill="auto"/>
          </w:tcPr>
          <w:p w:rsidR="00D04FD4" w:rsidRDefault="002309E4">
            <w:pPr>
              <w:suppressAutoHyphens/>
              <w:ind w:firstLine="0"/>
              <w:rPr>
                <w:rFonts w:cstheme="minorHAnsi"/>
                <w:bCs/>
              </w:rPr>
            </w:pPr>
            <w:r>
              <w:rPr>
                <w:rFonts w:cstheme="minorHAnsi"/>
                <w:bCs/>
              </w:rPr>
              <w:t>5.</w:t>
            </w:r>
          </w:p>
        </w:tc>
        <w:tc>
          <w:tcPr>
            <w:tcW w:w="4929" w:type="dxa"/>
            <w:shd w:val="clear" w:color="auto" w:fill="auto"/>
          </w:tcPr>
          <w:p w:rsidR="00D04FD4" w:rsidRDefault="002309E4">
            <w:pPr>
              <w:suppressAutoHyphens/>
              <w:ind w:firstLine="0"/>
              <w:rPr>
                <w:rFonts w:cstheme="minorHAnsi"/>
              </w:rPr>
            </w:pPr>
            <w:r>
              <w:rPr>
                <w:rFonts w:cstheme="minorHAnsi"/>
                <w:bCs/>
              </w:rPr>
              <w:t>Pasiūlymo galiojimo ir pasiūlymo galiojimo užtikrinimo (jei taikoma) terminas ne trumpesnis kaip</w:t>
            </w:r>
          </w:p>
        </w:tc>
        <w:tc>
          <w:tcPr>
            <w:tcW w:w="4538" w:type="dxa"/>
            <w:shd w:val="clear" w:color="auto" w:fill="auto"/>
          </w:tcPr>
          <w:p w:rsidR="00D04FD4" w:rsidRDefault="002309E4">
            <w:pPr>
              <w:suppressAutoHyphens/>
              <w:ind w:firstLine="34"/>
              <w:rPr>
                <w:rFonts w:cstheme="minorHAnsi"/>
              </w:rPr>
            </w:pPr>
            <w:r>
              <w:rPr>
                <w:rFonts w:cstheme="minorHAnsi"/>
              </w:rPr>
              <w:t xml:space="preserve">90 (devyniasdešimt) dienų nuo pasiūlymų pateikimo galutinio termino pabaigos. </w:t>
            </w:r>
          </w:p>
        </w:tc>
      </w:tr>
      <w:tr w:rsidR="00D04FD4">
        <w:trPr>
          <w:trHeight w:val="20"/>
        </w:trPr>
        <w:tc>
          <w:tcPr>
            <w:tcW w:w="598" w:type="dxa"/>
            <w:shd w:val="clear" w:color="auto" w:fill="auto"/>
          </w:tcPr>
          <w:p w:rsidR="00D04FD4" w:rsidRDefault="002309E4">
            <w:pPr>
              <w:suppressAutoHyphens/>
              <w:ind w:firstLine="0"/>
              <w:rPr>
                <w:rFonts w:cstheme="minorHAnsi"/>
                <w:bCs/>
              </w:rPr>
            </w:pPr>
            <w:r>
              <w:rPr>
                <w:rFonts w:cstheme="minorHAnsi"/>
                <w:bCs/>
              </w:rPr>
              <w:t>6.</w:t>
            </w:r>
          </w:p>
        </w:tc>
        <w:tc>
          <w:tcPr>
            <w:tcW w:w="4929" w:type="dxa"/>
            <w:shd w:val="clear" w:color="auto" w:fill="auto"/>
          </w:tcPr>
          <w:p w:rsidR="00D04FD4" w:rsidRDefault="002309E4">
            <w:pPr>
              <w:suppressAutoHyphens/>
              <w:ind w:firstLine="0"/>
              <w:rPr>
                <w:rFonts w:cstheme="minorHAnsi"/>
              </w:rPr>
            </w:pPr>
            <w:r>
              <w:rPr>
                <w:rFonts w:eastAsia="Arial" w:cstheme="minorHAnsi"/>
              </w:rPr>
              <w:t>Perkančioji organizacija</w:t>
            </w:r>
            <w:r>
              <w:rPr>
                <w:rFonts w:cstheme="minorHAnsi"/>
              </w:rPr>
              <w:t xml:space="preserve"> atsako dalyviui, ar jis sutinka priimti dalyvio siūlomą pasiūlymo galiojimo užtikrinimą patvirtinantį dokumentą ne vėliau kaip per</w:t>
            </w:r>
          </w:p>
        </w:tc>
        <w:tc>
          <w:tcPr>
            <w:tcW w:w="4538" w:type="dxa"/>
            <w:shd w:val="clear" w:color="auto" w:fill="auto"/>
          </w:tcPr>
          <w:p w:rsidR="00D04FD4" w:rsidRDefault="002309E4">
            <w:pPr>
              <w:suppressAutoHyphens/>
              <w:ind w:firstLine="34"/>
              <w:rPr>
                <w:rFonts w:cstheme="minorHAnsi"/>
                <w:iCs/>
              </w:rPr>
            </w:pPr>
            <w:r>
              <w:rPr>
                <w:rFonts w:cstheme="minorHAnsi"/>
                <w:iCs/>
              </w:rPr>
              <w:t>NETAIKOMA</w:t>
            </w:r>
          </w:p>
          <w:p w:rsidR="00D04FD4" w:rsidRDefault="00D04FD4">
            <w:pPr>
              <w:suppressAutoHyphens/>
              <w:ind w:firstLine="0"/>
              <w:jc w:val="left"/>
              <w:rPr>
                <w:rFonts w:cstheme="minorHAnsi"/>
                <w:bCs/>
                <w:i/>
                <w:color w:val="000000"/>
              </w:rPr>
            </w:pPr>
          </w:p>
          <w:p w:rsidR="00D04FD4" w:rsidRDefault="00D04FD4">
            <w:pPr>
              <w:suppressAutoHyphens/>
              <w:ind w:firstLine="0"/>
              <w:rPr>
                <w:rFonts w:cstheme="minorHAnsi"/>
              </w:rPr>
            </w:pPr>
          </w:p>
        </w:tc>
      </w:tr>
      <w:tr w:rsidR="00D04FD4">
        <w:trPr>
          <w:trHeight w:val="20"/>
        </w:trPr>
        <w:tc>
          <w:tcPr>
            <w:tcW w:w="598" w:type="dxa"/>
            <w:shd w:val="clear" w:color="auto" w:fill="auto"/>
          </w:tcPr>
          <w:p w:rsidR="00D04FD4" w:rsidRDefault="002309E4">
            <w:pPr>
              <w:suppressAutoHyphens/>
              <w:ind w:firstLine="0"/>
              <w:rPr>
                <w:rFonts w:cstheme="minorHAnsi"/>
                <w:bCs/>
              </w:rPr>
            </w:pPr>
            <w:r>
              <w:rPr>
                <w:rFonts w:cstheme="minorHAnsi"/>
                <w:bCs/>
              </w:rPr>
              <w:t>7.</w:t>
            </w:r>
          </w:p>
        </w:tc>
        <w:tc>
          <w:tcPr>
            <w:tcW w:w="4929" w:type="dxa"/>
            <w:shd w:val="clear" w:color="auto" w:fill="auto"/>
          </w:tcPr>
          <w:p w:rsidR="00D04FD4" w:rsidRDefault="002309E4">
            <w:pPr>
              <w:suppressAutoHyphens/>
              <w:ind w:firstLine="0"/>
              <w:rPr>
                <w:rFonts w:cstheme="minorHAnsi"/>
              </w:rPr>
            </w:pPr>
            <w:r>
              <w:rPr>
                <w:rFonts w:cstheme="minorHAnsi"/>
              </w:rPr>
              <w:t>Pasiūlymo galiojimo užtikrinimas pirkimo dalyviui grąžinamas (arba atsisakoma teisių į jį) per</w:t>
            </w:r>
          </w:p>
        </w:tc>
        <w:tc>
          <w:tcPr>
            <w:tcW w:w="4538" w:type="dxa"/>
            <w:shd w:val="clear" w:color="auto" w:fill="auto"/>
          </w:tcPr>
          <w:p w:rsidR="00D04FD4" w:rsidRDefault="002309E4">
            <w:pPr>
              <w:suppressAutoHyphens/>
              <w:ind w:firstLine="34"/>
              <w:rPr>
                <w:rFonts w:cstheme="minorHAnsi"/>
                <w:iCs/>
              </w:rPr>
            </w:pPr>
            <w:r>
              <w:rPr>
                <w:rFonts w:cstheme="minorHAnsi"/>
                <w:iCs/>
              </w:rPr>
              <w:t>NETAIKOMA</w:t>
            </w:r>
          </w:p>
          <w:p w:rsidR="00D04FD4" w:rsidRDefault="00D04FD4">
            <w:pPr>
              <w:suppressAutoHyphens/>
              <w:ind w:firstLine="0"/>
              <w:jc w:val="left"/>
              <w:rPr>
                <w:rFonts w:cstheme="minorHAnsi"/>
                <w:bCs/>
                <w:i/>
                <w:color w:val="000000"/>
              </w:rPr>
            </w:pPr>
          </w:p>
          <w:p w:rsidR="00D04FD4" w:rsidRDefault="00D04FD4">
            <w:pPr>
              <w:suppressAutoHyphens/>
              <w:ind w:firstLine="0"/>
              <w:jc w:val="left"/>
              <w:rPr>
                <w:rFonts w:cstheme="minorHAnsi"/>
              </w:rPr>
            </w:pPr>
          </w:p>
        </w:tc>
      </w:tr>
      <w:tr w:rsidR="00D04FD4">
        <w:trPr>
          <w:trHeight w:val="20"/>
        </w:trPr>
        <w:tc>
          <w:tcPr>
            <w:tcW w:w="598" w:type="dxa"/>
            <w:shd w:val="clear" w:color="auto" w:fill="auto"/>
          </w:tcPr>
          <w:p w:rsidR="00D04FD4" w:rsidRDefault="002309E4">
            <w:pPr>
              <w:suppressAutoHyphens/>
              <w:ind w:firstLine="0"/>
              <w:rPr>
                <w:rFonts w:cstheme="minorHAnsi"/>
                <w:bCs/>
              </w:rPr>
            </w:pPr>
            <w:r>
              <w:rPr>
                <w:rFonts w:cstheme="minorHAnsi"/>
                <w:bCs/>
              </w:rPr>
              <w:t>8.</w:t>
            </w:r>
          </w:p>
        </w:tc>
        <w:tc>
          <w:tcPr>
            <w:tcW w:w="4929" w:type="dxa"/>
            <w:shd w:val="clear" w:color="auto" w:fill="auto"/>
          </w:tcPr>
          <w:p w:rsidR="00D04FD4" w:rsidRDefault="002309E4">
            <w:pPr>
              <w:suppressAutoHyphens/>
              <w:ind w:firstLine="0"/>
              <w:rPr>
                <w:rFonts w:cstheme="minorHAnsi"/>
              </w:rPr>
            </w:pPr>
            <w:r>
              <w:rPr>
                <w:rFonts w:eastAsia="Arial" w:cstheme="minorHAnsi"/>
              </w:rPr>
              <w:t>Perkančioji organizacija</w:t>
            </w:r>
            <w:r>
              <w:rPr>
                <w:rFonts w:cstheme="minorHAnsi"/>
              </w:rPr>
              <w:t xml:space="preserve"> informuoja dalyvius apie EBVPD vertinimo rezultatus, jeigu taikoma, ne vėliau kaip per</w:t>
            </w:r>
          </w:p>
        </w:tc>
        <w:tc>
          <w:tcPr>
            <w:tcW w:w="4538" w:type="dxa"/>
            <w:shd w:val="clear" w:color="auto" w:fill="auto"/>
          </w:tcPr>
          <w:p w:rsidR="00D04FD4" w:rsidRDefault="002309E4">
            <w:pPr>
              <w:suppressAutoHyphens/>
              <w:ind w:firstLine="34"/>
              <w:rPr>
                <w:rFonts w:cstheme="minorHAnsi"/>
                <w:iCs/>
              </w:rPr>
            </w:pPr>
            <w:r>
              <w:rPr>
                <w:rFonts w:cstheme="minorHAnsi"/>
                <w:iCs/>
              </w:rPr>
              <w:t>NETAIKOMA</w:t>
            </w:r>
          </w:p>
          <w:p w:rsidR="00D04FD4" w:rsidRDefault="00D04FD4">
            <w:pPr>
              <w:suppressAutoHyphens/>
              <w:ind w:firstLine="34"/>
              <w:rPr>
                <w:rFonts w:cstheme="minorHAnsi"/>
              </w:rPr>
            </w:pPr>
          </w:p>
        </w:tc>
      </w:tr>
      <w:tr w:rsidR="00D04FD4">
        <w:trPr>
          <w:trHeight w:val="20"/>
        </w:trPr>
        <w:tc>
          <w:tcPr>
            <w:tcW w:w="598" w:type="dxa"/>
            <w:shd w:val="clear" w:color="auto" w:fill="auto"/>
          </w:tcPr>
          <w:p w:rsidR="00D04FD4" w:rsidRDefault="002309E4">
            <w:pPr>
              <w:suppressAutoHyphens/>
              <w:ind w:firstLine="0"/>
              <w:rPr>
                <w:rFonts w:cstheme="minorHAnsi"/>
                <w:bCs/>
              </w:rPr>
            </w:pPr>
            <w:r>
              <w:rPr>
                <w:rFonts w:cstheme="minorHAnsi"/>
                <w:bCs/>
              </w:rPr>
              <w:t>9.</w:t>
            </w:r>
          </w:p>
        </w:tc>
        <w:tc>
          <w:tcPr>
            <w:tcW w:w="4929" w:type="dxa"/>
            <w:shd w:val="clear" w:color="auto" w:fill="auto"/>
          </w:tcPr>
          <w:p w:rsidR="00D04FD4" w:rsidRDefault="002309E4">
            <w:pPr>
              <w:suppressAutoHyphens/>
              <w:ind w:firstLine="0"/>
              <w:rPr>
                <w:rFonts w:cstheme="minorHAnsi"/>
              </w:rPr>
            </w:pPr>
            <w:r>
              <w:rPr>
                <w:rFonts w:eastAsia="Arial" w:cstheme="minorHAnsi"/>
              </w:rPr>
              <w:t>Perkančioji organizacija</w:t>
            </w:r>
            <w:r>
              <w:rPr>
                <w:rFonts w:cstheme="minorHAnsi"/>
              </w:rPr>
              <w:t xml:space="preserve"> dalyviams praneša apie priimtą sprendimą nustatyti laimėjusį pasiūlymą, dėl kurio bus sudaroma sutartis ne vėliau kaip per</w:t>
            </w:r>
          </w:p>
        </w:tc>
        <w:tc>
          <w:tcPr>
            <w:tcW w:w="4538" w:type="dxa"/>
            <w:shd w:val="clear" w:color="auto" w:fill="auto"/>
          </w:tcPr>
          <w:p w:rsidR="00D04FD4" w:rsidRDefault="002309E4">
            <w:pPr>
              <w:suppressAutoHyphens/>
              <w:ind w:firstLine="34"/>
              <w:rPr>
                <w:rFonts w:cstheme="minorHAnsi"/>
                <w:bCs/>
              </w:rPr>
            </w:pPr>
            <w:r>
              <w:rPr>
                <w:rFonts w:cstheme="minorHAnsi"/>
                <w:bCs/>
              </w:rPr>
              <w:t>3 (tris) darbo dienas nuo sprendimo priėmimo dienos</w:t>
            </w:r>
          </w:p>
        </w:tc>
      </w:tr>
      <w:tr w:rsidR="00D04FD4">
        <w:trPr>
          <w:trHeight w:val="20"/>
        </w:trPr>
        <w:tc>
          <w:tcPr>
            <w:tcW w:w="598" w:type="dxa"/>
            <w:shd w:val="clear" w:color="auto" w:fill="auto"/>
          </w:tcPr>
          <w:p w:rsidR="00D04FD4" w:rsidRDefault="002309E4">
            <w:pPr>
              <w:suppressAutoHyphens/>
              <w:ind w:firstLine="0"/>
              <w:rPr>
                <w:rFonts w:cstheme="minorHAnsi"/>
                <w:bCs/>
              </w:rPr>
            </w:pPr>
            <w:r>
              <w:rPr>
                <w:rFonts w:cstheme="minorHAnsi"/>
                <w:bCs/>
              </w:rPr>
              <w:t>10.</w:t>
            </w:r>
          </w:p>
        </w:tc>
        <w:tc>
          <w:tcPr>
            <w:tcW w:w="4929" w:type="dxa"/>
            <w:shd w:val="clear" w:color="auto" w:fill="auto"/>
          </w:tcPr>
          <w:p w:rsidR="00D04FD4" w:rsidRDefault="002309E4">
            <w:pPr>
              <w:suppressAutoHyphens/>
              <w:ind w:firstLine="0"/>
              <w:rPr>
                <w:rFonts w:cstheme="minorHAnsi"/>
                <w:color w:val="000000"/>
                <w:highlight w:val="white"/>
              </w:rPr>
            </w:pPr>
            <w:r>
              <w:rPr>
                <w:rFonts w:cstheme="minorHAnsi"/>
                <w:color w:val="000000"/>
                <w:shd w:val="clear" w:color="auto" w:fill="FFFFFF"/>
              </w:rPr>
              <w:t xml:space="preserve">Dalyvis turi teisę pateikti pretenziją </w:t>
            </w:r>
            <w:r>
              <w:rPr>
                <w:rFonts w:eastAsia="Arial" w:cstheme="minorHAnsi"/>
              </w:rPr>
              <w:t xml:space="preserve">perkančiajai organizacijai </w:t>
            </w:r>
            <w:r>
              <w:rPr>
                <w:rFonts w:cstheme="minorHAnsi"/>
                <w:shd w:val="clear" w:color="auto" w:fill="FFFFFF"/>
              </w:rPr>
              <w:t xml:space="preserve">pateikti prašymą ar </w:t>
            </w:r>
            <w:r>
              <w:rPr>
                <w:rFonts w:cstheme="minorHAnsi"/>
                <w:color w:val="000000"/>
                <w:shd w:val="clear" w:color="auto" w:fill="FFFFFF"/>
              </w:rPr>
              <w:t xml:space="preserve">pareikšti ieškinį teismui </w:t>
            </w:r>
            <w:r>
              <w:rPr>
                <w:rFonts w:cstheme="minorHAnsi"/>
              </w:rPr>
              <w:t>ne vėliau kaip per</w:t>
            </w:r>
          </w:p>
        </w:tc>
        <w:tc>
          <w:tcPr>
            <w:tcW w:w="4538" w:type="dxa"/>
            <w:shd w:val="clear" w:color="auto" w:fill="auto"/>
          </w:tcPr>
          <w:p w:rsidR="00D04FD4" w:rsidRDefault="002309E4">
            <w:pPr>
              <w:suppressAutoHyphens/>
              <w:ind w:firstLine="34"/>
              <w:rPr>
                <w:rFonts w:cstheme="minorHAnsi"/>
              </w:rPr>
            </w:pPr>
            <w:r>
              <w:rPr>
                <w:rFonts w:cstheme="minorHAnsi"/>
              </w:rPr>
              <w:t>5 (penkias) darbo dienas</w:t>
            </w:r>
          </w:p>
          <w:p w:rsidR="00D04FD4" w:rsidRDefault="00D04FD4">
            <w:pPr>
              <w:suppressAutoHyphens/>
              <w:ind w:firstLine="34"/>
              <w:rPr>
                <w:rFonts w:cstheme="minorHAnsi"/>
              </w:rPr>
            </w:pPr>
          </w:p>
          <w:p w:rsidR="00D04FD4" w:rsidRDefault="002309E4">
            <w:pPr>
              <w:suppressAutoHyphens/>
              <w:ind w:firstLine="34"/>
              <w:rPr>
                <w:rFonts w:cstheme="minorHAnsi"/>
              </w:rPr>
            </w:pPr>
            <w:r>
              <w:rPr>
                <w:rFonts w:cstheme="minorHAnsi"/>
              </w:rPr>
              <w:t xml:space="preserve">nuo </w:t>
            </w:r>
            <w:r>
              <w:rPr>
                <w:rFonts w:eastAsia="Arial" w:cstheme="minorHAnsi"/>
              </w:rPr>
              <w:t xml:space="preserve">perkančiosios organizacijos </w:t>
            </w:r>
            <w:r>
              <w:rPr>
                <w:rFonts w:cstheme="minorHAnsi"/>
              </w:rPr>
              <w:t xml:space="preserve">pranešimo raštu apie jos priimtą sprendimą išsiuntimo tiekėjams dienos arba nuo paskelbimo apie </w:t>
            </w:r>
            <w:r>
              <w:rPr>
                <w:rFonts w:eastAsia="Arial" w:cstheme="minorHAnsi"/>
              </w:rPr>
              <w:t xml:space="preserve"> perkančiosios organizacijos </w:t>
            </w:r>
            <w:r>
              <w:rPr>
                <w:rFonts w:cstheme="minorHAnsi"/>
              </w:rPr>
              <w:t xml:space="preserve">priimtus sprendimus dienos, jei VPĮ nenumato reikalavimo raštu informuoti tiekėjus apie </w:t>
            </w:r>
            <w:r>
              <w:rPr>
                <w:rFonts w:eastAsia="Arial" w:cstheme="minorHAnsi"/>
              </w:rPr>
              <w:t xml:space="preserve"> perkančiosios organizacijos </w:t>
            </w:r>
            <w:r>
              <w:rPr>
                <w:rFonts w:cstheme="minorHAnsi"/>
              </w:rPr>
              <w:t>priimtus sprendimus;</w:t>
            </w:r>
          </w:p>
          <w:p w:rsidR="00D04FD4" w:rsidRDefault="002309E4">
            <w:pPr>
              <w:suppressAutoHyphens/>
              <w:ind w:firstLine="34"/>
              <w:rPr>
                <w:rFonts w:cstheme="minorHAnsi"/>
              </w:rPr>
            </w:pPr>
            <w:r>
              <w:rPr>
                <w:rFonts w:cstheme="minorHAnsi"/>
              </w:rPr>
              <w:lastRenderedPageBreak/>
              <w:t xml:space="preserve">15 (penkiolika) dienų nuo pranešimo išsiuntimo tiekėjams dienos, jeigu šis pranešimas nebuvo siunčiamas elektroninėmis priemonėmis. </w:t>
            </w:r>
          </w:p>
        </w:tc>
      </w:tr>
      <w:tr w:rsidR="00D04FD4">
        <w:trPr>
          <w:trHeight w:val="20"/>
        </w:trPr>
        <w:tc>
          <w:tcPr>
            <w:tcW w:w="598" w:type="dxa"/>
            <w:shd w:val="clear" w:color="auto" w:fill="auto"/>
          </w:tcPr>
          <w:p w:rsidR="00D04FD4" w:rsidRDefault="002309E4">
            <w:pPr>
              <w:suppressAutoHyphens/>
              <w:ind w:firstLine="0"/>
              <w:rPr>
                <w:rFonts w:cstheme="minorHAnsi"/>
              </w:rPr>
            </w:pPr>
            <w:r>
              <w:rPr>
                <w:rFonts w:cstheme="minorHAnsi"/>
              </w:rPr>
              <w:lastRenderedPageBreak/>
              <w:t>11.</w:t>
            </w:r>
          </w:p>
        </w:tc>
        <w:tc>
          <w:tcPr>
            <w:tcW w:w="4929" w:type="dxa"/>
            <w:shd w:val="clear" w:color="auto" w:fill="auto"/>
          </w:tcPr>
          <w:p w:rsidR="00D04FD4" w:rsidRDefault="002309E4">
            <w:pPr>
              <w:suppressAutoHyphens/>
              <w:ind w:firstLine="0"/>
              <w:rPr>
                <w:rFonts w:cstheme="minorHAnsi"/>
              </w:rPr>
            </w:pPr>
            <w:r>
              <w:rPr>
                <w:rFonts w:eastAsia="Arial" w:cstheme="minorHAnsi"/>
                <w:color w:val="0078D4"/>
              </w:rPr>
              <w:t xml:space="preserve"> </w:t>
            </w:r>
            <w:r>
              <w:rPr>
                <w:rFonts w:eastAsia="Arial" w:cstheme="minorHAnsi"/>
              </w:rPr>
              <w:t xml:space="preserve">Perkančioji organizacija </w:t>
            </w:r>
            <w:r>
              <w:rPr>
                <w:rFonts w:cstheme="minorHAns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538" w:type="dxa"/>
            <w:shd w:val="clear" w:color="auto" w:fill="auto"/>
          </w:tcPr>
          <w:p w:rsidR="00D04FD4" w:rsidRDefault="002309E4">
            <w:pPr>
              <w:suppressAutoHyphens/>
              <w:ind w:firstLine="34"/>
              <w:rPr>
                <w:rFonts w:cstheme="minorHAnsi"/>
              </w:rPr>
            </w:pPr>
            <w:r>
              <w:rPr>
                <w:rFonts w:cstheme="minorHAnsi"/>
              </w:rPr>
              <w:t>6 (šešias) darbo dienas nuo pretenzijos gavimo dienos</w:t>
            </w:r>
          </w:p>
        </w:tc>
      </w:tr>
      <w:tr w:rsidR="00D04FD4">
        <w:trPr>
          <w:trHeight w:val="20"/>
        </w:trPr>
        <w:tc>
          <w:tcPr>
            <w:tcW w:w="598" w:type="dxa"/>
            <w:shd w:val="clear" w:color="auto" w:fill="auto"/>
          </w:tcPr>
          <w:p w:rsidR="00D04FD4" w:rsidRDefault="002309E4">
            <w:pPr>
              <w:suppressAutoHyphens/>
              <w:ind w:firstLine="0"/>
              <w:rPr>
                <w:rFonts w:cstheme="minorHAnsi"/>
                <w:bCs/>
              </w:rPr>
            </w:pPr>
            <w:r>
              <w:rPr>
                <w:rFonts w:cstheme="minorHAnsi"/>
                <w:bCs/>
              </w:rPr>
              <w:t>12.</w:t>
            </w:r>
          </w:p>
        </w:tc>
        <w:tc>
          <w:tcPr>
            <w:tcW w:w="4929" w:type="dxa"/>
            <w:shd w:val="clear" w:color="auto" w:fill="auto"/>
          </w:tcPr>
          <w:p w:rsidR="00D04FD4" w:rsidRDefault="002309E4">
            <w:pPr>
              <w:suppressAutoHyphens/>
              <w:ind w:firstLine="0"/>
              <w:rPr>
                <w:rFonts w:cstheme="minorHAnsi"/>
              </w:rPr>
            </w:pPr>
            <w:r>
              <w:rPr>
                <w:rFonts w:cstheme="minorHAnsi"/>
              </w:rPr>
              <w:t xml:space="preserve">Jeigu </w:t>
            </w:r>
            <w:r>
              <w:rPr>
                <w:rFonts w:eastAsia="Arial" w:cstheme="minorHAnsi"/>
              </w:rPr>
              <w:t xml:space="preserve"> perkančioji organizacija </w:t>
            </w:r>
            <w:r>
              <w:rPr>
                <w:rFonts w:cstheme="minorHAnsi"/>
              </w:rPr>
              <w:t xml:space="preserve">per nustatytą terminą neišnagrinėja jai pateiktos pretenzijos, dalyvis turi teisę pateikti prašymą ar pareikšti ieškinį teismui per (išskyrus ieškinį dėl sutarties pripažinimo negaliojančia) </w:t>
            </w:r>
          </w:p>
        </w:tc>
        <w:tc>
          <w:tcPr>
            <w:tcW w:w="4538" w:type="dxa"/>
            <w:shd w:val="clear" w:color="auto" w:fill="auto"/>
          </w:tcPr>
          <w:p w:rsidR="00D04FD4" w:rsidRDefault="002309E4">
            <w:pPr>
              <w:suppressAutoHyphens/>
              <w:ind w:firstLine="34"/>
              <w:rPr>
                <w:rFonts w:cstheme="minorHAnsi"/>
                <w:highlight w:val="yellow"/>
              </w:rPr>
            </w:pPr>
            <w:r>
              <w:rPr>
                <w:rFonts w:cstheme="minorHAnsi"/>
              </w:rPr>
              <w:t xml:space="preserve">per 15 (penkiolika) dienų nuo dienos, kurią </w:t>
            </w:r>
            <w:r>
              <w:rPr>
                <w:rFonts w:eastAsia="Arial" w:cstheme="minorHAnsi"/>
              </w:rPr>
              <w:t xml:space="preserve">perkančioji organizacija </w:t>
            </w:r>
            <w:r>
              <w:rPr>
                <w:rFonts w:cstheme="minorHAnsi"/>
              </w:rPr>
              <w:t xml:space="preserve">turėjo raštu pranešti apie priimtą sprendimą </w:t>
            </w:r>
          </w:p>
        </w:tc>
      </w:tr>
    </w:tbl>
    <w:p w:rsidR="00D04FD4" w:rsidRDefault="00D04FD4">
      <w:pPr>
        <w:spacing w:line="240" w:lineRule="auto"/>
        <w:rPr>
          <w:rFonts w:cstheme="minorHAnsi"/>
        </w:rPr>
      </w:pPr>
    </w:p>
    <w:p w:rsidR="00D04FD4" w:rsidRDefault="00D04FD4">
      <w:pPr>
        <w:rPr>
          <w:rFonts w:cstheme="minorHAnsi"/>
        </w:rPr>
      </w:pPr>
    </w:p>
    <w:p w:rsidR="00D04FD4" w:rsidRDefault="00D04FD4">
      <w:pPr>
        <w:spacing w:line="240" w:lineRule="auto"/>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D04FD4" w:rsidRDefault="00D04FD4">
      <w:pPr>
        <w:spacing w:line="240" w:lineRule="auto"/>
        <w:ind w:left="7314" w:firstLine="0"/>
        <w:rPr>
          <w:rFonts w:cstheme="minorHAnsi"/>
        </w:rPr>
      </w:pPr>
    </w:p>
    <w:p w:rsidR="009A61FB" w:rsidRDefault="009A61FB">
      <w:pPr>
        <w:spacing w:line="240" w:lineRule="auto"/>
        <w:ind w:left="7314" w:firstLine="0"/>
        <w:rPr>
          <w:rFonts w:cstheme="minorHAnsi"/>
        </w:rPr>
      </w:pPr>
    </w:p>
    <w:p w:rsidR="009A61FB" w:rsidRDefault="009A61FB">
      <w:pPr>
        <w:spacing w:line="240" w:lineRule="auto"/>
        <w:ind w:left="7314" w:firstLine="0"/>
        <w:rPr>
          <w:rFonts w:cstheme="minorHAnsi"/>
        </w:rPr>
      </w:pPr>
    </w:p>
    <w:p w:rsidR="009A61FB" w:rsidRDefault="009A61FB">
      <w:pPr>
        <w:spacing w:line="240" w:lineRule="auto"/>
        <w:ind w:left="7314" w:firstLine="0"/>
        <w:rPr>
          <w:rFonts w:cstheme="minorHAnsi"/>
        </w:rPr>
      </w:pPr>
    </w:p>
    <w:p w:rsidR="00D04FD4" w:rsidRDefault="002309E4">
      <w:pPr>
        <w:spacing w:line="240" w:lineRule="auto"/>
        <w:ind w:left="7314" w:firstLine="0"/>
        <w:rPr>
          <w:rFonts w:cstheme="minorHAnsi"/>
        </w:rPr>
      </w:pPr>
      <w:r>
        <w:rPr>
          <w:rFonts w:cstheme="minorHAnsi"/>
        </w:rPr>
        <w:lastRenderedPageBreak/>
        <w:t>Pirkimo sąlygų 5 priedas „Tiekėjų pašalinimo pagrindai“</w:t>
      </w:r>
    </w:p>
    <w:p w:rsidR="00D04FD4" w:rsidRDefault="00D04FD4">
      <w:pPr>
        <w:keepNext/>
        <w:keepLines/>
        <w:spacing w:before="120" w:after="160" w:line="276" w:lineRule="auto"/>
        <w:ind w:left="318"/>
        <w:jc w:val="right"/>
        <w:rPr>
          <w:rFonts w:ascii="Arial" w:eastAsia="Arial" w:hAnsi="Arial" w:cs="Arial"/>
          <w:color w:val="0070C0"/>
        </w:rPr>
      </w:pPr>
    </w:p>
    <w:p w:rsidR="00D04FD4" w:rsidRDefault="002309E4">
      <w:pPr>
        <w:spacing w:after="240" w:line="276" w:lineRule="auto"/>
        <w:jc w:val="center"/>
        <w:rPr>
          <w:rFonts w:eastAsia="Arial" w:cstheme="minorHAnsi"/>
          <w:smallCaps/>
          <w:color w:val="404040"/>
          <w:sz w:val="28"/>
          <w:szCs w:val="28"/>
        </w:rPr>
      </w:pPr>
      <w:r>
        <w:rPr>
          <w:rFonts w:eastAsia="Arial" w:cstheme="minorHAnsi"/>
          <w:smallCaps/>
          <w:color w:val="404040"/>
          <w:sz w:val="28"/>
          <w:szCs w:val="28"/>
        </w:rPr>
        <w:t>TIEKĖJŲ PAŠALINIMO PAGRINDAI</w:t>
      </w:r>
    </w:p>
    <w:p w:rsidR="00D04FD4" w:rsidRDefault="002309E4">
      <w:pPr>
        <w:spacing w:line="240" w:lineRule="auto"/>
        <w:ind w:firstLine="720"/>
        <w:rPr>
          <w:rFonts w:eastAsia="Arial" w:cstheme="minorHAnsi"/>
        </w:rPr>
      </w:pPr>
      <w:r>
        <w:rPr>
          <w:rFonts w:eastAsia="Arial" w:cstheme="minorHAnsi"/>
        </w:rPr>
        <w:t xml:space="preserve">Perkančioji organizacija atmeta tiekėjo pasiūlymą, jeigu: </w:t>
      </w:r>
    </w:p>
    <w:p w:rsidR="00D04FD4" w:rsidRDefault="002309E4">
      <w:pPr>
        <w:pStyle w:val="NoSpacing"/>
        <w:ind w:firstLine="720"/>
        <w:rPr>
          <w:rFonts w:eastAsia="Yu Mincho" w:cstheme="minorHAnsi"/>
          <w:b/>
          <w:bCs/>
        </w:rPr>
      </w:pPr>
      <w:r>
        <w:rPr>
          <w:rFonts w:eastAsia="Arial" w:cstheme="minorHAnsi"/>
        </w:rPr>
        <w:t xml:space="preserve">1. </w:t>
      </w:r>
      <w:r>
        <w:rPr>
          <w:rFonts w:cstheme="minorHAnsi"/>
        </w:rPr>
        <w:t xml:space="preserve">Tiekėjas su kitais tiekėjais yra sudaręs susitarimų, kuriais siekiama iškreipti konkurenciją atliekamame pirkime, ir perkančioji organizacija dėl to turi įtikinamų duomenų </w:t>
      </w:r>
      <w:r>
        <w:rPr>
          <w:rFonts w:cstheme="minorHAnsi"/>
          <w:b/>
        </w:rPr>
        <w:t>(</w:t>
      </w:r>
      <w:r>
        <w:rPr>
          <w:rFonts w:eastAsia="Yu Mincho" w:cstheme="minorHAnsi"/>
          <w:b/>
        </w:rPr>
        <w:t>VPĮ 46 straipsnio 4 dalies 1 punktas</w:t>
      </w:r>
      <w:r>
        <w:rPr>
          <w:rFonts w:eastAsia="Arial" w:cstheme="minorHAnsi"/>
        </w:rPr>
        <w:t>).</w:t>
      </w:r>
    </w:p>
    <w:p w:rsidR="00D04FD4" w:rsidRDefault="002309E4">
      <w:pPr>
        <w:pStyle w:val="NoSpacing"/>
        <w:ind w:firstLine="720"/>
        <w:rPr>
          <w:rFonts w:cstheme="minorHAnsi"/>
          <w:b/>
        </w:rPr>
      </w:pPr>
      <w:r>
        <w:rPr>
          <w:rFonts w:eastAsia="Arial" w:cstheme="minorHAnsi"/>
        </w:rPr>
        <w:t xml:space="preserve">2. </w:t>
      </w:r>
      <w:r>
        <w:rPr>
          <w:rFonts w:cstheme="minorHAns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cstheme="minorHAnsi"/>
          <w:b/>
        </w:rPr>
        <w:t>(</w:t>
      </w:r>
      <w:r>
        <w:rPr>
          <w:rFonts w:eastAsia="Yu Mincho" w:cstheme="minorHAnsi"/>
          <w:b/>
        </w:rPr>
        <w:t>VPĮ 46 straipsnio 4 dalies 2 punktas)</w:t>
      </w:r>
      <w:r>
        <w:rPr>
          <w:rFonts w:cstheme="minorHAnsi"/>
        </w:rPr>
        <w:t>.</w:t>
      </w:r>
    </w:p>
    <w:p w:rsidR="00D04FD4" w:rsidRDefault="002309E4">
      <w:pPr>
        <w:pStyle w:val="NoSpacing"/>
        <w:ind w:firstLine="720"/>
        <w:rPr>
          <w:rFonts w:eastAsia="Yu Mincho" w:cstheme="minorHAnsi"/>
          <w:b/>
          <w:bCs/>
        </w:rPr>
      </w:pPr>
      <w:r>
        <w:rPr>
          <w:rFonts w:eastAsia="Arial" w:cstheme="minorHAnsi"/>
        </w:rPr>
        <w:t xml:space="preserve">3. </w:t>
      </w:r>
      <w:r>
        <w:rPr>
          <w:rFonts w:cstheme="minorHAnsi"/>
        </w:rPr>
        <w:t xml:space="preserve">Pažeista konkurencija, kaip nustatyta VPĮ 27 straipsnio 3 ir 4 dalyse, ir atitinkamos padėties negalima ištaisyti </w:t>
      </w:r>
      <w:r>
        <w:rPr>
          <w:rFonts w:cstheme="minorHAnsi"/>
          <w:b/>
        </w:rPr>
        <w:t>(</w:t>
      </w:r>
      <w:r>
        <w:rPr>
          <w:rFonts w:eastAsia="Yu Mincho" w:cstheme="minorHAnsi"/>
          <w:b/>
        </w:rPr>
        <w:t>VPĮ 46 straipsnio 4 dalies 3 punktas).</w:t>
      </w:r>
    </w:p>
    <w:p w:rsidR="00D04FD4" w:rsidRDefault="002309E4">
      <w:pPr>
        <w:pStyle w:val="NoSpacing"/>
        <w:ind w:firstLine="720"/>
        <w:rPr>
          <w:rFonts w:cstheme="minorHAnsi"/>
        </w:rPr>
      </w:pPr>
      <w:r>
        <w:rPr>
          <w:rFonts w:eastAsia="Arial" w:cstheme="minorHAnsi"/>
        </w:rPr>
        <w:t xml:space="preserve">4. </w:t>
      </w:r>
      <w:r>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04FD4" w:rsidRDefault="002309E4">
      <w:pPr>
        <w:pStyle w:val="NoSpacing"/>
        <w:ind w:firstLine="720"/>
        <w:rPr>
          <w:rFonts w:eastAsia="Yu Mincho" w:cstheme="minorHAnsi"/>
          <w:b/>
        </w:rPr>
      </w:pPr>
      <w:r>
        <w:rPr>
          <w:rFonts w:eastAsia="Arial" w:cstheme="minorHAnsi"/>
        </w:rPr>
        <w:t>5.</w:t>
      </w:r>
      <w:r>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cstheme="minorHAnsi"/>
        </w:rPr>
        <w:t>(</w:t>
      </w:r>
      <w:r>
        <w:rPr>
          <w:rFonts w:eastAsia="Yu Mincho" w:cstheme="minorHAnsi"/>
          <w:b/>
        </w:rPr>
        <w:t>VPĮ 46 straipsnio 4 dalies 5 punktas).</w:t>
      </w:r>
    </w:p>
    <w:p w:rsidR="00D04FD4" w:rsidRDefault="002309E4">
      <w:pPr>
        <w:pStyle w:val="NoSpacing"/>
        <w:ind w:firstLine="720"/>
        <w:rPr>
          <w:rFonts w:eastAsia="Yu Mincho" w:cstheme="minorHAnsi"/>
          <w:bCs/>
          <w:iCs/>
        </w:rPr>
      </w:pPr>
      <w:r>
        <w:rPr>
          <w:rFonts w:eastAsia="Yu Mincho" w:cstheme="minorHAnsi"/>
          <w:bCs/>
          <w:iCs/>
        </w:rPr>
        <w:t>6. Tiekėjas yra neatlikęs jam paskirtos baudžiamojo poveikio priemonės – uždraudimo juridiniam asmeniui dalyvauti viešuosiuose pirkimuose (VPĮ 46 straipsnio 2</w:t>
      </w:r>
      <w:r>
        <w:rPr>
          <w:rFonts w:eastAsia="Yu Mincho" w:cstheme="minorHAnsi"/>
          <w:bCs/>
          <w:iCs/>
          <w:vertAlign w:val="superscript"/>
        </w:rPr>
        <w:t>1</w:t>
      </w:r>
      <w:r>
        <w:rPr>
          <w:rFonts w:eastAsia="Yu Mincho" w:cstheme="minorHAnsi"/>
          <w:bCs/>
          <w:iCs/>
        </w:rPr>
        <w:t xml:space="preserve"> dalis).</w:t>
      </w:r>
    </w:p>
    <w:p w:rsidR="00D04FD4" w:rsidRDefault="002309E4">
      <w:pPr>
        <w:pStyle w:val="NoSpacing"/>
        <w:ind w:firstLine="720"/>
        <w:rPr>
          <w:rFonts w:eastAsia="Yu Mincho" w:cstheme="minorHAnsi"/>
          <w:bCs/>
          <w:iCs/>
        </w:rPr>
      </w:pPr>
      <w:r>
        <w:t>Pašalinimo pagrindų nebuvimą įrodančių dokumentų iš tiekėjų pateikti nereikalaujama, išskyrus atvejus, kai kyla pagrįstų įtarimų arba kai tai būtina siekiant užtikrinti tinkamą pirkimo procedūros atlikimą.</w:t>
      </w:r>
    </w:p>
    <w:p w:rsidR="00D04FD4" w:rsidRDefault="00D04FD4">
      <w:pPr>
        <w:spacing w:line="240" w:lineRule="auto"/>
        <w:ind w:firstLine="720"/>
        <w:rPr>
          <w:rFonts w:eastAsia="Arial" w:cstheme="minorHAnsi"/>
          <w:i/>
          <w:color w:val="7030A0"/>
        </w:rPr>
      </w:pPr>
    </w:p>
    <w:p w:rsidR="00D04FD4" w:rsidRDefault="00D04FD4">
      <w:pPr>
        <w:spacing w:line="240" w:lineRule="auto"/>
        <w:ind w:firstLine="720"/>
        <w:rPr>
          <w:rFonts w:ascii="Arial" w:eastAsia="Arial" w:hAnsi="Arial" w:cs="Arial"/>
          <w:i/>
          <w:color w:val="7030A0"/>
        </w:rPr>
      </w:pPr>
    </w:p>
    <w:p w:rsidR="00D04FD4" w:rsidRDefault="00D04FD4">
      <w:pPr>
        <w:spacing w:after="160" w:line="276" w:lineRule="auto"/>
        <w:ind w:firstLine="0"/>
        <w:rPr>
          <w:rFonts w:ascii="Arial" w:eastAsia="Arial" w:hAnsi="Arial" w:cs="Arial"/>
          <w:smallCaps/>
        </w:rPr>
      </w:pPr>
    </w:p>
    <w:p w:rsidR="00D04FD4" w:rsidRDefault="002309E4">
      <w:pPr>
        <w:spacing w:line="199" w:lineRule="auto"/>
        <w:rPr>
          <w:rFonts w:ascii="Arial" w:eastAsia="Arial" w:hAnsi="Arial" w:cs="Arial"/>
        </w:rPr>
      </w:pPr>
      <w:r>
        <w:br w:type="page"/>
      </w:r>
    </w:p>
    <w:p w:rsidR="00D04FD4" w:rsidRDefault="002309E4">
      <w:pPr>
        <w:spacing w:line="240" w:lineRule="auto"/>
        <w:ind w:left="7314" w:firstLine="0"/>
        <w:rPr>
          <w:rFonts w:cstheme="minorHAnsi"/>
        </w:rPr>
      </w:pPr>
      <w:r>
        <w:rPr>
          <w:rFonts w:cstheme="minorHAnsi"/>
        </w:rPr>
        <w:lastRenderedPageBreak/>
        <w:t>Pirkimo sąlygų 6 priedas „Tiekėjų kvalifikacijos reikalavimai ir reikalaujami kokybės bei aplinkos apsaugos vadybos sistemų standartai“</w:t>
      </w:r>
    </w:p>
    <w:p w:rsidR="00D04FD4" w:rsidRDefault="00D04FD4">
      <w:pPr>
        <w:spacing w:after="240"/>
        <w:rPr>
          <w:smallCaps/>
          <w:color w:val="404040"/>
          <w:sz w:val="28"/>
          <w:szCs w:val="28"/>
        </w:rPr>
      </w:pPr>
    </w:p>
    <w:p w:rsidR="00D04FD4" w:rsidRDefault="002309E4">
      <w:pPr>
        <w:spacing w:after="240"/>
        <w:jc w:val="center"/>
        <w:rPr>
          <w:rFonts w:eastAsia="Arial" w:cstheme="minorHAnsi"/>
          <w:smallCaps/>
          <w:color w:val="404040"/>
          <w:sz w:val="28"/>
          <w:szCs w:val="28"/>
        </w:rPr>
      </w:pPr>
      <w:r>
        <w:rPr>
          <w:rFonts w:eastAsia="Arial" w:cstheme="minorHAnsi"/>
          <w:smallCaps/>
          <w:color w:val="404040"/>
          <w:sz w:val="28"/>
          <w:szCs w:val="28"/>
        </w:rPr>
        <w:t>TIEKĖJŲ KVALIFIKACIJOS REIKALAVIMAI IR REIKALAVIMAI LAIKYTIS KOKYBĖS VADYBOS SISTEMOS IR (ARBA) APLINKOS APSAUGOS VADYBOS SISTEMOS STANDARTŲ</w:t>
      </w:r>
    </w:p>
    <w:p w:rsidR="00D04FD4" w:rsidRDefault="002309E4">
      <w:pPr>
        <w:pStyle w:val="ListParagraph"/>
        <w:numPr>
          <w:ilvl w:val="0"/>
          <w:numId w:val="6"/>
        </w:numPr>
        <w:spacing w:line="240" w:lineRule="auto"/>
        <w:rPr>
          <w:rFonts w:eastAsia="Arial" w:cstheme="minorHAnsi"/>
        </w:rPr>
      </w:pPr>
      <w:r>
        <w:rPr>
          <w:rFonts w:eastAsia="Arial" w:cstheme="minorHAnsi"/>
        </w:rPr>
        <w:t>Reikalavimai tiekėjo kvalifikacijai nėra nustatomi.</w:t>
      </w:r>
    </w:p>
    <w:p w:rsidR="00D04FD4" w:rsidRDefault="002309E4">
      <w:pPr>
        <w:pStyle w:val="ListParagraph"/>
        <w:numPr>
          <w:ilvl w:val="0"/>
          <w:numId w:val="6"/>
        </w:numPr>
        <w:spacing w:line="240" w:lineRule="auto"/>
        <w:rPr>
          <w:rFonts w:eastAsia="Arial" w:cstheme="minorHAnsi"/>
        </w:rPr>
      </w:pPr>
      <w:r>
        <w:rPr>
          <w:rFonts w:eastAsia="Arial" w:cstheme="minorHAnsi"/>
        </w:rPr>
        <w:t xml:space="preserve">Perkančioji organizacija nereikalauja, kad tiekėjai laikytųsi kokybės vadybos sistemos ir (arba) aplinkos apsaugos vadybos sistemos standartų. </w:t>
      </w:r>
    </w:p>
    <w:p w:rsidR="00D04FD4" w:rsidRDefault="00D04FD4">
      <w:pPr>
        <w:tabs>
          <w:tab w:val="left" w:pos="709"/>
        </w:tabs>
        <w:ind w:firstLine="567"/>
        <w:jc w:val="right"/>
        <w:rPr>
          <w:rFonts w:ascii="Arial" w:eastAsia="Arial" w:hAnsi="Arial" w:cs="Arial"/>
        </w:rPr>
      </w:pPr>
    </w:p>
    <w:p w:rsidR="00D04FD4" w:rsidRDefault="00D04FD4">
      <w:pPr>
        <w:jc w:val="center"/>
        <w:rPr>
          <w:rFonts w:ascii="Arial" w:eastAsia="Arial" w:hAnsi="Arial" w:cs="Arial"/>
        </w:rPr>
      </w:pPr>
    </w:p>
    <w:p w:rsidR="00D04FD4" w:rsidRDefault="00D04FD4">
      <w:pPr>
        <w:rPr>
          <w:rFonts w:ascii="Arial" w:eastAsia="Arial" w:hAnsi="Arial" w:cs="Arial"/>
        </w:rPr>
      </w:pPr>
    </w:p>
    <w:p w:rsidR="00D04FD4" w:rsidRDefault="00D04FD4">
      <w:pPr>
        <w:jc w:val="center"/>
        <w:rPr>
          <w:rFonts w:ascii="Arial" w:eastAsia="Arial" w:hAnsi="Arial" w:cs="Arial"/>
          <w:b/>
          <w:smallCaps/>
        </w:rPr>
      </w:pPr>
    </w:p>
    <w:p w:rsidR="00D04FD4" w:rsidRDefault="00D04FD4">
      <w:pPr>
        <w:pStyle w:val="Heading2"/>
        <w:ind w:firstLine="0"/>
        <w:jc w:val="right"/>
      </w:pPr>
      <w:bookmarkStart w:id="27" w:name="_heading=h.26in1rg"/>
      <w:bookmarkEnd w:id="27"/>
    </w:p>
    <w:p w:rsidR="00D04FD4" w:rsidRDefault="00D04FD4"/>
    <w:p w:rsidR="00D04FD4" w:rsidRDefault="00D04FD4"/>
    <w:p w:rsidR="00D04FD4" w:rsidRDefault="00D04FD4"/>
    <w:p w:rsidR="00D04FD4" w:rsidRDefault="00D04FD4"/>
    <w:p w:rsidR="00D04FD4" w:rsidRDefault="00D04FD4"/>
    <w:p w:rsidR="00D04FD4" w:rsidRDefault="00D04FD4"/>
    <w:p w:rsidR="00D04FD4" w:rsidRDefault="00D04FD4"/>
    <w:p w:rsidR="00D04FD4" w:rsidRDefault="002309E4">
      <w:pPr>
        <w:rPr>
          <w:rFonts w:ascii="Arial" w:hAnsi="Arial" w:cs="Arial"/>
        </w:rPr>
      </w:pPr>
      <w:bookmarkStart w:id="28" w:name="_Toc85439812"/>
      <w:bookmarkStart w:id="29" w:name="ketvpriedas"/>
      <w:bookmarkStart w:id="30" w:name="_Pirkimo_sąlygų_3"/>
      <w:bookmarkStart w:id="31" w:name="_Pirkimo_sąlygų_2"/>
      <w:bookmarkEnd w:id="28"/>
      <w:bookmarkEnd w:id="29"/>
      <w:bookmarkEnd w:id="30"/>
      <w:bookmarkEnd w:id="31"/>
      <w:r>
        <w:br w:type="page"/>
      </w:r>
    </w:p>
    <w:p w:rsidR="00D04FD4" w:rsidRDefault="002309E4">
      <w:pPr>
        <w:spacing w:line="240" w:lineRule="auto"/>
        <w:ind w:left="7314" w:firstLine="0"/>
        <w:rPr>
          <w:rFonts w:cstheme="minorHAnsi"/>
        </w:rPr>
      </w:pPr>
      <w:r>
        <w:rPr>
          <w:rFonts w:cstheme="minorHAnsi"/>
        </w:rPr>
        <w:lastRenderedPageBreak/>
        <w:t>Pirkimo sąlygų 7 priedas „Pasiūlymų vertinimo kriterijai ir sąlygos“</w:t>
      </w:r>
    </w:p>
    <w:p w:rsidR="00D04FD4" w:rsidRDefault="00D04FD4">
      <w:pPr>
        <w:spacing w:line="240" w:lineRule="auto"/>
        <w:ind w:left="7314" w:firstLine="0"/>
        <w:rPr>
          <w:rFonts w:ascii="Arial" w:hAnsi="Arial" w:cs="Arial"/>
        </w:rPr>
      </w:pPr>
    </w:p>
    <w:p w:rsidR="00D04FD4" w:rsidRDefault="00D04FD4">
      <w:pPr>
        <w:jc w:val="center"/>
        <w:rPr>
          <w:b/>
          <w:szCs w:val="24"/>
        </w:rPr>
      </w:pPr>
    </w:p>
    <w:p w:rsidR="00D04FD4" w:rsidRDefault="002309E4">
      <w:pPr>
        <w:pStyle w:val="Subtitle"/>
        <w:jc w:val="center"/>
        <w:rPr>
          <w:rFonts w:cstheme="minorHAnsi"/>
          <w:bCs/>
          <w:smallCaps/>
        </w:rPr>
      </w:pPr>
      <w:r>
        <w:rPr>
          <w:rFonts w:cstheme="minorHAnsi"/>
        </w:rPr>
        <w:t>PASIŪLYMŲ VERTINIMO KRITERIJAI ir Sąlygos</w:t>
      </w:r>
    </w:p>
    <w:p w:rsidR="00D04FD4" w:rsidRDefault="00D04FD4">
      <w:pPr>
        <w:spacing w:line="240" w:lineRule="auto"/>
        <w:ind w:left="7314" w:firstLine="0"/>
      </w:pPr>
      <w:bookmarkStart w:id="32" w:name="_Toc147739116"/>
      <w:bookmarkEnd w:id="32"/>
    </w:p>
    <w:p w:rsidR="00D04FD4" w:rsidRDefault="002309E4">
      <w:pPr>
        <w:numPr>
          <w:ilvl w:val="0"/>
          <w:numId w:val="7"/>
        </w:numPr>
        <w:tabs>
          <w:tab w:val="left" w:pos="709"/>
        </w:tabs>
        <w:spacing w:line="240" w:lineRule="auto"/>
        <w:ind w:left="0" w:firstLine="357"/>
        <w:jc w:val="left"/>
        <w:rPr>
          <w:rFonts w:eastAsia="Times New Roman" w:cstheme="minorHAnsi"/>
          <w:lang w:eastAsia="en-US"/>
        </w:rPr>
      </w:pPr>
      <w:r>
        <w:rPr>
          <w:rFonts w:eastAsia="Times New Roman" w:cstheme="minorHAnsi"/>
          <w:lang w:eastAsia="en-US"/>
        </w:rPr>
        <w:t>Perkančioji organizacija ekonomiškai naudingiausią pasiūlymą išrenka pagal kainą ir su pirkimo objektu susijusius kriterijus, vadovaudamasi šiame priede nustatyta vertinimo tvarka.</w:t>
      </w:r>
    </w:p>
    <w:p w:rsidR="00D04FD4" w:rsidRDefault="002309E4">
      <w:pPr>
        <w:numPr>
          <w:ilvl w:val="0"/>
          <w:numId w:val="7"/>
        </w:numPr>
        <w:spacing w:line="240" w:lineRule="auto"/>
        <w:ind w:left="714" w:hanging="357"/>
        <w:jc w:val="left"/>
        <w:rPr>
          <w:rFonts w:eastAsia="Times New Roman" w:cstheme="minorHAnsi"/>
          <w:lang w:eastAsia="en-US"/>
        </w:rPr>
      </w:pPr>
      <w:r>
        <w:rPr>
          <w:rFonts w:eastAsia="Times New Roman" w:cstheme="minorHAnsi"/>
          <w:lang w:eastAsia="en-US"/>
        </w:rPr>
        <w:t>Maksimalus balų skaičius, kurį gali gauti Tiekėjas per Pasiūlymų vertinimo procedūrą, yra 100 balų.</w:t>
      </w:r>
    </w:p>
    <w:p w:rsidR="00D04FD4" w:rsidRDefault="002309E4">
      <w:pPr>
        <w:numPr>
          <w:ilvl w:val="0"/>
          <w:numId w:val="7"/>
        </w:numPr>
        <w:spacing w:line="240" w:lineRule="auto"/>
        <w:ind w:left="714" w:hanging="357"/>
        <w:jc w:val="left"/>
        <w:rPr>
          <w:rFonts w:eastAsia="Times New Roman" w:cstheme="minorHAnsi"/>
          <w:lang w:eastAsia="en-US"/>
        </w:rPr>
      </w:pPr>
      <w:r>
        <w:rPr>
          <w:rFonts w:eastAsia="Times New Roman" w:cstheme="minorHAnsi"/>
          <w:lang w:eastAsia="en-US"/>
        </w:rPr>
        <w:t>Pasiūlymo ekonominio naudingumo balai apskaičiuojami:</w:t>
      </w:r>
    </w:p>
    <w:p w:rsidR="00D04FD4" w:rsidRDefault="00D04FD4">
      <w:pPr>
        <w:spacing w:line="240" w:lineRule="auto"/>
        <w:ind w:left="714" w:firstLine="0"/>
        <w:jc w:val="left"/>
        <w:rPr>
          <w:rFonts w:eastAsia="Times New Roman" w:cstheme="minorHAnsi"/>
          <w:lang w:eastAsia="en-US"/>
        </w:rPr>
      </w:pPr>
    </w:p>
    <w:tbl>
      <w:tblPr>
        <w:tblStyle w:val="TableGrid11"/>
        <w:tblW w:w="10060" w:type="dxa"/>
        <w:tblInd w:w="0" w:type="dxa"/>
        <w:tblLook w:val="04A0" w:firstRow="1" w:lastRow="0" w:firstColumn="1" w:lastColumn="0" w:noHBand="0" w:noVBand="1"/>
      </w:tblPr>
      <w:tblGrid>
        <w:gridCol w:w="755"/>
        <w:gridCol w:w="6609"/>
        <w:gridCol w:w="2696"/>
      </w:tblGrid>
      <w:tr w:rsidR="00D04FD4">
        <w:tc>
          <w:tcPr>
            <w:tcW w:w="755" w:type="dxa"/>
            <w:shd w:val="clear" w:color="auto" w:fill="auto"/>
          </w:tcPr>
          <w:p w:rsidR="00D04FD4" w:rsidRDefault="002309E4">
            <w:pPr>
              <w:spacing w:after="160" w:line="276" w:lineRule="auto"/>
              <w:ind w:firstLine="0"/>
              <w:jc w:val="left"/>
              <w:rPr>
                <w:rFonts w:eastAsia="Calibri" w:cstheme="minorHAnsi"/>
              </w:rPr>
            </w:pPr>
            <w:r>
              <w:rPr>
                <w:rFonts w:eastAsia="Calibri" w:cstheme="minorHAnsi"/>
              </w:rPr>
              <w:t>Eil. Nr.</w:t>
            </w:r>
          </w:p>
        </w:tc>
        <w:tc>
          <w:tcPr>
            <w:tcW w:w="6609" w:type="dxa"/>
            <w:shd w:val="clear" w:color="auto" w:fill="auto"/>
          </w:tcPr>
          <w:p w:rsidR="00D04FD4" w:rsidRDefault="002309E4">
            <w:pPr>
              <w:spacing w:after="160" w:line="276" w:lineRule="auto"/>
              <w:ind w:firstLine="0"/>
              <w:jc w:val="left"/>
              <w:rPr>
                <w:rFonts w:eastAsia="Calibri" w:cstheme="minorHAnsi"/>
              </w:rPr>
            </w:pPr>
            <w:r>
              <w:rPr>
                <w:rFonts w:eastAsia="Calibri" w:cstheme="minorHAnsi"/>
              </w:rPr>
              <w:t>Vertinimo kriterijai ir jų subkriterijai</w:t>
            </w:r>
          </w:p>
        </w:tc>
        <w:tc>
          <w:tcPr>
            <w:tcW w:w="2696" w:type="dxa"/>
            <w:shd w:val="clear" w:color="auto" w:fill="auto"/>
          </w:tcPr>
          <w:p w:rsidR="00D04FD4" w:rsidRDefault="002309E4">
            <w:pPr>
              <w:spacing w:after="160" w:line="276" w:lineRule="auto"/>
              <w:ind w:firstLine="0"/>
              <w:jc w:val="left"/>
              <w:rPr>
                <w:rFonts w:eastAsia="Calibri" w:cstheme="minorHAnsi"/>
              </w:rPr>
            </w:pPr>
            <w:r>
              <w:rPr>
                <w:rFonts w:eastAsia="Calibri" w:cstheme="minorHAnsi"/>
              </w:rPr>
              <w:t>Kriterijaus lyginamasis svoris ekonominio naudingumo įvertinime/skiriami balai</w:t>
            </w:r>
          </w:p>
        </w:tc>
      </w:tr>
      <w:tr w:rsidR="00D04FD4">
        <w:trPr>
          <w:trHeight w:val="498"/>
        </w:trPr>
        <w:tc>
          <w:tcPr>
            <w:tcW w:w="755" w:type="dxa"/>
            <w:shd w:val="clear" w:color="auto" w:fill="auto"/>
          </w:tcPr>
          <w:p w:rsidR="00D04FD4" w:rsidRDefault="002309E4">
            <w:pPr>
              <w:spacing w:after="160" w:line="276" w:lineRule="auto"/>
              <w:ind w:firstLine="0"/>
              <w:jc w:val="left"/>
              <w:rPr>
                <w:rFonts w:eastAsia="Calibri" w:cstheme="minorHAnsi"/>
              </w:rPr>
            </w:pPr>
            <w:r>
              <w:rPr>
                <w:rFonts w:eastAsia="Calibri" w:cstheme="minorHAnsi"/>
              </w:rPr>
              <w:t>1.</w:t>
            </w:r>
          </w:p>
        </w:tc>
        <w:tc>
          <w:tcPr>
            <w:tcW w:w="6609" w:type="dxa"/>
            <w:shd w:val="clear" w:color="auto" w:fill="D9D9D9"/>
          </w:tcPr>
          <w:p w:rsidR="00D04FD4" w:rsidRDefault="002309E4">
            <w:pPr>
              <w:spacing w:after="160" w:line="276" w:lineRule="auto"/>
              <w:ind w:firstLine="0"/>
              <w:jc w:val="left"/>
              <w:rPr>
                <w:rFonts w:eastAsia="Calibri" w:cstheme="minorHAnsi"/>
                <w:b/>
                <w:i/>
              </w:rPr>
            </w:pPr>
            <w:r>
              <w:rPr>
                <w:rFonts w:eastAsia="Calibri" w:cstheme="minorHAnsi"/>
                <w:b/>
                <w:i/>
              </w:rPr>
              <w:t>Pirmas kriterijus (C) - Pasiūlymo kaina</w:t>
            </w:r>
          </w:p>
          <w:p w:rsidR="00D04FD4" w:rsidRDefault="002309E4">
            <w:pPr>
              <w:spacing w:after="160" w:line="276" w:lineRule="auto"/>
              <w:ind w:firstLine="0"/>
              <w:jc w:val="left"/>
              <w:rPr>
                <w:rFonts w:eastAsia="Calibri" w:cstheme="minorHAnsi"/>
              </w:rPr>
            </w:pPr>
            <w:r>
              <w:rPr>
                <w:rFonts w:eastAsia="Calibri" w:cstheme="minorHAnsi"/>
              </w:rPr>
              <w:t>Apskaičiuojama pagal 3.1.2 p.p. nurodytą formulę</w:t>
            </w:r>
          </w:p>
        </w:tc>
        <w:tc>
          <w:tcPr>
            <w:tcW w:w="2696" w:type="dxa"/>
            <w:shd w:val="clear" w:color="auto" w:fill="auto"/>
          </w:tcPr>
          <w:p w:rsidR="00D04FD4" w:rsidRDefault="002309E4">
            <w:pPr>
              <w:spacing w:after="160" w:line="276" w:lineRule="auto"/>
              <w:ind w:firstLine="0"/>
              <w:jc w:val="center"/>
              <w:rPr>
                <w:rFonts w:eastAsia="Calibri" w:cstheme="minorHAnsi"/>
                <w:lang w:val="en-US"/>
              </w:rPr>
            </w:pPr>
            <w:r>
              <w:rPr>
                <w:rFonts w:eastAsia="Calibri" w:cstheme="minorHAnsi"/>
              </w:rPr>
              <w:t>X</w:t>
            </w:r>
            <w:r>
              <w:rPr>
                <w:rFonts w:eastAsia="Calibri" w:cstheme="minorHAnsi"/>
                <w:lang w:val="en-US"/>
              </w:rPr>
              <w:t>=50</w:t>
            </w:r>
          </w:p>
        </w:tc>
      </w:tr>
      <w:tr w:rsidR="00D04FD4">
        <w:trPr>
          <w:trHeight w:val="612"/>
        </w:trPr>
        <w:tc>
          <w:tcPr>
            <w:tcW w:w="755" w:type="dxa"/>
            <w:shd w:val="clear" w:color="auto" w:fill="auto"/>
          </w:tcPr>
          <w:p w:rsidR="00D04FD4" w:rsidRDefault="002309E4">
            <w:pPr>
              <w:spacing w:after="160" w:line="276" w:lineRule="auto"/>
              <w:ind w:firstLine="0"/>
              <w:jc w:val="left"/>
              <w:rPr>
                <w:rFonts w:eastAsia="Calibri" w:cstheme="minorHAnsi"/>
              </w:rPr>
            </w:pPr>
            <w:r>
              <w:rPr>
                <w:rFonts w:eastAsia="Calibri" w:cstheme="minorHAnsi"/>
              </w:rPr>
              <w:t xml:space="preserve">2. </w:t>
            </w:r>
          </w:p>
        </w:tc>
        <w:tc>
          <w:tcPr>
            <w:tcW w:w="6609" w:type="dxa"/>
            <w:shd w:val="clear" w:color="auto" w:fill="D9D9D9"/>
          </w:tcPr>
          <w:p w:rsidR="00D04FD4" w:rsidRDefault="002309E4">
            <w:pPr>
              <w:spacing w:after="160" w:line="276" w:lineRule="auto"/>
              <w:ind w:firstLine="0"/>
              <w:jc w:val="left"/>
              <w:rPr>
                <w:rFonts w:eastAsia="Calibri" w:cstheme="minorHAnsi"/>
                <w:b/>
                <w:bCs/>
                <w:i/>
                <w:iCs/>
              </w:rPr>
            </w:pPr>
            <w:r>
              <w:rPr>
                <w:rFonts w:eastAsia="Calibri" w:cstheme="minorHAnsi"/>
                <w:b/>
                <w:i/>
              </w:rPr>
              <w:t>Antras kriterijus</w:t>
            </w:r>
            <w:r>
              <w:rPr>
                <w:rFonts w:eastAsia="Calibri" w:cstheme="minorHAnsi"/>
                <w:b/>
                <w:bCs/>
                <w:i/>
                <w:iCs/>
              </w:rPr>
              <w:t xml:space="preserve"> (T</w:t>
            </w:r>
            <w:r>
              <w:rPr>
                <w:rFonts w:eastAsia="Calibri" w:cstheme="minorHAnsi"/>
                <w:b/>
                <w:bCs/>
                <w:i/>
                <w:iCs/>
                <w:vertAlign w:val="subscript"/>
              </w:rPr>
              <w:t>1</w:t>
            </w:r>
            <w:r>
              <w:rPr>
                <w:rFonts w:eastAsia="Calibri" w:cstheme="minorHAnsi"/>
                <w:b/>
                <w:bCs/>
                <w:i/>
                <w:iCs/>
              </w:rPr>
              <w:t>) - Reakcijos laikas</w:t>
            </w:r>
          </w:p>
          <w:p w:rsidR="00D04FD4" w:rsidRDefault="002309E4">
            <w:pPr>
              <w:spacing w:after="160" w:line="276" w:lineRule="auto"/>
              <w:ind w:firstLine="0"/>
              <w:jc w:val="left"/>
              <w:rPr>
                <w:rFonts w:eastAsia="Calibri" w:cstheme="minorHAnsi"/>
                <w:color w:val="FF0000"/>
              </w:rPr>
            </w:pPr>
            <w:r>
              <w:rPr>
                <w:rFonts w:eastAsia="Calibri" w:cstheme="minorHAnsi"/>
                <w:bCs/>
                <w:iCs/>
              </w:rPr>
              <w:t>Tai laikas, per kurį tiekėjas, vykdantis sutartį, įsipareigoja pateikti kelionių pasiūlymus į užklausą darbo metu. Laimėjusio tiekėjo pasiūlytas laikas bus perkeltas į 1 priedą „Techninė specifikacija“ 3.3 p. vietoj privalomų 3 darbo val. Maksimalus skiriamų balų kiekis – 30.</w:t>
            </w:r>
          </w:p>
        </w:tc>
        <w:tc>
          <w:tcPr>
            <w:tcW w:w="2696" w:type="dxa"/>
            <w:shd w:val="clear" w:color="auto" w:fill="auto"/>
          </w:tcPr>
          <w:p w:rsidR="00D04FD4" w:rsidRDefault="00D04FD4">
            <w:pPr>
              <w:spacing w:after="160" w:line="276" w:lineRule="auto"/>
              <w:ind w:firstLine="0"/>
              <w:jc w:val="center"/>
              <w:rPr>
                <w:rFonts w:eastAsia="Calibri" w:cstheme="minorHAnsi"/>
              </w:rPr>
            </w:pPr>
          </w:p>
        </w:tc>
      </w:tr>
      <w:tr w:rsidR="00D04FD4">
        <w:trPr>
          <w:trHeight w:val="498"/>
        </w:trPr>
        <w:tc>
          <w:tcPr>
            <w:tcW w:w="755" w:type="dxa"/>
            <w:shd w:val="clear" w:color="auto" w:fill="auto"/>
          </w:tcPr>
          <w:p w:rsidR="00D04FD4" w:rsidRDefault="002309E4">
            <w:pPr>
              <w:spacing w:after="160" w:line="276" w:lineRule="auto"/>
              <w:ind w:firstLine="0"/>
              <w:jc w:val="left"/>
              <w:rPr>
                <w:rFonts w:eastAsia="Calibri" w:cstheme="minorHAnsi"/>
              </w:rPr>
            </w:pPr>
            <w:r>
              <w:rPr>
                <w:rFonts w:eastAsia="Calibri" w:cstheme="minorHAnsi"/>
              </w:rPr>
              <w:t>2.1.</w:t>
            </w:r>
          </w:p>
        </w:tc>
        <w:tc>
          <w:tcPr>
            <w:tcW w:w="6609" w:type="dxa"/>
            <w:shd w:val="clear" w:color="auto" w:fill="auto"/>
          </w:tcPr>
          <w:p w:rsidR="00D04FD4" w:rsidRDefault="002309E4">
            <w:pPr>
              <w:spacing w:after="160" w:line="276" w:lineRule="auto"/>
              <w:ind w:firstLine="0"/>
              <w:jc w:val="left"/>
              <w:rPr>
                <w:rFonts w:cstheme="minorHAnsi"/>
                <w:color w:val="000000"/>
              </w:rPr>
            </w:pPr>
            <w:r>
              <w:rPr>
                <w:rFonts w:eastAsia="Times New Roman" w:cstheme="minorHAnsi"/>
                <w:color w:val="000000"/>
              </w:rPr>
              <w:t>Per 30 min. ar greičiau</w:t>
            </w:r>
          </w:p>
        </w:tc>
        <w:tc>
          <w:tcPr>
            <w:tcW w:w="2696" w:type="dxa"/>
            <w:shd w:val="clear" w:color="auto" w:fill="auto"/>
          </w:tcPr>
          <w:p w:rsidR="00D04FD4" w:rsidRDefault="002309E4">
            <w:pPr>
              <w:spacing w:after="160" w:line="276" w:lineRule="auto"/>
              <w:ind w:firstLine="0"/>
              <w:jc w:val="center"/>
              <w:rPr>
                <w:rFonts w:eastAsia="Calibri" w:cstheme="minorHAnsi"/>
              </w:rPr>
            </w:pPr>
            <w:r>
              <w:rPr>
                <w:rFonts w:eastAsia="Calibri" w:cstheme="minorHAnsi"/>
                <w:lang w:val="en-US"/>
              </w:rPr>
              <w:t>30</w:t>
            </w:r>
          </w:p>
        </w:tc>
      </w:tr>
      <w:tr w:rsidR="00D04FD4">
        <w:trPr>
          <w:trHeight w:val="498"/>
        </w:trPr>
        <w:tc>
          <w:tcPr>
            <w:tcW w:w="755" w:type="dxa"/>
            <w:shd w:val="clear" w:color="auto" w:fill="auto"/>
          </w:tcPr>
          <w:p w:rsidR="00D04FD4" w:rsidRDefault="002309E4">
            <w:pPr>
              <w:spacing w:after="160" w:line="276" w:lineRule="auto"/>
              <w:ind w:firstLine="0"/>
              <w:jc w:val="left"/>
              <w:rPr>
                <w:rFonts w:eastAsia="Calibri" w:cstheme="minorHAnsi"/>
              </w:rPr>
            </w:pPr>
            <w:r>
              <w:rPr>
                <w:rFonts w:eastAsia="Calibri" w:cstheme="minorHAnsi"/>
              </w:rPr>
              <w:t>2.2.</w:t>
            </w:r>
          </w:p>
        </w:tc>
        <w:tc>
          <w:tcPr>
            <w:tcW w:w="6609" w:type="dxa"/>
            <w:shd w:val="clear" w:color="auto" w:fill="auto"/>
          </w:tcPr>
          <w:p w:rsidR="00D04FD4" w:rsidRDefault="002309E4">
            <w:pPr>
              <w:spacing w:after="160" w:line="276" w:lineRule="auto"/>
              <w:ind w:firstLine="0"/>
              <w:jc w:val="left"/>
              <w:rPr>
                <w:rFonts w:cstheme="minorHAnsi"/>
                <w:color w:val="000000"/>
              </w:rPr>
            </w:pPr>
            <w:r>
              <w:rPr>
                <w:rFonts w:eastAsia="Calibri" w:cstheme="minorHAnsi"/>
                <w:bCs/>
                <w:iCs/>
              </w:rPr>
              <w:t>Nuo 31 min. iki 1 val.</w:t>
            </w:r>
          </w:p>
        </w:tc>
        <w:tc>
          <w:tcPr>
            <w:tcW w:w="2696" w:type="dxa"/>
            <w:shd w:val="clear" w:color="auto" w:fill="auto"/>
          </w:tcPr>
          <w:p w:rsidR="00D04FD4" w:rsidRDefault="002309E4">
            <w:pPr>
              <w:spacing w:after="160" w:line="276" w:lineRule="auto"/>
              <w:ind w:firstLine="0"/>
              <w:jc w:val="center"/>
              <w:rPr>
                <w:rFonts w:eastAsia="Calibri" w:cstheme="minorHAnsi"/>
              </w:rPr>
            </w:pPr>
            <w:r>
              <w:rPr>
                <w:rFonts w:eastAsia="Calibri" w:cstheme="minorHAnsi"/>
                <w:lang w:val="en-US"/>
              </w:rPr>
              <w:t>20</w:t>
            </w:r>
          </w:p>
        </w:tc>
      </w:tr>
      <w:tr w:rsidR="00D04FD4">
        <w:trPr>
          <w:trHeight w:val="498"/>
        </w:trPr>
        <w:tc>
          <w:tcPr>
            <w:tcW w:w="755" w:type="dxa"/>
            <w:shd w:val="clear" w:color="auto" w:fill="auto"/>
          </w:tcPr>
          <w:p w:rsidR="00D04FD4" w:rsidRDefault="002309E4">
            <w:pPr>
              <w:spacing w:after="160" w:line="276" w:lineRule="auto"/>
              <w:ind w:firstLine="0"/>
              <w:jc w:val="left"/>
              <w:rPr>
                <w:rFonts w:eastAsia="Calibri" w:cstheme="minorHAnsi"/>
              </w:rPr>
            </w:pPr>
            <w:r>
              <w:rPr>
                <w:rFonts w:eastAsia="Calibri" w:cstheme="minorHAnsi"/>
              </w:rPr>
              <w:t>2.3.</w:t>
            </w:r>
          </w:p>
        </w:tc>
        <w:tc>
          <w:tcPr>
            <w:tcW w:w="6609" w:type="dxa"/>
            <w:shd w:val="clear" w:color="auto" w:fill="auto"/>
          </w:tcPr>
          <w:p w:rsidR="00D04FD4" w:rsidRDefault="002309E4">
            <w:pPr>
              <w:spacing w:after="160" w:line="276" w:lineRule="auto"/>
              <w:ind w:firstLine="0"/>
              <w:jc w:val="left"/>
              <w:rPr>
                <w:rFonts w:eastAsia="Calibri" w:cstheme="minorHAnsi"/>
                <w:bCs/>
                <w:iCs/>
              </w:rPr>
            </w:pPr>
            <w:r>
              <w:rPr>
                <w:rFonts w:eastAsia="Calibri" w:cstheme="minorHAnsi"/>
                <w:bCs/>
                <w:iCs/>
              </w:rPr>
              <w:t>Nuo 1 val. iki 2 val.</w:t>
            </w:r>
          </w:p>
        </w:tc>
        <w:tc>
          <w:tcPr>
            <w:tcW w:w="2696" w:type="dxa"/>
            <w:shd w:val="clear" w:color="auto" w:fill="auto"/>
          </w:tcPr>
          <w:p w:rsidR="00D04FD4" w:rsidRDefault="002309E4">
            <w:pPr>
              <w:spacing w:after="160" w:line="276" w:lineRule="auto"/>
              <w:ind w:firstLine="0"/>
              <w:jc w:val="center"/>
              <w:rPr>
                <w:rFonts w:eastAsia="Calibri" w:cstheme="minorHAnsi"/>
              </w:rPr>
            </w:pPr>
            <w:r>
              <w:rPr>
                <w:rFonts w:eastAsia="Calibri" w:cstheme="minorHAnsi"/>
              </w:rPr>
              <w:t>10</w:t>
            </w:r>
          </w:p>
        </w:tc>
      </w:tr>
      <w:tr w:rsidR="00D04FD4">
        <w:trPr>
          <w:trHeight w:val="498"/>
        </w:trPr>
        <w:tc>
          <w:tcPr>
            <w:tcW w:w="755" w:type="dxa"/>
            <w:shd w:val="clear" w:color="auto" w:fill="auto"/>
          </w:tcPr>
          <w:p w:rsidR="00D04FD4" w:rsidRDefault="002309E4">
            <w:pPr>
              <w:spacing w:after="160" w:line="276" w:lineRule="auto"/>
              <w:ind w:firstLine="0"/>
              <w:jc w:val="left"/>
              <w:rPr>
                <w:rFonts w:eastAsia="Calibri" w:cstheme="minorHAnsi"/>
              </w:rPr>
            </w:pPr>
            <w:r>
              <w:rPr>
                <w:rFonts w:eastAsia="Calibri" w:cstheme="minorHAnsi"/>
              </w:rPr>
              <w:t>3.</w:t>
            </w:r>
          </w:p>
        </w:tc>
        <w:tc>
          <w:tcPr>
            <w:tcW w:w="6609" w:type="dxa"/>
            <w:shd w:val="clear" w:color="auto" w:fill="E7E6E6" w:themeFill="background2"/>
          </w:tcPr>
          <w:p w:rsidR="00D04FD4" w:rsidRDefault="002309E4">
            <w:pPr>
              <w:spacing w:after="160" w:line="276" w:lineRule="auto"/>
              <w:ind w:firstLine="0"/>
              <w:jc w:val="left"/>
              <w:rPr>
                <w:rFonts w:eastAsia="Calibri" w:cstheme="minorHAnsi"/>
                <w:b/>
              </w:rPr>
            </w:pPr>
            <w:r>
              <w:rPr>
                <w:rFonts w:eastAsia="Times New Roman" w:cstheme="minorHAnsi"/>
                <w:b/>
                <w:iCs/>
              </w:rPr>
              <w:t>Trečias kriterijus</w:t>
            </w:r>
            <w:r>
              <w:rPr>
                <w:rFonts w:eastAsia="Calibri" w:cstheme="minorHAnsi"/>
                <w:b/>
                <w:bCs/>
                <w:i/>
                <w:iCs/>
              </w:rPr>
              <w:t xml:space="preserve"> (T</w:t>
            </w:r>
            <w:r>
              <w:rPr>
                <w:rFonts w:eastAsia="Calibri" w:cstheme="minorHAnsi"/>
                <w:b/>
                <w:bCs/>
                <w:i/>
                <w:iCs/>
                <w:vertAlign w:val="subscript"/>
              </w:rPr>
              <w:t>2</w:t>
            </w:r>
            <w:r>
              <w:rPr>
                <w:rFonts w:eastAsia="Times New Roman" w:cstheme="minorHAnsi"/>
                <w:b/>
                <w:iCs/>
              </w:rPr>
              <w:t>) - Aplinkos apsaugos vadybos sistemos taikymas paslaugoms</w:t>
            </w:r>
          </w:p>
          <w:p w:rsidR="00D04FD4" w:rsidRDefault="002309E4">
            <w:pPr>
              <w:spacing w:after="160" w:line="276" w:lineRule="auto"/>
              <w:ind w:firstLine="0"/>
              <w:jc w:val="left"/>
              <w:rPr>
                <w:rFonts w:eastAsia="Calibri" w:cstheme="minorHAnsi"/>
                <w:b/>
              </w:rPr>
            </w:pPr>
            <w:r>
              <w:rPr>
                <w:rFonts w:eastAsia="Times New Roman" w:cstheme="minorHAnsi"/>
              </w:rPr>
              <w:t>Perkamoms kelionių organizavimo paslaugoms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696" w:type="dxa"/>
            <w:shd w:val="clear" w:color="auto" w:fill="auto"/>
          </w:tcPr>
          <w:p w:rsidR="00D04FD4" w:rsidRDefault="002309E4">
            <w:pPr>
              <w:spacing w:after="160" w:line="276" w:lineRule="auto"/>
              <w:ind w:firstLine="0"/>
              <w:jc w:val="center"/>
              <w:rPr>
                <w:rFonts w:eastAsia="Calibri" w:cstheme="minorHAnsi"/>
              </w:rPr>
            </w:pPr>
            <w:r>
              <w:rPr>
                <w:rFonts w:eastAsia="Calibri" w:cstheme="minorHAnsi"/>
              </w:rPr>
              <w:t>20</w:t>
            </w:r>
          </w:p>
        </w:tc>
      </w:tr>
    </w:tbl>
    <w:p w:rsidR="00D04FD4" w:rsidRDefault="002309E4">
      <w:pPr>
        <w:spacing w:after="160" w:line="240" w:lineRule="auto"/>
        <w:ind w:firstLine="426"/>
        <w:contextualSpacing/>
        <w:rPr>
          <w:rFonts w:eastAsia="Times New Roman" w:cstheme="minorHAnsi"/>
        </w:rPr>
      </w:pPr>
      <w:r>
        <w:rPr>
          <w:rFonts w:eastAsia="Times New Roman" w:cstheme="minorHAnsi"/>
        </w:rPr>
        <w:lastRenderedPageBreak/>
        <w:t>3.1.1. Ekonominis naudingumas (S) apskaičiuojamas sudedant tiekėjo pasiūlymo kainos (C) ir kitų kriterijų (T) balus (gaunamos kriterijų (parametrų) reikšmės apvalinamos dviejų skaičių po kablelio tikslumu, t. y. surinkus pvz. 50,564 balų – apvalinama į 50,56, o surinkus 50,565 balų – apvalinama į 50,57:</w:t>
      </w:r>
    </w:p>
    <w:p w:rsidR="00D04FD4" w:rsidRDefault="002309E4">
      <w:pPr>
        <w:spacing w:after="160" w:line="240" w:lineRule="auto"/>
        <w:ind w:firstLine="709"/>
        <w:jc w:val="left"/>
        <w:rPr>
          <w:rFonts w:eastAsia="Times New Roman" w:cstheme="minorHAnsi"/>
          <w:i/>
        </w:rPr>
      </w:pPr>
      <m:oMathPara>
        <m:oMath>
          <m:r>
            <w:rPr>
              <w:rFonts w:ascii="Cambria Math" w:hAnsi="Cambria Math"/>
            </w:rPr>
            <m:t>S=C+T</m:t>
          </m:r>
        </m:oMath>
      </m:oMathPara>
    </w:p>
    <w:p w:rsidR="00D04FD4" w:rsidRDefault="002309E4">
      <w:pPr>
        <w:spacing w:after="160" w:line="240" w:lineRule="auto"/>
        <w:ind w:firstLine="426"/>
        <w:contextualSpacing/>
        <w:rPr>
          <w:rFonts w:eastAsia="Times New Roman" w:cstheme="minorHAnsi"/>
        </w:rPr>
      </w:pPr>
      <w:r>
        <w:rPr>
          <w:rFonts w:eastAsia="Times New Roman" w:cstheme="minorHAnsi"/>
        </w:rPr>
        <w:t>3.1.2. Pasiūlymo kainos (C) balai apskaičiuojami mažiausios iš visų pasiūlymų pasiūlytos kainos (C</w:t>
      </w:r>
      <w:r>
        <w:rPr>
          <w:rFonts w:eastAsia="Times New Roman" w:cstheme="minorHAnsi"/>
          <w:vertAlign w:val="subscript"/>
        </w:rPr>
        <w:t>min</w:t>
      </w:r>
      <w:r>
        <w:rPr>
          <w:rFonts w:eastAsia="Times New Roman" w:cstheme="minorHAnsi"/>
        </w:rPr>
        <w:t>) ir vertinamo pasiūlymo kainos (C</w:t>
      </w:r>
      <w:r>
        <w:rPr>
          <w:rFonts w:eastAsia="Times New Roman" w:cstheme="minorHAnsi"/>
          <w:vertAlign w:val="subscript"/>
        </w:rPr>
        <w:t>p</w:t>
      </w:r>
      <w:r>
        <w:rPr>
          <w:rFonts w:eastAsia="Times New Roman" w:cstheme="minorHAnsi"/>
        </w:rPr>
        <w:t>) santykį padauginant iš kainos lyginamojo svorio (X):</w:t>
      </w:r>
    </w:p>
    <w:p w:rsidR="00D04FD4" w:rsidRDefault="002309E4">
      <w:pPr>
        <w:spacing w:after="160" w:line="240" w:lineRule="auto"/>
        <w:ind w:firstLine="0"/>
        <w:jc w:val="left"/>
        <w:rPr>
          <w:rFonts w:eastAsia="Times New Roman" w:cstheme="minorHAnsi"/>
          <w:i/>
          <w:lang w:val="en-GB"/>
        </w:rPr>
      </w:pPr>
      <m:oMathPara>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w:rPr>
              <w:rFonts w:ascii="Cambria Math" w:hAnsi="Cambria Math"/>
            </w:rPr>
            <m:t>×X</m:t>
          </m:r>
        </m:oMath>
      </m:oMathPara>
    </w:p>
    <w:p w:rsidR="00D04FD4" w:rsidRDefault="00D04FD4">
      <w:pPr>
        <w:tabs>
          <w:tab w:val="left" w:pos="1276"/>
        </w:tabs>
        <w:spacing w:line="240" w:lineRule="auto"/>
        <w:ind w:firstLine="567"/>
        <w:rPr>
          <w:rFonts w:eastAsia="Calibri" w:cstheme="minorHAnsi"/>
          <w:bCs/>
          <w:iCs/>
          <w:color w:val="000000"/>
        </w:rPr>
      </w:pPr>
    </w:p>
    <w:p w:rsidR="00D04FD4" w:rsidRDefault="002309E4">
      <w:pPr>
        <w:widowControl w:val="0"/>
        <w:tabs>
          <w:tab w:val="left" w:pos="1276"/>
        </w:tabs>
        <w:spacing w:line="240" w:lineRule="auto"/>
        <w:ind w:firstLine="426"/>
        <w:contextualSpacing/>
        <w:rPr>
          <w:rFonts w:cstheme="minorHAnsi"/>
        </w:rPr>
      </w:pPr>
      <w:r>
        <w:rPr>
          <w:rFonts w:eastAsia="Calibri" w:cstheme="minorHAnsi"/>
          <w:bCs/>
          <w:iCs/>
          <w:color w:val="000000"/>
        </w:rPr>
        <w:t>3.1.3. Kitų kriterijų</w:t>
      </w:r>
      <w:r>
        <w:rPr>
          <w:rFonts w:cstheme="minorHAnsi"/>
        </w:rPr>
        <w:t xml:space="preserve"> (</w:t>
      </w:r>
      <w:r>
        <w:rPr>
          <w:rFonts w:eastAsia="Times New Roman" w:cstheme="minorHAnsi"/>
        </w:rPr>
        <w:t>T</w:t>
      </w:r>
      <w:r>
        <w:rPr>
          <w:rFonts w:cstheme="minorHAnsi"/>
        </w:rPr>
        <w:t xml:space="preserve">) vertinimo balas yra apskaičiuojamas </w:t>
      </w:r>
      <w:r>
        <w:rPr>
          <w:rFonts w:cstheme="minorHAnsi"/>
          <w:color w:val="000000"/>
        </w:rPr>
        <w:t>sudedant atskirų kriterijų balus</w:t>
      </w:r>
      <w:r>
        <w:rPr>
          <w:rFonts w:cstheme="minorHAnsi"/>
        </w:rPr>
        <w:t>:</w:t>
      </w:r>
    </w:p>
    <w:p w:rsidR="00D04FD4" w:rsidRDefault="002309E4">
      <w:pPr>
        <w:spacing w:line="20" w:lineRule="atLeast"/>
        <w:ind w:firstLine="0"/>
        <w:contextualSpacing/>
        <w:jc w:val="center"/>
        <w:rPr>
          <w:rFonts w:cstheme="minorHAnsi"/>
        </w:rPr>
      </w:pPr>
      <w:r>
        <w:rPr>
          <w:rFonts w:eastAsia="Calibri" w:cstheme="minorHAnsi"/>
          <w:color w:val="000000"/>
        </w:rPr>
        <w:t>T = T</w:t>
      </w:r>
      <w:r>
        <w:rPr>
          <w:rFonts w:eastAsia="Calibri" w:cstheme="minorHAnsi"/>
          <w:color w:val="000000"/>
          <w:vertAlign w:val="subscript"/>
        </w:rPr>
        <w:t>1</w:t>
      </w:r>
      <w:r>
        <w:rPr>
          <w:rFonts w:eastAsia="Calibri" w:cstheme="minorHAnsi"/>
          <w:color w:val="000000"/>
        </w:rPr>
        <w:t xml:space="preserve"> + T</w:t>
      </w:r>
      <w:r>
        <w:rPr>
          <w:rFonts w:eastAsia="Calibri" w:cstheme="minorHAnsi"/>
          <w:color w:val="000000"/>
          <w:vertAlign w:val="subscript"/>
        </w:rPr>
        <w:t>2</w:t>
      </w:r>
      <w:r>
        <w:rPr>
          <w:rFonts w:eastAsia="Calibri" w:cstheme="minorHAnsi"/>
          <w:color w:val="000000"/>
        </w:rPr>
        <w:t>.</w:t>
      </w:r>
      <w:r>
        <w:rPr>
          <w:rFonts w:cstheme="minorHAnsi"/>
        </w:rPr>
        <w:t xml:space="preserve"> </w:t>
      </w:r>
    </w:p>
    <w:p w:rsidR="00D04FD4" w:rsidRDefault="00D04FD4">
      <w:pPr>
        <w:spacing w:after="160" w:line="240" w:lineRule="auto"/>
        <w:ind w:firstLine="426"/>
        <w:contextualSpacing/>
        <w:rPr>
          <w:rFonts w:eastAsia="Times New Roman" w:cstheme="minorHAnsi"/>
        </w:rPr>
      </w:pPr>
    </w:p>
    <w:p w:rsidR="00D04FD4" w:rsidRDefault="002309E4">
      <w:pPr>
        <w:tabs>
          <w:tab w:val="left" w:pos="1418"/>
        </w:tabs>
        <w:spacing w:line="240" w:lineRule="auto"/>
        <w:ind w:firstLine="426"/>
        <w:contextualSpacing/>
        <w:rPr>
          <w:rFonts w:eastAsia="Times New Roman" w:cstheme="minorHAnsi"/>
        </w:rPr>
      </w:pPr>
      <w:r>
        <w:rPr>
          <w:rFonts w:eastAsia="Calibri" w:cstheme="minorHAnsi"/>
          <w:bCs/>
          <w:iCs/>
        </w:rPr>
        <w:t>3.1.4.</w:t>
      </w:r>
      <w:r>
        <w:rPr>
          <w:rFonts w:eastAsia="Times New Roman" w:cstheme="minorHAnsi"/>
          <w:iCs/>
          <w:lang w:eastAsia="en-US"/>
        </w:rPr>
        <w:t xml:space="preserve"> Kriterijui </w:t>
      </w:r>
      <w:r>
        <w:rPr>
          <w:rFonts w:eastAsia="Calibri" w:cstheme="minorHAnsi"/>
          <w:color w:val="000000"/>
        </w:rPr>
        <w:t>T</w:t>
      </w:r>
      <w:r>
        <w:rPr>
          <w:rFonts w:eastAsia="Calibri" w:cstheme="minorHAnsi"/>
          <w:color w:val="000000"/>
          <w:vertAlign w:val="subscript"/>
        </w:rPr>
        <w:t>1 „</w:t>
      </w:r>
      <w:r>
        <w:rPr>
          <w:rFonts w:eastAsia="Times New Roman" w:cstheme="minorHAnsi"/>
        </w:rPr>
        <w:t>Reakcijos laikui“ taikoma tiesioginio balų skyrimo tvarka – pasiūlus greitesnį reagavimo laiką, nei numatyta 1 priede „Techninė specifikacija“ 3.3 p., skiriama 30, 20 arba 10 balų, priklausomai nuo pasiūlyto laiko, nepasiūlus – 0 balų.</w:t>
      </w:r>
    </w:p>
    <w:p w:rsidR="00D04FD4" w:rsidRDefault="00D04FD4">
      <w:pPr>
        <w:tabs>
          <w:tab w:val="left" w:pos="1418"/>
        </w:tabs>
        <w:spacing w:line="240" w:lineRule="auto"/>
        <w:ind w:firstLine="426"/>
        <w:contextualSpacing/>
        <w:rPr>
          <w:rFonts w:eastAsia="Calibri" w:cstheme="minorHAnsi"/>
          <w:bCs/>
          <w:iCs/>
        </w:rPr>
      </w:pPr>
    </w:p>
    <w:p w:rsidR="00D04FD4" w:rsidRDefault="002309E4">
      <w:pPr>
        <w:tabs>
          <w:tab w:val="left" w:pos="1418"/>
        </w:tabs>
        <w:spacing w:line="240" w:lineRule="auto"/>
        <w:ind w:firstLine="426"/>
        <w:contextualSpacing/>
        <w:rPr>
          <w:rFonts w:eastAsia="Times New Roman" w:cstheme="minorHAnsi"/>
          <w:bCs/>
        </w:rPr>
      </w:pPr>
      <w:r>
        <w:rPr>
          <w:rFonts w:eastAsia="Calibri" w:cstheme="minorHAnsi"/>
          <w:bCs/>
          <w:iCs/>
          <w:color w:val="000000"/>
        </w:rPr>
        <w:t>3.1.5. Kriterijui T</w:t>
      </w:r>
      <w:r>
        <w:rPr>
          <w:rFonts w:eastAsia="Calibri" w:cstheme="minorHAnsi"/>
          <w:bCs/>
          <w:iCs/>
          <w:vertAlign w:val="subscript"/>
        </w:rPr>
        <w:t>2</w:t>
      </w:r>
      <w:r>
        <w:rPr>
          <w:rFonts w:eastAsia="Calibri" w:cstheme="minorHAnsi"/>
          <w:bCs/>
          <w:iCs/>
          <w:color w:val="000000"/>
        </w:rPr>
        <w:t xml:space="preserve"> „Aplinkos apsaugos vadybos sistemos taikymas paslaugoms“ </w:t>
      </w:r>
      <w:r>
        <w:rPr>
          <w:rFonts w:eastAsia="Times New Roman" w:cstheme="minorHAnsi"/>
        </w:rPr>
        <w:t>taikoma tiesioginio balų skyrimo tvarka –</w:t>
      </w:r>
      <w:r>
        <w:rPr>
          <w:rFonts w:eastAsia="Calibri" w:cstheme="minorHAnsi"/>
          <w:bCs/>
          <w:iCs/>
          <w:color w:val="000000"/>
        </w:rPr>
        <w:t xml:space="preserve"> jei tiekėjas atitinka šį kriterijų, jam skiriami 20 balų, jei neatitinka – 0 balų.</w:t>
      </w:r>
    </w:p>
    <w:p w:rsidR="00D04FD4" w:rsidRDefault="002309E4">
      <w:pPr>
        <w:tabs>
          <w:tab w:val="left" w:pos="284"/>
        </w:tabs>
        <w:spacing w:before="60" w:after="60" w:line="240" w:lineRule="auto"/>
        <w:ind w:firstLine="426"/>
        <w:rPr>
          <w:rFonts w:eastAsia="Calibri" w:cstheme="minorHAnsi"/>
          <w:color w:val="000000"/>
        </w:rPr>
      </w:pPr>
      <w:r>
        <w:rPr>
          <w:rFonts w:eastAsia="Calibri" w:cstheme="minorHAnsi"/>
          <w:color w:val="000000"/>
        </w:rPr>
        <w:t>3.1.6. Jeigu atlikus galutinį pasiūlymų ekonominio naudingumo įvertinimui skiriamų balų apskaičiavimą vienas iš pirkimo dalyvių pasitraukia/pašalinamas iš pirkimo, likusių pirkimo dalyvių balai neperskaičiuojami.</w:t>
      </w:r>
    </w:p>
    <w:p w:rsidR="00D04FD4" w:rsidRDefault="00D04FD4">
      <w:pPr>
        <w:tabs>
          <w:tab w:val="left" w:pos="993"/>
        </w:tabs>
        <w:suppressAutoHyphens/>
        <w:spacing w:line="240" w:lineRule="auto"/>
        <w:rPr>
          <w:rFonts w:ascii="Arial" w:eastAsiaTheme="minorHAnsi" w:hAnsi="Arial" w:cs="Arial"/>
          <w:bCs/>
          <w:iCs/>
        </w:rPr>
      </w:pPr>
    </w:p>
    <w:p w:rsidR="00D04FD4" w:rsidRDefault="00D04FD4">
      <w:pPr>
        <w:tabs>
          <w:tab w:val="left" w:pos="993"/>
        </w:tabs>
        <w:suppressAutoHyphens/>
        <w:spacing w:line="240" w:lineRule="auto"/>
        <w:rPr>
          <w:rFonts w:ascii="Arial" w:eastAsiaTheme="minorHAnsi" w:hAnsi="Arial" w:cs="Arial"/>
          <w:bCs/>
          <w:iCs/>
        </w:rPr>
      </w:pPr>
    </w:p>
    <w:p w:rsidR="00D04FD4" w:rsidRDefault="002309E4">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_________</w:t>
      </w:r>
    </w:p>
    <w:p w:rsidR="00D04FD4" w:rsidRDefault="00D04FD4">
      <w:pPr>
        <w:tabs>
          <w:tab w:val="left" w:pos="993"/>
        </w:tabs>
        <w:suppressAutoHyphens/>
        <w:spacing w:line="240" w:lineRule="auto"/>
      </w:pPr>
    </w:p>
    <w:sectPr w:rsidR="00D04FD4">
      <w:headerReference w:type="default" r:id="rId17"/>
      <w:footerReference w:type="default" r:id="rId18"/>
      <w:headerReference w:type="first" r:id="rId19"/>
      <w:footerReference w:type="first" r:id="rId20"/>
      <w:pgSz w:w="12240" w:h="15840"/>
      <w:pgMar w:top="777" w:right="720" w:bottom="777" w:left="720" w:header="720" w:footer="720" w:gutter="0"/>
      <w:pgNumType w:start="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130" w:rsidRDefault="00B65130">
      <w:pPr>
        <w:spacing w:line="240" w:lineRule="auto"/>
      </w:pPr>
      <w:r>
        <w:separator/>
      </w:r>
    </w:p>
  </w:endnote>
  <w:endnote w:type="continuationSeparator" w:id="0">
    <w:p w:rsidR="00B65130" w:rsidRDefault="00B651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BA"/>
    <w:family w:val="roman"/>
    <w:pitch w:val="variable"/>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60" w:type="dxa"/>
      <w:tblLook w:val="06A0" w:firstRow="1" w:lastRow="0" w:firstColumn="1" w:lastColumn="0" w:noHBand="1" w:noVBand="1"/>
    </w:tblPr>
    <w:tblGrid>
      <w:gridCol w:w="3320"/>
      <w:gridCol w:w="3320"/>
      <w:gridCol w:w="3320"/>
    </w:tblGrid>
    <w:tr w:rsidR="00D04FD4">
      <w:trPr>
        <w:trHeight w:val="300"/>
      </w:trPr>
      <w:tc>
        <w:tcPr>
          <w:tcW w:w="3320" w:type="dxa"/>
          <w:shd w:val="clear" w:color="auto" w:fill="auto"/>
        </w:tcPr>
        <w:p w:rsidR="00D04FD4" w:rsidRDefault="00D04FD4">
          <w:pPr>
            <w:pStyle w:val="Header"/>
            <w:ind w:left="-115"/>
            <w:jc w:val="left"/>
          </w:pPr>
        </w:p>
      </w:tc>
      <w:tc>
        <w:tcPr>
          <w:tcW w:w="3320" w:type="dxa"/>
          <w:shd w:val="clear" w:color="auto" w:fill="auto"/>
        </w:tcPr>
        <w:p w:rsidR="00D04FD4" w:rsidRDefault="00D04FD4">
          <w:pPr>
            <w:pStyle w:val="Header"/>
            <w:jc w:val="center"/>
          </w:pPr>
        </w:p>
      </w:tc>
      <w:tc>
        <w:tcPr>
          <w:tcW w:w="3320" w:type="dxa"/>
          <w:shd w:val="clear" w:color="auto" w:fill="auto"/>
        </w:tcPr>
        <w:p w:rsidR="00D04FD4" w:rsidRDefault="00D04FD4">
          <w:pPr>
            <w:pStyle w:val="Header"/>
            <w:ind w:right="-115"/>
            <w:jc w:val="right"/>
          </w:pPr>
        </w:p>
      </w:tc>
    </w:tr>
  </w:tbl>
  <w:p w:rsidR="00D04FD4" w:rsidRDefault="00D04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280" w:type="dxa"/>
      <w:tblLook w:val="06A0" w:firstRow="1" w:lastRow="0" w:firstColumn="1" w:lastColumn="0" w:noHBand="1" w:noVBand="1"/>
    </w:tblPr>
    <w:tblGrid>
      <w:gridCol w:w="3321"/>
      <w:gridCol w:w="3320"/>
      <w:gridCol w:w="3320"/>
      <w:gridCol w:w="3319"/>
    </w:tblGrid>
    <w:tr w:rsidR="00D04FD4">
      <w:trPr>
        <w:trHeight w:val="300"/>
      </w:trPr>
      <w:tc>
        <w:tcPr>
          <w:tcW w:w="3320" w:type="dxa"/>
          <w:shd w:val="clear" w:color="auto" w:fill="auto"/>
        </w:tcPr>
        <w:p w:rsidR="00D04FD4" w:rsidRDefault="00D04FD4">
          <w:pPr>
            <w:pStyle w:val="Header"/>
            <w:ind w:left="-115"/>
            <w:jc w:val="left"/>
          </w:pPr>
        </w:p>
      </w:tc>
      <w:tc>
        <w:tcPr>
          <w:tcW w:w="3320" w:type="dxa"/>
          <w:shd w:val="clear" w:color="auto" w:fill="auto"/>
        </w:tcPr>
        <w:p w:rsidR="00D04FD4" w:rsidRDefault="00D04FD4">
          <w:pPr>
            <w:pStyle w:val="Header"/>
            <w:jc w:val="center"/>
          </w:pPr>
        </w:p>
      </w:tc>
      <w:tc>
        <w:tcPr>
          <w:tcW w:w="3320" w:type="dxa"/>
          <w:shd w:val="clear" w:color="auto" w:fill="auto"/>
        </w:tcPr>
        <w:p w:rsidR="00D04FD4" w:rsidRDefault="00D04FD4">
          <w:pPr>
            <w:pStyle w:val="Header"/>
            <w:ind w:right="-115"/>
            <w:jc w:val="right"/>
          </w:pPr>
        </w:p>
      </w:tc>
      <w:tc>
        <w:tcPr>
          <w:tcW w:w="3319" w:type="dxa"/>
          <w:shd w:val="clear" w:color="auto" w:fill="auto"/>
        </w:tcPr>
        <w:p w:rsidR="00D04FD4" w:rsidRDefault="00D04FD4">
          <w:pPr>
            <w:pStyle w:val="Header"/>
            <w:ind w:right="-115"/>
            <w:jc w:val="right"/>
          </w:pPr>
        </w:p>
      </w:tc>
    </w:tr>
  </w:tbl>
  <w:p w:rsidR="00D04FD4" w:rsidRDefault="00D04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ook w:val="06A0" w:firstRow="1" w:lastRow="0" w:firstColumn="1" w:lastColumn="0" w:noHBand="1" w:noVBand="1"/>
    </w:tblPr>
    <w:tblGrid>
      <w:gridCol w:w="3600"/>
      <w:gridCol w:w="3600"/>
      <w:gridCol w:w="3600"/>
    </w:tblGrid>
    <w:tr w:rsidR="00D04FD4">
      <w:tc>
        <w:tcPr>
          <w:tcW w:w="3600" w:type="dxa"/>
          <w:shd w:val="clear" w:color="auto" w:fill="auto"/>
        </w:tcPr>
        <w:p w:rsidR="00D04FD4" w:rsidRDefault="00D04FD4">
          <w:pPr>
            <w:pStyle w:val="Header"/>
            <w:ind w:left="-115"/>
            <w:jc w:val="left"/>
          </w:pPr>
        </w:p>
      </w:tc>
      <w:tc>
        <w:tcPr>
          <w:tcW w:w="3600" w:type="dxa"/>
          <w:shd w:val="clear" w:color="auto" w:fill="auto"/>
        </w:tcPr>
        <w:p w:rsidR="00D04FD4" w:rsidRDefault="00D04FD4">
          <w:pPr>
            <w:pStyle w:val="Header"/>
            <w:jc w:val="center"/>
          </w:pPr>
        </w:p>
      </w:tc>
      <w:tc>
        <w:tcPr>
          <w:tcW w:w="3600" w:type="dxa"/>
          <w:shd w:val="clear" w:color="auto" w:fill="auto"/>
        </w:tcPr>
        <w:p w:rsidR="00D04FD4" w:rsidRDefault="00D04FD4">
          <w:pPr>
            <w:pStyle w:val="Header"/>
            <w:ind w:right="-115"/>
            <w:jc w:val="right"/>
          </w:pPr>
        </w:p>
      </w:tc>
    </w:tr>
  </w:tbl>
  <w:p w:rsidR="00D04FD4" w:rsidRDefault="00D04F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FD4" w:rsidRDefault="00D04FD4">
    <w:pPr>
      <w:pStyle w:val="Footer"/>
      <w:jc w:val="center"/>
    </w:pPr>
  </w:p>
  <w:p w:rsidR="00D04FD4" w:rsidRDefault="00D0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130" w:rsidRDefault="00B65130">
      <w:pPr>
        <w:spacing w:line="240" w:lineRule="auto"/>
      </w:pPr>
      <w:r>
        <w:separator/>
      </w:r>
    </w:p>
  </w:footnote>
  <w:footnote w:type="continuationSeparator" w:id="0">
    <w:p w:rsidR="00B65130" w:rsidRDefault="00B651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FD4" w:rsidRDefault="00D04FD4">
    <w:pPr>
      <w:pStyle w:val="Header"/>
      <w:jc w:val="center"/>
    </w:pPr>
  </w:p>
  <w:p w:rsidR="00D04FD4" w:rsidRDefault="00D04FD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FD4" w:rsidRDefault="00D04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E2E"/>
    <w:multiLevelType w:val="multilevel"/>
    <w:tmpl w:val="22F6AAF0"/>
    <w:lvl w:ilvl="0">
      <w:start w:val="6"/>
      <w:numFmt w:val="decimal"/>
      <w:lvlText w:val="%1."/>
      <w:lvlJc w:val="left"/>
      <w:pPr>
        <w:ind w:left="360" w:hanging="360"/>
      </w:pPr>
    </w:lvl>
    <w:lvl w:ilvl="1">
      <w:start w:val="4"/>
      <w:numFmt w:val="decimal"/>
      <w:lvlText w:val="%1.%2."/>
      <w:lvlJc w:val="left"/>
      <w:pPr>
        <w:ind w:left="1070" w:hanging="360"/>
      </w:pPr>
    </w:lvl>
    <w:lvl w:ilvl="2">
      <w:start w:val="1"/>
      <w:numFmt w:val="decimal"/>
      <w:lvlText w:val="%1.%2.%3."/>
      <w:lvlJc w:val="left"/>
      <w:pPr>
        <w:ind w:left="228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21671E99"/>
    <w:multiLevelType w:val="multilevel"/>
    <w:tmpl w:val="F4D6490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844534C"/>
    <w:multiLevelType w:val="multilevel"/>
    <w:tmpl w:val="983A527A"/>
    <w:lvl w:ilvl="0">
      <w:start w:val="7"/>
      <w:numFmt w:val="decimal"/>
      <w:lvlText w:val="%1."/>
      <w:lvlJc w:val="left"/>
      <w:pPr>
        <w:ind w:left="360" w:hanging="360"/>
      </w:pPr>
      <w:rPr>
        <w:rFonts w:ascii="Arial" w:hAnsi="Arial"/>
        <w:color w:val="000000"/>
      </w:rPr>
    </w:lvl>
    <w:lvl w:ilvl="1">
      <w:start w:val="2"/>
      <w:numFmt w:val="decimal"/>
      <w:lvlText w:val="%1.%2."/>
      <w:lvlJc w:val="left"/>
      <w:pPr>
        <w:ind w:left="1057" w:hanging="360"/>
      </w:pPr>
      <w:rPr>
        <w:rFonts w:cs="Arial"/>
        <w:color w:val="000000"/>
      </w:rPr>
    </w:lvl>
    <w:lvl w:ilvl="2">
      <w:start w:val="1"/>
      <w:numFmt w:val="decimal"/>
      <w:lvlText w:val="%1.%2.%3."/>
      <w:lvlJc w:val="left"/>
      <w:pPr>
        <w:ind w:left="2114" w:hanging="720"/>
      </w:pPr>
      <w:rPr>
        <w:rFonts w:cs="Arial"/>
        <w:color w:val="000000"/>
      </w:rPr>
    </w:lvl>
    <w:lvl w:ilvl="3">
      <w:start w:val="1"/>
      <w:numFmt w:val="decimal"/>
      <w:lvlText w:val="%1.%2.%3.%4."/>
      <w:lvlJc w:val="left"/>
      <w:pPr>
        <w:ind w:left="2811" w:hanging="720"/>
      </w:pPr>
      <w:rPr>
        <w:color w:val="000000"/>
      </w:rPr>
    </w:lvl>
    <w:lvl w:ilvl="4">
      <w:start w:val="1"/>
      <w:numFmt w:val="decimal"/>
      <w:lvlText w:val="%1.%2.%3.%4.%5."/>
      <w:lvlJc w:val="left"/>
      <w:pPr>
        <w:ind w:left="3868" w:hanging="1080"/>
      </w:pPr>
      <w:rPr>
        <w:color w:val="000000"/>
      </w:rPr>
    </w:lvl>
    <w:lvl w:ilvl="5">
      <w:start w:val="1"/>
      <w:numFmt w:val="decimal"/>
      <w:lvlText w:val="%1.%2.%3.%4.%5.%6."/>
      <w:lvlJc w:val="left"/>
      <w:pPr>
        <w:ind w:left="4565" w:hanging="1080"/>
      </w:pPr>
      <w:rPr>
        <w:color w:val="000000"/>
      </w:rPr>
    </w:lvl>
    <w:lvl w:ilvl="6">
      <w:start w:val="1"/>
      <w:numFmt w:val="decimal"/>
      <w:lvlText w:val="%1.%2.%3.%4.%5.%6.%7."/>
      <w:lvlJc w:val="left"/>
      <w:pPr>
        <w:ind w:left="5622" w:hanging="1440"/>
      </w:pPr>
      <w:rPr>
        <w:color w:val="000000"/>
      </w:rPr>
    </w:lvl>
    <w:lvl w:ilvl="7">
      <w:start w:val="1"/>
      <w:numFmt w:val="decimal"/>
      <w:lvlText w:val="%1.%2.%3.%4.%5.%6.%7.%8."/>
      <w:lvlJc w:val="left"/>
      <w:pPr>
        <w:ind w:left="6319" w:hanging="1440"/>
      </w:pPr>
      <w:rPr>
        <w:color w:val="000000"/>
      </w:rPr>
    </w:lvl>
    <w:lvl w:ilvl="8">
      <w:start w:val="1"/>
      <w:numFmt w:val="decimal"/>
      <w:lvlText w:val="%1.%2.%3.%4.%5.%6.%7.%8.%9."/>
      <w:lvlJc w:val="left"/>
      <w:pPr>
        <w:ind w:left="7376" w:hanging="1800"/>
      </w:pPr>
      <w:rPr>
        <w:color w:val="000000"/>
      </w:rPr>
    </w:lvl>
  </w:abstractNum>
  <w:abstractNum w:abstractNumId="3" w15:restartNumberingAfterBreak="0">
    <w:nsid w:val="3E2F55FB"/>
    <w:multiLevelType w:val="multilevel"/>
    <w:tmpl w:val="9836DEA6"/>
    <w:lvl w:ilvl="0">
      <w:start w:val="1"/>
      <w:numFmt w:val="decimal"/>
      <w:lvlText w:val="%1."/>
      <w:lvlJc w:val="left"/>
      <w:pPr>
        <w:ind w:left="360" w:hanging="360"/>
      </w:pPr>
    </w:lvl>
    <w:lvl w:ilvl="1">
      <w:start w:val="2"/>
      <w:numFmt w:val="decimal"/>
      <w:lvlText w:val="%1.%2."/>
      <w:lvlJc w:val="left"/>
      <w:pPr>
        <w:ind w:left="927" w:hanging="360"/>
      </w:pPr>
      <w:rPr>
        <w:rFonts w:cs="Calibri"/>
        <w:color w:val="auto"/>
      </w:r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4" w15:restartNumberingAfterBreak="0">
    <w:nsid w:val="416466C5"/>
    <w:multiLevelType w:val="multilevel"/>
    <w:tmpl w:val="A318586C"/>
    <w:lvl w:ilvl="0">
      <w:start w:val="2"/>
      <w:numFmt w:val="decimal"/>
      <w:lvlText w:val="%1."/>
      <w:lvlJc w:val="left"/>
      <w:pPr>
        <w:ind w:left="360" w:hanging="360"/>
      </w:pPr>
      <w:rPr>
        <w:rFonts w:eastAsia="Calibri"/>
        <w:color w:val="auto"/>
      </w:rPr>
    </w:lvl>
    <w:lvl w:ilvl="1">
      <w:start w:val="1"/>
      <w:numFmt w:val="decimal"/>
      <w:lvlText w:val="%1.%2."/>
      <w:lvlJc w:val="left"/>
      <w:pPr>
        <w:ind w:left="1494" w:hanging="360"/>
      </w:pPr>
      <w:rPr>
        <w:rFonts w:eastAsia="Calibri" w:cs="Arial"/>
        <w:i w:val="0"/>
        <w:iCs w:val="0"/>
        <w:color w:val="000000"/>
        <w:sz w:val="22"/>
        <w:szCs w:val="22"/>
      </w:rPr>
    </w:lvl>
    <w:lvl w:ilvl="2">
      <w:start w:val="1"/>
      <w:numFmt w:val="decimal"/>
      <w:lvlText w:val="%1.%2.%3."/>
      <w:lvlJc w:val="left"/>
      <w:pPr>
        <w:ind w:left="1287" w:hanging="720"/>
      </w:pPr>
      <w:rPr>
        <w:rFonts w:eastAsia="Calibri" w:cs="Calibri"/>
        <w:color w:val="000000"/>
        <w:sz w:val="22"/>
        <w:szCs w:val="22"/>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5" w15:restartNumberingAfterBreak="0">
    <w:nsid w:val="4D976D0B"/>
    <w:multiLevelType w:val="multilevel"/>
    <w:tmpl w:val="11F091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33214CF"/>
    <w:multiLevelType w:val="multilevel"/>
    <w:tmpl w:val="EF5AFDBC"/>
    <w:lvl w:ilvl="0">
      <w:start w:val="1"/>
      <w:numFmt w:val="decimal"/>
      <w:lvlText w:val="%1."/>
      <w:lvlJc w:val="left"/>
      <w:pPr>
        <w:ind w:left="720" w:hanging="360"/>
      </w:pPr>
    </w:lvl>
    <w:lvl w:ilvl="1">
      <w:start w:val="1"/>
      <w:numFmt w:val="decimal"/>
      <w:lvlText w:val="%1.%2."/>
      <w:lvlJc w:val="left"/>
      <w:pPr>
        <w:ind w:left="720" w:hanging="360"/>
      </w:pPr>
      <w:rPr>
        <w:b w:val="0"/>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CE94C76"/>
    <w:multiLevelType w:val="multilevel"/>
    <w:tmpl w:val="295295BA"/>
    <w:lvl w:ilvl="0">
      <w:start w:val="1"/>
      <w:numFmt w:val="decimal"/>
      <w:lvlText w:val="%1."/>
      <w:lvlJc w:val="left"/>
      <w:pPr>
        <w:ind w:left="360" w:hanging="360"/>
      </w:pPr>
    </w:lvl>
    <w:lvl w:ilvl="1">
      <w:start w:val="1"/>
      <w:numFmt w:val="decimal"/>
      <w:lvlText w:val="%1.%2."/>
      <w:lvlJc w:val="left"/>
      <w:pPr>
        <w:ind w:left="1070" w:hanging="360"/>
      </w:pPr>
      <w:rPr>
        <w:rFonts w:cs="Arial"/>
        <w:color w:val="auto"/>
      </w:r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num w:numId="1">
    <w:abstractNumId w:val="7"/>
  </w:num>
  <w:num w:numId="2">
    <w:abstractNumId w:val="2"/>
  </w:num>
  <w:num w:numId="3">
    <w:abstractNumId w:val="4"/>
  </w:num>
  <w:num w:numId="4">
    <w:abstractNumId w:val="3"/>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39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FD4"/>
    <w:rsid w:val="002309E4"/>
    <w:rsid w:val="002A29F3"/>
    <w:rsid w:val="0084532E"/>
    <w:rsid w:val="009A61FB"/>
    <w:rsid w:val="00A0147C"/>
    <w:rsid w:val="00B65130"/>
    <w:rsid w:val="00D04F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15C0"/>
  <w15:docId w15:val="{9872148E-FD69-484C-8B95-476A30F3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pPr>
      <w:spacing w:line="300" w:lineRule="auto"/>
      <w:ind w:firstLine="697"/>
      <w:jc w:val="both"/>
    </w:pPr>
  </w:style>
  <w:style w:type="paragraph" w:styleId="Heading1">
    <w:name w:val="heading 1"/>
    <w:basedOn w:val="Normal"/>
    <w:next w:val="Normal"/>
    <w:link w:val="Heading1Char"/>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281735"/>
    <w:rPr>
      <w:caps/>
      <w:color w:val="404040" w:themeColor="text1" w:themeTint="BF"/>
      <w:spacing w:val="20"/>
      <w:sz w:val="28"/>
      <w:szCs w:val="28"/>
    </w:rPr>
  </w:style>
  <w:style w:type="character" w:customStyle="1" w:styleId="ListParagraphChar">
    <w:name w:val="List Paragraph Char"/>
    <w:basedOn w:val="DefaultParagraphFont"/>
    <w:link w:val="ListParagraph"/>
    <w:qFormat/>
    <w:locked/>
    <w:rsid w:val="00D05666"/>
  </w:style>
  <w:style w:type="character" w:customStyle="1" w:styleId="Inaosprieraias">
    <w:name w:val="Išnašos prieraišas"/>
    <w:rPr>
      <w:vertAlign w:val="superscript"/>
    </w:rPr>
  </w:style>
  <w:style w:type="character" w:customStyle="1" w:styleId="FootnoteCharacters">
    <w:name w:val="Footnote Characters"/>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customStyle="1" w:styleId="Iskyrimas">
    <w:name w:val="Išskyrimas"/>
    <w:basedOn w:val="DefaultParagraphFont"/>
    <w:uiPriority w:val="20"/>
    <w:qFormat/>
    <w:rsid w:val="00281735"/>
    <w:rPr>
      <w:i/>
      <w:iCs/>
      <w:color w:val="000000" w:themeColor="text1"/>
    </w:rPr>
  </w:style>
  <w:style w:type="character" w:customStyle="1" w:styleId="QuoteChar">
    <w:name w:val="Quote Char"/>
    <w:basedOn w:val="DefaultParagraphFont"/>
    <w:link w:val="Quote"/>
    <w:uiPriority w:val="29"/>
    <w:qFormat/>
    <w:rsid w:val="00281735"/>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qFormat/>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customStyle="1" w:styleId="Normal12ptChar">
    <w:name w:val="Normal + 12 pt Char"/>
    <w:basedOn w:val="DefaultParagraphFont"/>
    <w:link w:val="Normal12pt"/>
    <w:qFormat/>
    <w:locked/>
    <w:rsid w:val="00A4394E"/>
  </w:style>
  <w:style w:type="character" w:customStyle="1" w:styleId="paragrafesrasas2lygisDiagrama">
    <w:name w:val="_paragrafe sąrasas 2 lygis Diagrama"/>
    <w:basedOn w:val="DefaultParagraphFont"/>
    <w:qFormat/>
    <w:rsid w:val="004D2FB8"/>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4D2FB8"/>
  </w:style>
  <w:style w:type="character" w:customStyle="1" w:styleId="cf01">
    <w:name w:val="cf01"/>
    <w:basedOn w:val="DefaultParagraphFont"/>
    <w:qFormat/>
    <w:rsid w:val="00F5411E"/>
    <w:rPr>
      <w:rFonts w:ascii="Segoe UI" w:hAnsi="Segoe UI" w:cs="Segoe UI"/>
      <w:sz w:val="18"/>
      <w:szCs w:val="18"/>
    </w:rPr>
  </w:style>
  <w:style w:type="character" w:customStyle="1" w:styleId="normaltextrun">
    <w:name w:val="normaltextrun"/>
    <w:basedOn w:val="DefaultParagraphFont"/>
    <w:qFormat/>
    <w:rsid w:val="00A52BA0"/>
  </w:style>
  <w:style w:type="character" w:customStyle="1" w:styleId="cf11">
    <w:name w:val="cf11"/>
    <w:basedOn w:val="DefaultParagraphFont"/>
    <w:qFormat/>
    <w:rsid w:val="00DD344C"/>
    <w:rPr>
      <w:rFonts w:ascii="Segoe UI" w:hAnsi="Segoe UI" w:cs="Segoe UI"/>
      <w:sz w:val="18"/>
      <w:szCs w:val="18"/>
    </w:rPr>
  </w:style>
  <w:style w:type="character" w:customStyle="1" w:styleId="Rodyklssaitas">
    <w:name w:val="Rodyklės saitas"/>
    <w:qFormat/>
  </w:style>
  <w:style w:type="paragraph" w:customStyle="1" w:styleId="Antrat">
    <w:name w:val="Antraštė"/>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customStyle="1" w:styleId="Rodykl">
    <w:name w:val="Rodyklė"/>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281735"/>
    <w:pPr>
      <w:spacing w:after="240"/>
      <w:ind w:left="1004" w:hanging="437"/>
    </w:pPr>
    <w:rPr>
      <w:caps/>
      <w:color w:val="404040" w:themeColor="text1" w:themeTint="BF"/>
      <w:spacing w:val="20"/>
      <w:sz w:val="28"/>
      <w:szCs w:val="28"/>
    </w:rPr>
  </w:style>
  <w:style w:type="paragraph" w:styleId="ListParagraph">
    <w:name w:val="List Paragraph"/>
    <w:basedOn w:val="Normal"/>
    <w:link w:val="ListParagraphChar"/>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pPr>
      <w:ind w:firstLine="697"/>
      <w:jc w:val="both"/>
    </w:pPr>
    <w:rPr>
      <w:rFonts w:ascii="Times New Roman" w:hAnsi="Times New Roman"/>
      <w:sz w:val="24"/>
      <w:szCs w:val="24"/>
      <w:lang w:eastAsia="en-US"/>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281735"/>
    <w:pPr>
      <w:ind w:firstLine="697"/>
      <w:jc w:val="both"/>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OCHeading">
    <w:name w:val="TOC Heading"/>
    <w:basedOn w:val="Heading1"/>
    <w:next w:val="Normal"/>
    <w:uiPriority w:val="39"/>
    <w:unhideWhenUsed/>
    <w:qFormat/>
    <w:rsid w:val="00281735"/>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uppressAutoHyphens/>
      <w:spacing w:after="40"/>
      <w:ind w:firstLine="697"/>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ED735B"/>
    <w:pPr>
      <w:tabs>
        <w:tab w:val="right" w:leader="dot" w:pos="9962"/>
      </w:tabs>
      <w:ind w:left="220"/>
    </w:pPr>
  </w:style>
  <w:style w:type="paragraph" w:customStyle="1" w:styleId="S1lygis">
    <w:name w:val="_S 1 lygis"/>
    <w:basedOn w:val="Normal"/>
    <w:qFormat/>
    <w:rsid w:val="00BC0EC9"/>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paragraph" w:customStyle="1" w:styleId="Normal12pt">
    <w:name w:val="Normal + 12 pt"/>
    <w:basedOn w:val="Normal"/>
    <w:link w:val="Normal12ptChar"/>
    <w:qFormat/>
    <w:rsid w:val="00A4394E"/>
    <w:pPr>
      <w:spacing w:line="240" w:lineRule="auto"/>
      <w:ind w:right="-283"/>
    </w:pPr>
  </w:style>
  <w:style w:type="paragraph" w:customStyle="1" w:styleId="paragrafesrasas2lygis">
    <w:name w:val="_paragrafe sąrasas 2 lygis"/>
    <w:basedOn w:val="BodyTextIndent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after="120" w:line="480" w:lineRule="auto"/>
      <w:ind w:left="283"/>
    </w:p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TableGrid">
    <w:name w:val="Table Grid"/>
    <w:basedOn w:val="TableNormal"/>
    <w:uiPriority w:val="39"/>
    <w:rsid w:val="00D05666"/>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TableNormal"/>
    <w:uiPriority w:val="99"/>
    <w:rsid w:val="00A76EAF"/>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rsid w:val="00C646F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39"/>
    <w:rsid w:val="003279E9"/>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3DC79-2FC7-4245-B59C-9CC2D7E4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3396</Words>
  <Characters>19360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Andrei Dainovskij</cp:lastModifiedBy>
  <cp:revision>4</cp:revision>
  <cp:lastPrinted>2021-11-03T05:49:00Z</cp:lastPrinted>
  <dcterms:created xsi:type="dcterms:W3CDTF">2025-11-24T06:33:00Z</dcterms:created>
  <dcterms:modified xsi:type="dcterms:W3CDTF">2025-11-24T06:50:00Z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