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77224B05"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7F0ED585" w14:textId="77777777" w:rsidR="00362020" w:rsidRDefault="00362020" w:rsidP="0036072B">
            <w:pPr>
              <w:jc w:val="center"/>
            </w:pPr>
            <w:r>
              <w:rPr>
                <w:noProof/>
                <w:color w:val="0000FF"/>
                <w:lang w:val="lt-LT" w:eastAsia="lt-LT"/>
              </w:rPr>
              <w:drawing>
                <wp:inline distT="0" distB="0" distL="0" distR="0" wp14:anchorId="6EEF5C43" wp14:editId="6FB36874">
                  <wp:extent cx="7372350" cy="1133475"/>
                  <wp:effectExtent l="19050" t="0" r="0" b="0"/>
                  <wp:docPr id="1" name="Paveikslėlis 1" descr="vrst_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8"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79A4FAD2"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2C272236"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49373BCE" w14:textId="77777777" w:rsidR="00362020" w:rsidRDefault="00362020" w:rsidP="0036072B">
            <w:pPr>
              <w:jc w:val="center"/>
              <w:rPr>
                <w:b/>
              </w:rPr>
            </w:pPr>
            <w:r>
              <w:rPr>
                <w:b/>
              </w:rPr>
              <w:t>NEMENČINĖS KOMUNALININKAS</w:t>
            </w:r>
          </w:p>
          <w:p w14:paraId="66FE2EDE"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registras, </w:t>
            </w:r>
            <w:proofErr w:type="spellStart"/>
            <w:r>
              <w:rPr>
                <w:sz w:val="20"/>
              </w:rPr>
              <w:t>kodas</w:t>
            </w:r>
            <w:proofErr w:type="spellEnd"/>
            <w:r>
              <w:rPr>
                <w:sz w:val="20"/>
              </w:rPr>
              <w:t xml:space="preserve"> </w:t>
            </w:r>
            <w:r>
              <w:t>186442084</w:t>
            </w:r>
            <w:r>
              <w:rPr>
                <w:sz w:val="20"/>
              </w:rPr>
              <w:t>.</w:t>
            </w:r>
          </w:p>
          <w:p w14:paraId="4058DD1B" w14:textId="734E44D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4583D71" w14:textId="77777777" w:rsidR="00362020" w:rsidRDefault="00362020" w:rsidP="00362020">
      <w:pPr>
        <w:tabs>
          <w:tab w:val="right" w:leader="underscore" w:pos="8505"/>
        </w:tabs>
        <w:jc w:val="center"/>
        <w:rPr>
          <w:iCs/>
          <w:sz w:val="28"/>
          <w:szCs w:val="28"/>
        </w:rPr>
      </w:pPr>
    </w:p>
    <w:p w14:paraId="783A115B" w14:textId="77777777" w:rsidR="00362020" w:rsidRPr="004E4CCD" w:rsidRDefault="00362020" w:rsidP="00362020">
      <w:pPr>
        <w:widowControl w:val="0"/>
        <w:rPr>
          <w:b/>
          <w:color w:val="000000"/>
          <w:sz w:val="32"/>
        </w:rPr>
      </w:pPr>
      <w:r>
        <w:rPr>
          <w:iCs/>
          <w:sz w:val="28"/>
          <w:szCs w:val="28"/>
        </w:rPr>
        <w:t xml:space="preserve">                                                                                 </w:t>
      </w:r>
    </w:p>
    <w:p w14:paraId="66B8D342" w14:textId="77777777" w:rsidR="00362020" w:rsidRPr="00526061" w:rsidRDefault="00362020" w:rsidP="00B64B73">
      <w:pPr>
        <w:ind w:left="5245"/>
        <w:rPr>
          <w:lang w:val="fi-FI"/>
        </w:rPr>
      </w:pPr>
      <w:r w:rsidRPr="00526061">
        <w:rPr>
          <w:lang w:val="fi-FI"/>
        </w:rPr>
        <w:t>PATVIRTINTA:</w:t>
      </w:r>
    </w:p>
    <w:p w14:paraId="2E9C9626" w14:textId="77777777" w:rsidR="00526061" w:rsidRDefault="00362020" w:rsidP="00526061">
      <w:pPr>
        <w:tabs>
          <w:tab w:val="right" w:leader="underscore" w:pos="8640"/>
        </w:tabs>
        <w:ind w:left="5245"/>
        <w:rPr>
          <w:lang w:val="fi-FI"/>
        </w:rPr>
      </w:pPr>
      <w:r w:rsidRPr="00526061">
        <w:rPr>
          <w:lang w:val="fi-FI"/>
        </w:rPr>
        <w:t xml:space="preserve">UAB „Nemenčinės komunalininkas“  </w:t>
      </w:r>
    </w:p>
    <w:p w14:paraId="1DE0FD10" w14:textId="4838F484" w:rsidR="00526061" w:rsidRPr="00304065" w:rsidRDefault="00526061" w:rsidP="00526061">
      <w:pPr>
        <w:tabs>
          <w:tab w:val="right" w:leader="underscore" w:pos="8640"/>
        </w:tabs>
        <w:ind w:left="5245"/>
        <w:rPr>
          <w:lang w:val="fi-FI"/>
        </w:rPr>
      </w:pPr>
      <w:r w:rsidRPr="00304065">
        <w:rPr>
          <w:lang w:val="fi-FI"/>
        </w:rPr>
        <w:t>direktoriaus Leonard Pavliun</w:t>
      </w:r>
    </w:p>
    <w:p w14:paraId="77E996E8" w14:textId="480173E9" w:rsidR="00B64D14" w:rsidRPr="00526061" w:rsidRDefault="00526061" w:rsidP="00B64B73">
      <w:pPr>
        <w:tabs>
          <w:tab w:val="right" w:leader="underscore" w:pos="8640"/>
        </w:tabs>
        <w:ind w:left="5245"/>
        <w:rPr>
          <w:lang w:val="fi-FI"/>
        </w:rPr>
      </w:pPr>
      <w:r>
        <w:rPr>
          <w:lang w:val="fi-FI"/>
        </w:rPr>
        <w:t>2025</w:t>
      </w:r>
      <w:r w:rsidR="005F21AE" w:rsidRPr="00526061">
        <w:rPr>
          <w:lang w:val="fi-FI"/>
        </w:rPr>
        <w:t xml:space="preserve"> m. </w:t>
      </w:r>
      <w:r>
        <w:rPr>
          <w:lang w:val="fi-FI"/>
        </w:rPr>
        <w:t>lapkričio 24</w:t>
      </w:r>
      <w:r w:rsidR="00362020" w:rsidRPr="00526061">
        <w:rPr>
          <w:lang w:val="fi-FI"/>
        </w:rPr>
        <w:t xml:space="preserve"> d</w:t>
      </w:r>
      <w:r w:rsidR="00691CCE" w:rsidRPr="00526061">
        <w:rPr>
          <w:lang w:val="fi-FI"/>
        </w:rPr>
        <w:t>.</w:t>
      </w:r>
      <w:r w:rsidR="00362020" w:rsidRPr="00526061">
        <w:rPr>
          <w:lang w:val="fi-FI"/>
        </w:rPr>
        <w:t xml:space="preserve"> įsakymu</w:t>
      </w:r>
      <w:r w:rsidR="008B3D50" w:rsidRPr="00526061">
        <w:rPr>
          <w:lang w:val="fi-FI"/>
        </w:rPr>
        <w:t xml:space="preserve"> Nr. </w:t>
      </w:r>
    </w:p>
    <w:p w14:paraId="574F415C" w14:textId="77777777" w:rsidR="00B64D14" w:rsidRPr="002E6913" w:rsidRDefault="00B64D14">
      <w:pPr>
        <w:jc w:val="center"/>
        <w:rPr>
          <w:lang w:val="lt-LT"/>
        </w:rPr>
      </w:pPr>
    </w:p>
    <w:p w14:paraId="168B42A9" w14:textId="77777777" w:rsidR="00FB0D71" w:rsidRPr="005F650D" w:rsidRDefault="00FB0D71" w:rsidP="00FB0D71">
      <w:pPr>
        <w:tabs>
          <w:tab w:val="right" w:leader="underscore" w:pos="8505"/>
        </w:tabs>
        <w:jc w:val="center"/>
        <w:rPr>
          <w:b/>
          <w:lang w:val="lt-LT"/>
        </w:rPr>
      </w:pPr>
      <w:r w:rsidRPr="005F650D">
        <w:rPr>
          <w:b/>
          <w:lang w:val="lt-LT"/>
        </w:rPr>
        <w:t>MAŽOS VERTĖS PIRKIMAS, VYKDOMAS</w:t>
      </w:r>
    </w:p>
    <w:p w14:paraId="778917DF" w14:textId="77777777" w:rsidR="00FB0D71" w:rsidRPr="005F650D" w:rsidRDefault="00FB0D71" w:rsidP="00FB0D71">
      <w:pPr>
        <w:jc w:val="center"/>
        <w:rPr>
          <w:b/>
          <w:lang w:val="lt-LT"/>
        </w:rPr>
      </w:pPr>
      <w:r w:rsidRPr="005F650D">
        <w:rPr>
          <w:b/>
          <w:lang w:val="lt-LT"/>
        </w:rPr>
        <w:t xml:space="preserve"> SKELBIAMOS APKLAUSOS BŪDU CVP IS PRIEMONĖMIS</w:t>
      </w:r>
    </w:p>
    <w:p w14:paraId="6165B4FB" w14:textId="77777777" w:rsidR="00FB0D71" w:rsidRPr="005F650D" w:rsidRDefault="00FB0D71" w:rsidP="00FB0D71">
      <w:pPr>
        <w:jc w:val="center"/>
        <w:rPr>
          <w:b/>
          <w:lang w:val="lt-LT"/>
        </w:rPr>
      </w:pPr>
    </w:p>
    <w:p w14:paraId="15DCDB7A" w14:textId="08E858A6" w:rsidR="00B64D14" w:rsidRPr="005E64B6" w:rsidRDefault="00405159" w:rsidP="00FB0D71">
      <w:pPr>
        <w:jc w:val="center"/>
        <w:rPr>
          <w:b/>
          <w:bCs/>
          <w:szCs w:val="20"/>
          <w:lang w:val="lt-LT"/>
        </w:rPr>
      </w:pPr>
      <w:r>
        <w:rPr>
          <w:b/>
        </w:rPr>
        <w:t>LIZINGO PASLAUGŲ</w:t>
      </w:r>
      <w:r w:rsidR="00372348">
        <w:rPr>
          <w:b/>
        </w:rPr>
        <w:t xml:space="preserve"> </w:t>
      </w:r>
      <w:r w:rsidR="00B64D14" w:rsidRPr="002E6913">
        <w:rPr>
          <w:b/>
          <w:bCs/>
          <w:szCs w:val="20"/>
          <w:lang w:val="lt-LT"/>
        </w:rPr>
        <w:t>PIRKIMAS</w:t>
      </w:r>
    </w:p>
    <w:p w14:paraId="54DC8613" w14:textId="77777777" w:rsidR="00B64D14" w:rsidRPr="002E6913" w:rsidRDefault="00B64D14">
      <w:pPr>
        <w:pStyle w:val="Footer"/>
        <w:tabs>
          <w:tab w:val="clear" w:pos="4320"/>
          <w:tab w:val="clear" w:pos="8640"/>
        </w:tabs>
        <w:rPr>
          <w:szCs w:val="24"/>
          <w:lang w:val="en-GB"/>
        </w:rPr>
      </w:pPr>
    </w:p>
    <w:p w14:paraId="2B106DEE" w14:textId="77777777" w:rsidR="00B64D14" w:rsidRPr="002E6913" w:rsidRDefault="00B64D14">
      <w:pPr>
        <w:jc w:val="center"/>
        <w:rPr>
          <w:b/>
        </w:rPr>
      </w:pPr>
      <w:r w:rsidRPr="002E6913">
        <w:rPr>
          <w:b/>
        </w:rPr>
        <w:t>TURINYS</w:t>
      </w:r>
    </w:p>
    <w:p w14:paraId="305613EF" w14:textId="77777777" w:rsidR="00B64D14" w:rsidRPr="002E6913" w:rsidRDefault="00B64D14">
      <w:pPr>
        <w:jc w:val="center"/>
        <w:rPr>
          <w:b/>
        </w:rPr>
      </w:pPr>
    </w:p>
    <w:tbl>
      <w:tblPr>
        <w:tblW w:w="0" w:type="auto"/>
        <w:tblLook w:val="01E0" w:firstRow="1" w:lastRow="1" w:firstColumn="1" w:lastColumn="1" w:noHBand="0" w:noVBand="0"/>
      </w:tblPr>
      <w:tblGrid>
        <w:gridCol w:w="858"/>
        <w:gridCol w:w="8781"/>
      </w:tblGrid>
      <w:tr w:rsidR="00B64D14" w:rsidRPr="002E6913" w14:paraId="34F3CCC2" w14:textId="77777777">
        <w:tc>
          <w:tcPr>
            <w:tcW w:w="863" w:type="dxa"/>
          </w:tcPr>
          <w:p w14:paraId="714794CF" w14:textId="77777777" w:rsidR="00B64D14" w:rsidRPr="002E6913" w:rsidRDefault="00B64D14">
            <w:pPr>
              <w:jc w:val="both"/>
            </w:pPr>
            <w:r w:rsidRPr="002E6913">
              <w:t>I.</w:t>
            </w:r>
          </w:p>
        </w:tc>
        <w:tc>
          <w:tcPr>
            <w:tcW w:w="8992" w:type="dxa"/>
          </w:tcPr>
          <w:p w14:paraId="6224B2FF" w14:textId="77777777" w:rsidR="00B64D14" w:rsidRPr="002E6913" w:rsidRDefault="00B64D14">
            <w:pPr>
              <w:jc w:val="both"/>
            </w:pPr>
            <w:r w:rsidRPr="002E6913">
              <w:t>BENDROSIOS NUOSTATOS</w:t>
            </w:r>
          </w:p>
        </w:tc>
      </w:tr>
      <w:tr w:rsidR="00B64D14" w:rsidRPr="002E6913" w14:paraId="57E9A175" w14:textId="77777777">
        <w:tc>
          <w:tcPr>
            <w:tcW w:w="863" w:type="dxa"/>
          </w:tcPr>
          <w:p w14:paraId="08030C71" w14:textId="77777777" w:rsidR="00B64D14" w:rsidRPr="002E6913" w:rsidRDefault="00B64D14">
            <w:pPr>
              <w:jc w:val="both"/>
            </w:pPr>
            <w:r w:rsidRPr="002E6913">
              <w:t>II.</w:t>
            </w:r>
          </w:p>
        </w:tc>
        <w:tc>
          <w:tcPr>
            <w:tcW w:w="8992" w:type="dxa"/>
          </w:tcPr>
          <w:p w14:paraId="7800F5FB"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8F21CA" w14:paraId="484C83D9" w14:textId="77777777">
        <w:tc>
          <w:tcPr>
            <w:tcW w:w="863" w:type="dxa"/>
          </w:tcPr>
          <w:p w14:paraId="38E3E856" w14:textId="77777777" w:rsidR="00B64D14" w:rsidRPr="002E6913" w:rsidRDefault="00B64D14">
            <w:pPr>
              <w:jc w:val="both"/>
            </w:pPr>
            <w:r w:rsidRPr="002E6913">
              <w:t>III.</w:t>
            </w:r>
          </w:p>
        </w:tc>
        <w:tc>
          <w:tcPr>
            <w:tcW w:w="8992" w:type="dxa"/>
          </w:tcPr>
          <w:p w14:paraId="1A54F520" w14:textId="77777777" w:rsidR="00B64D14" w:rsidRPr="005F650D" w:rsidRDefault="00202624" w:rsidP="00202624">
            <w:pPr>
              <w:jc w:val="both"/>
              <w:rPr>
                <w:lang w:val="fi-FI"/>
              </w:rPr>
            </w:pPr>
            <w:r w:rsidRPr="005F650D">
              <w:rPr>
                <w:lang w:val="fi-FI"/>
              </w:rPr>
              <w:t>BENDRIEJI PASIŪLYMŲ REIKALAVIMAI, PATEIKIMO TVARKA, TERMINAI</w:t>
            </w:r>
          </w:p>
        </w:tc>
      </w:tr>
      <w:tr w:rsidR="00B64D14" w:rsidRPr="002E6913" w14:paraId="7615B63E" w14:textId="77777777">
        <w:tc>
          <w:tcPr>
            <w:tcW w:w="863" w:type="dxa"/>
          </w:tcPr>
          <w:p w14:paraId="3A6AF0A7" w14:textId="77777777" w:rsidR="00B64D14" w:rsidRPr="002E6913" w:rsidRDefault="00B64D14">
            <w:pPr>
              <w:jc w:val="both"/>
            </w:pPr>
            <w:r w:rsidRPr="002E6913">
              <w:t>IV.</w:t>
            </w:r>
          </w:p>
        </w:tc>
        <w:tc>
          <w:tcPr>
            <w:tcW w:w="8992" w:type="dxa"/>
          </w:tcPr>
          <w:p w14:paraId="339F01D2" w14:textId="77777777" w:rsidR="00B64D14" w:rsidRPr="002E6913" w:rsidRDefault="00202624">
            <w:pPr>
              <w:jc w:val="both"/>
              <w:rPr>
                <w:lang w:val="pt-BR"/>
              </w:rPr>
            </w:pPr>
            <w:r>
              <w:t>TIEKĖJŲ KVALIFIKACIJOS REIKALAVIMAI</w:t>
            </w:r>
          </w:p>
        </w:tc>
      </w:tr>
      <w:tr w:rsidR="00B64D14" w:rsidRPr="002E6913" w14:paraId="32F31261" w14:textId="77777777">
        <w:tc>
          <w:tcPr>
            <w:tcW w:w="863" w:type="dxa"/>
          </w:tcPr>
          <w:p w14:paraId="39FD6A60" w14:textId="77777777" w:rsidR="00B64D14" w:rsidRPr="002E6913" w:rsidRDefault="00B64D14">
            <w:pPr>
              <w:jc w:val="both"/>
            </w:pPr>
            <w:r w:rsidRPr="002E6913">
              <w:t>V.</w:t>
            </w:r>
          </w:p>
        </w:tc>
        <w:tc>
          <w:tcPr>
            <w:tcW w:w="8992" w:type="dxa"/>
          </w:tcPr>
          <w:p w14:paraId="49E6B679"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8F21CA" w14:paraId="4DB51883" w14:textId="77777777">
        <w:tc>
          <w:tcPr>
            <w:tcW w:w="863" w:type="dxa"/>
          </w:tcPr>
          <w:p w14:paraId="3214E596" w14:textId="77777777" w:rsidR="00B64D14" w:rsidRPr="002E6913" w:rsidRDefault="00B64D14">
            <w:pPr>
              <w:jc w:val="both"/>
            </w:pPr>
            <w:r w:rsidRPr="002E6913">
              <w:t>VI.</w:t>
            </w:r>
          </w:p>
        </w:tc>
        <w:tc>
          <w:tcPr>
            <w:tcW w:w="8992" w:type="dxa"/>
          </w:tcPr>
          <w:p w14:paraId="66B876DE" w14:textId="77777777" w:rsidR="00B64D14" w:rsidRPr="005F650D" w:rsidRDefault="0025231C">
            <w:pPr>
              <w:jc w:val="both"/>
              <w:rPr>
                <w:lang w:val="fi-FI"/>
              </w:rPr>
            </w:pPr>
            <w:r w:rsidRPr="005F650D">
              <w:rPr>
                <w:lang w:val="fi-FI"/>
              </w:rPr>
              <w:t>PIRKIMO</w:t>
            </w:r>
            <w:r w:rsidR="00202624" w:rsidRPr="005F650D">
              <w:rPr>
                <w:lang w:val="fi-FI"/>
              </w:rPr>
              <w:t xml:space="preserve"> SĄLYGŲ PAAIŠKINIMAS IR PATIKSLINIMAS</w:t>
            </w:r>
          </w:p>
        </w:tc>
      </w:tr>
      <w:tr w:rsidR="00B64D14" w:rsidRPr="002E6913" w14:paraId="087BFDE1" w14:textId="77777777">
        <w:tc>
          <w:tcPr>
            <w:tcW w:w="863" w:type="dxa"/>
          </w:tcPr>
          <w:p w14:paraId="377A28B7" w14:textId="77777777" w:rsidR="00B64D14" w:rsidRPr="002E6913" w:rsidRDefault="00B64D14">
            <w:pPr>
              <w:jc w:val="both"/>
            </w:pPr>
            <w:r w:rsidRPr="002E6913">
              <w:t>VII.</w:t>
            </w:r>
          </w:p>
        </w:tc>
        <w:tc>
          <w:tcPr>
            <w:tcW w:w="8992" w:type="dxa"/>
          </w:tcPr>
          <w:p w14:paraId="6478C720" w14:textId="77777777" w:rsidR="00B64D14" w:rsidRPr="002E6913" w:rsidRDefault="00202624">
            <w:pPr>
              <w:jc w:val="both"/>
              <w:rPr>
                <w:lang w:val="pt-BR"/>
              </w:rPr>
            </w:pPr>
            <w:r>
              <w:t>VOKŲ SU PASIŪLYMAIS ATPLĖŠIMO PROCEDŪROS</w:t>
            </w:r>
          </w:p>
        </w:tc>
      </w:tr>
      <w:tr w:rsidR="00B64D14" w:rsidRPr="002E6913" w14:paraId="68E6FA38" w14:textId="77777777">
        <w:tc>
          <w:tcPr>
            <w:tcW w:w="863" w:type="dxa"/>
          </w:tcPr>
          <w:p w14:paraId="17C75FC1" w14:textId="77777777" w:rsidR="00B64D14" w:rsidRPr="002E6913" w:rsidRDefault="00B64D14">
            <w:pPr>
              <w:jc w:val="both"/>
            </w:pPr>
            <w:r w:rsidRPr="002E6913">
              <w:t>VIII.</w:t>
            </w:r>
          </w:p>
        </w:tc>
        <w:tc>
          <w:tcPr>
            <w:tcW w:w="8992" w:type="dxa"/>
          </w:tcPr>
          <w:p w14:paraId="56B13FBC" w14:textId="77777777" w:rsidR="00B64D14" w:rsidRPr="002E6913" w:rsidRDefault="00202624">
            <w:pPr>
              <w:jc w:val="both"/>
            </w:pPr>
            <w:r>
              <w:t>PASIŪLYMŲ NAGRINĖJIMAS IR PASIŪLYMŲ ATMETIMO PRIEŽASTYS</w:t>
            </w:r>
          </w:p>
        </w:tc>
      </w:tr>
      <w:tr w:rsidR="00B64D14" w:rsidRPr="002E6913" w14:paraId="04A38F85" w14:textId="77777777">
        <w:tc>
          <w:tcPr>
            <w:tcW w:w="863" w:type="dxa"/>
          </w:tcPr>
          <w:p w14:paraId="001A17E8" w14:textId="77777777" w:rsidR="00B64D14" w:rsidRPr="002E6913" w:rsidRDefault="00B64D14">
            <w:pPr>
              <w:jc w:val="both"/>
            </w:pPr>
            <w:r w:rsidRPr="002E6913">
              <w:t>IX.</w:t>
            </w:r>
          </w:p>
        </w:tc>
        <w:tc>
          <w:tcPr>
            <w:tcW w:w="8992" w:type="dxa"/>
          </w:tcPr>
          <w:p w14:paraId="0413BF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49989707" w14:textId="77777777">
        <w:tc>
          <w:tcPr>
            <w:tcW w:w="863" w:type="dxa"/>
          </w:tcPr>
          <w:p w14:paraId="11C597C7" w14:textId="77777777" w:rsidR="00B64D14" w:rsidRPr="002E6913" w:rsidRDefault="00B64D14">
            <w:pPr>
              <w:jc w:val="both"/>
            </w:pPr>
            <w:r w:rsidRPr="002E6913">
              <w:t>X.</w:t>
            </w:r>
          </w:p>
        </w:tc>
        <w:tc>
          <w:tcPr>
            <w:tcW w:w="8992" w:type="dxa"/>
          </w:tcPr>
          <w:p w14:paraId="645C7244" w14:textId="77777777" w:rsidR="00B64D14" w:rsidRPr="002E6913" w:rsidRDefault="00202624">
            <w:pPr>
              <w:jc w:val="both"/>
            </w:pPr>
            <w:r w:rsidRPr="00B062BF">
              <w:t>SPRENDIMAS DĖL PIRKIMO SUTARTIES SUDARYMO</w:t>
            </w:r>
          </w:p>
        </w:tc>
      </w:tr>
      <w:tr w:rsidR="00B64D14" w:rsidRPr="002E6913" w14:paraId="6626B12A" w14:textId="77777777">
        <w:tc>
          <w:tcPr>
            <w:tcW w:w="863" w:type="dxa"/>
          </w:tcPr>
          <w:p w14:paraId="7DE6C6A0" w14:textId="77777777" w:rsidR="00B64D14" w:rsidRPr="002E6913" w:rsidRDefault="00B64D14">
            <w:pPr>
              <w:jc w:val="both"/>
            </w:pPr>
            <w:r w:rsidRPr="002E6913">
              <w:t>XI.</w:t>
            </w:r>
          </w:p>
        </w:tc>
        <w:tc>
          <w:tcPr>
            <w:tcW w:w="8992" w:type="dxa"/>
          </w:tcPr>
          <w:p w14:paraId="195ED539" w14:textId="77777777" w:rsidR="00B64D14" w:rsidRPr="002E6913" w:rsidRDefault="00202624">
            <w:pPr>
              <w:jc w:val="both"/>
            </w:pPr>
            <w:r w:rsidRPr="00B062BF">
              <w:t>PIRKIMO SUTARTIES SĄLYGOS</w:t>
            </w:r>
          </w:p>
        </w:tc>
      </w:tr>
      <w:tr w:rsidR="00B64D14" w:rsidRPr="002E6913" w14:paraId="2C14F580" w14:textId="77777777">
        <w:tc>
          <w:tcPr>
            <w:tcW w:w="863" w:type="dxa"/>
          </w:tcPr>
          <w:p w14:paraId="756780B4" w14:textId="77777777" w:rsidR="00B64D14" w:rsidRPr="002E6913" w:rsidRDefault="00202624">
            <w:pPr>
              <w:jc w:val="both"/>
            </w:pPr>
            <w:r>
              <w:t>XII.</w:t>
            </w:r>
          </w:p>
        </w:tc>
        <w:tc>
          <w:tcPr>
            <w:tcW w:w="8992" w:type="dxa"/>
          </w:tcPr>
          <w:p w14:paraId="1EC1818A" w14:textId="77777777" w:rsidR="00B64D14" w:rsidRPr="002E6913" w:rsidRDefault="00B64D14">
            <w:pPr>
              <w:jc w:val="both"/>
            </w:pPr>
            <w:r w:rsidRPr="002E6913">
              <w:t>PRIEDAI:</w:t>
            </w:r>
          </w:p>
          <w:p w14:paraId="00934043" w14:textId="77777777" w:rsidR="00B64D14" w:rsidRPr="002E6913" w:rsidRDefault="00B64D14">
            <w:pPr>
              <w:jc w:val="both"/>
            </w:pPr>
          </w:p>
        </w:tc>
      </w:tr>
    </w:tbl>
    <w:p w14:paraId="3B1AFAF4" w14:textId="79D7E8E0" w:rsidR="00372348" w:rsidRPr="00290291" w:rsidRDefault="00372348" w:rsidP="00372348">
      <w:pPr>
        <w:jc w:val="both"/>
      </w:pPr>
      <w:r w:rsidRPr="00290291">
        <w:t>1. </w:t>
      </w:r>
      <w:proofErr w:type="spellStart"/>
      <w:r w:rsidRPr="00290291">
        <w:t>Techninė</w:t>
      </w:r>
      <w:proofErr w:type="spellEnd"/>
      <w:r w:rsidRPr="00290291">
        <w:t xml:space="preserve"> </w:t>
      </w:r>
      <w:proofErr w:type="spellStart"/>
      <w:r w:rsidRPr="00290291">
        <w:t>specifikacija</w:t>
      </w:r>
      <w:proofErr w:type="spellEnd"/>
      <w:r w:rsidR="007D6EC8">
        <w:t>.</w:t>
      </w:r>
    </w:p>
    <w:p w14:paraId="151A449D" w14:textId="77777777" w:rsidR="00372348" w:rsidRPr="00290291" w:rsidRDefault="00372348" w:rsidP="00372348">
      <w:pPr>
        <w:jc w:val="both"/>
      </w:pPr>
      <w:r w:rsidRPr="00290291">
        <w:t xml:space="preserve">2. </w:t>
      </w:r>
      <w:proofErr w:type="spellStart"/>
      <w:r w:rsidRPr="00290291">
        <w:t>Pasiūlymo</w:t>
      </w:r>
      <w:proofErr w:type="spellEnd"/>
      <w:r w:rsidRPr="00290291">
        <w:t xml:space="preserve"> forma</w:t>
      </w:r>
      <w:r>
        <w:t>.</w:t>
      </w:r>
    </w:p>
    <w:p w14:paraId="2BC6EE4A"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09B049A7" w14:textId="77777777" w:rsidR="00445744" w:rsidRPr="00445744" w:rsidRDefault="00445744" w:rsidP="00445744">
      <w:pPr>
        <w:ind w:left="360"/>
        <w:jc w:val="center"/>
        <w:rPr>
          <w:lang w:val="lt-LT"/>
        </w:rPr>
      </w:pPr>
    </w:p>
    <w:p w14:paraId="4B064B0F" w14:textId="324446F2"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Perkančioji organizacija) vykdo</w:t>
      </w:r>
      <w:r w:rsidR="0066367B">
        <w:t xml:space="preserve"> </w:t>
      </w:r>
      <w:r w:rsidR="009A09EF">
        <w:t>lizingo</w:t>
      </w:r>
      <w:r w:rsidR="0093403C">
        <w:t xml:space="preserve"> paslaugų </w:t>
      </w:r>
      <w:r w:rsidR="00B64D14" w:rsidRPr="002E6913">
        <w:t>viešąjį pirkimą.</w:t>
      </w:r>
    </w:p>
    <w:p w14:paraId="4B7A4B8D" w14:textId="02D5F5D5" w:rsidR="00DA7C4E" w:rsidRDefault="001C4C49" w:rsidP="00202303">
      <w:pPr>
        <w:pStyle w:val="Heading2"/>
        <w:numPr>
          <w:ilvl w:val="1"/>
          <w:numId w:val="10"/>
        </w:numPr>
        <w:tabs>
          <w:tab w:val="left" w:pos="1134"/>
        </w:tabs>
        <w:ind w:left="0" w:firstLine="567"/>
      </w:pPr>
      <w:r>
        <w:t xml:space="preserve">Pirkimas vykdomas vadovaujantis Viešųjų pirkimų </w:t>
      </w:r>
      <w:r w:rsidRPr="00DA7C4E">
        <w:rPr>
          <w:szCs w:val="24"/>
        </w:rPr>
        <w:t>įstatymu,</w:t>
      </w:r>
      <w:r w:rsidR="00202624" w:rsidRPr="00DA7C4E">
        <w:rPr>
          <w:szCs w:val="24"/>
        </w:rPr>
        <w:t xml:space="preserve"> kitais viešuosius pirkimus reglamentuojančiais teisės aktais bei šiomis </w:t>
      </w:r>
      <w:r w:rsidR="0025231C">
        <w:rPr>
          <w:szCs w:val="24"/>
        </w:rPr>
        <w:t>pirkimo</w:t>
      </w:r>
      <w:r w:rsidR="00202624" w:rsidRPr="00DA7C4E">
        <w:rPr>
          <w:szCs w:val="24"/>
        </w:rPr>
        <w:t xml:space="preserve"> sąlygomis</w:t>
      </w:r>
      <w:r w:rsidR="00B64D14" w:rsidRPr="00DA7C4E">
        <w:rPr>
          <w:szCs w:val="24"/>
        </w:rPr>
        <w:t xml:space="preserve">. </w:t>
      </w:r>
    </w:p>
    <w:p w14:paraId="2DB1368B" w14:textId="77777777" w:rsidR="00DA7C4E" w:rsidRDefault="00B64D14" w:rsidP="00202303">
      <w:pPr>
        <w:pStyle w:val="Heading2"/>
        <w:numPr>
          <w:ilvl w:val="1"/>
          <w:numId w:val="10"/>
        </w:numPr>
        <w:tabs>
          <w:tab w:val="left" w:pos="1134"/>
        </w:tabs>
        <w:ind w:left="0" w:firstLine="567"/>
      </w:pPr>
      <w:r w:rsidRPr="00DA7C4E">
        <w:rPr>
          <w:szCs w:val="24"/>
        </w:rPr>
        <w:t>Vartojamos pagrindinės sąvokos, apibrėžtos Viešųjų pirkimų įstatyme</w:t>
      </w:r>
      <w:r w:rsidRPr="002E6913">
        <w:t xml:space="preserve">. </w:t>
      </w:r>
    </w:p>
    <w:p w14:paraId="02862F91" w14:textId="77777777" w:rsidR="00DA7C4E" w:rsidRDefault="0025231C" w:rsidP="00202303">
      <w:pPr>
        <w:pStyle w:val="Heading2"/>
        <w:numPr>
          <w:ilvl w:val="1"/>
          <w:numId w:val="10"/>
        </w:numPr>
        <w:tabs>
          <w:tab w:val="left" w:pos="1134"/>
        </w:tabs>
        <w:ind w:left="0" w:firstLine="567"/>
      </w:pPr>
      <w:r>
        <w:rPr>
          <w:szCs w:val="24"/>
        </w:rPr>
        <w:t>Pirkimas</w:t>
      </w:r>
      <w:r w:rsidR="00202624" w:rsidRPr="00DA7C4E">
        <w:rPr>
          <w:szCs w:val="24"/>
        </w:rPr>
        <w:t xml:space="preserve"> atliekamas laikantis lygiateisiškumo, nediskriminavimo, skaidrumo, abipusio pripažinimo, proporcingumo principų ir konfidencialumo bei nešališkumo reikalavimų.</w:t>
      </w:r>
    </w:p>
    <w:p w14:paraId="70DB8293" w14:textId="77777777"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61760D">
        <w:rPr>
          <w:szCs w:val="24"/>
        </w:rPr>
        <w:t>-</w:t>
      </w:r>
      <w:r w:rsidRPr="00DA7C4E">
        <w:rPr>
          <w:szCs w:val="24"/>
        </w:rPr>
        <w:t xml:space="preserve">pardavimo sutartį (toliau – sutartis), leidžiančią Perkančiajai organizacijai, racionaliai naudojant tam skirtas lėšas, įsigyti reikalingas </w:t>
      </w:r>
      <w:r w:rsidR="002B560E">
        <w:rPr>
          <w:szCs w:val="24"/>
        </w:rPr>
        <w:t>paslaugas</w:t>
      </w:r>
      <w:r w:rsidRPr="00DA7C4E">
        <w:rPr>
          <w:szCs w:val="24"/>
        </w:rPr>
        <w:t>.</w:t>
      </w:r>
    </w:p>
    <w:p w14:paraId="302D2463" w14:textId="77777777" w:rsidR="00DA7C4E" w:rsidRDefault="00202624" w:rsidP="00202303">
      <w:pPr>
        <w:pStyle w:val="Heading2"/>
        <w:numPr>
          <w:ilvl w:val="1"/>
          <w:numId w:val="10"/>
        </w:numPr>
        <w:tabs>
          <w:tab w:val="left" w:pos="1134"/>
        </w:tabs>
        <w:ind w:left="0" w:firstLine="567"/>
      </w:pPr>
      <w:r w:rsidRPr="00DA7C4E">
        <w:rPr>
          <w:szCs w:val="24"/>
        </w:rPr>
        <w:t>Dalyvio pasiūlymą sudaro pateiktų dokumentų ir duomenų visuma (visi dokumentai pateikiami skenuoti elektroninėje formoje).</w:t>
      </w:r>
    </w:p>
    <w:p w14:paraId="4ED9B26C" w14:textId="77777777" w:rsidR="00DA7C4E" w:rsidRDefault="00202624" w:rsidP="00202303">
      <w:pPr>
        <w:pStyle w:val="Heading2"/>
        <w:numPr>
          <w:ilvl w:val="1"/>
          <w:numId w:val="10"/>
        </w:numPr>
        <w:tabs>
          <w:tab w:val="left" w:pos="1134"/>
        </w:tabs>
        <w:ind w:left="0" w:firstLine="567"/>
      </w:pPr>
      <w:r w:rsidRPr="00DA7C4E">
        <w:rPr>
          <w:szCs w:val="24"/>
        </w:rPr>
        <w:t xml:space="preserve">Bet kokia informacija, </w:t>
      </w:r>
      <w:r w:rsidR="0025231C">
        <w:rPr>
          <w:szCs w:val="24"/>
        </w:rPr>
        <w:t>pirkimo</w:t>
      </w:r>
      <w:r w:rsidRPr="00DA7C4E">
        <w:rPr>
          <w:szCs w:val="24"/>
        </w:rPr>
        <w:t xml:space="preserve"> sąlygų paaiškinimai, pranešimai ar kitas perkančiosios organizacijos ir tiekėjo susirašinėjimas yra vykdomas </w:t>
      </w:r>
      <w:r w:rsidR="00691CCE">
        <w:rPr>
          <w:szCs w:val="24"/>
        </w:rPr>
        <w:t>elektroninėmis</w:t>
      </w:r>
      <w:r w:rsidRPr="00DA7C4E">
        <w:rPr>
          <w:szCs w:val="24"/>
        </w:rPr>
        <w:t xml:space="preserve"> susirašinėjimo priemonėmis</w:t>
      </w:r>
      <w:r w:rsidR="00046B7D" w:rsidRPr="00DA7C4E">
        <w:rPr>
          <w:szCs w:val="24"/>
          <w:lang w:eastAsia="ar-SA"/>
        </w:rPr>
        <w:t>.</w:t>
      </w:r>
    </w:p>
    <w:p w14:paraId="109EA584" w14:textId="5AE3E3B1" w:rsidR="00B64D14" w:rsidRPr="0093403C" w:rsidRDefault="00DA7C4E" w:rsidP="00202303">
      <w:pPr>
        <w:pStyle w:val="Heading2"/>
        <w:numPr>
          <w:ilvl w:val="1"/>
          <w:numId w:val="10"/>
        </w:numPr>
        <w:tabs>
          <w:tab w:val="left" w:pos="1134"/>
        </w:tabs>
        <w:ind w:left="0" w:firstLine="567"/>
      </w:pPr>
      <w:r w:rsidRPr="00DA7C4E">
        <w:rPr>
          <w:szCs w:val="24"/>
        </w:rPr>
        <w:t xml:space="preserve">Kontaktinis asmuo tiesioginiam ryšiui dėl </w:t>
      </w:r>
      <w:r w:rsidR="0025231C">
        <w:rPr>
          <w:szCs w:val="24"/>
        </w:rPr>
        <w:t>pirkimo</w:t>
      </w:r>
      <w:r w:rsidRPr="00DA7C4E">
        <w:rPr>
          <w:szCs w:val="24"/>
        </w:rPr>
        <w:t xml:space="preserve"> sąlygų</w:t>
      </w:r>
      <w:r w:rsidR="00477D88">
        <w:rPr>
          <w:szCs w:val="24"/>
        </w:rPr>
        <w:t>:</w:t>
      </w:r>
      <w:r w:rsidRPr="00DA7C4E">
        <w:rPr>
          <w:szCs w:val="24"/>
        </w:rPr>
        <w:t xml:space="preserve"> </w:t>
      </w:r>
      <w:r w:rsidR="0093403C" w:rsidRPr="0093403C">
        <w:t xml:space="preserve">vyr. buhalterė </w:t>
      </w:r>
      <w:r w:rsidR="0069593D">
        <w:t>Božena Stankevič</w:t>
      </w:r>
      <w:r w:rsidR="00372348" w:rsidRPr="0093403C">
        <w:t xml:space="preserve">, tel. </w:t>
      </w:r>
      <w:r w:rsidR="00EA07EE">
        <w:t>+370 </w:t>
      </w:r>
      <w:r w:rsidR="0069593D">
        <w:t>683</w:t>
      </w:r>
      <w:r w:rsidR="00EA07EE">
        <w:t xml:space="preserve"> </w:t>
      </w:r>
      <w:r w:rsidR="0069593D">
        <w:t>00578</w:t>
      </w:r>
      <w:r w:rsidR="00477D88" w:rsidRPr="0093403C">
        <w:rPr>
          <w:szCs w:val="24"/>
        </w:rPr>
        <w:t xml:space="preserve">, </w:t>
      </w:r>
      <w:hyperlink r:id="rId9" w:history="1">
        <w:r w:rsidR="0069593D" w:rsidRPr="00A804B0">
          <w:rPr>
            <w:rStyle w:val="Hyperlink"/>
            <w:szCs w:val="24"/>
          </w:rPr>
          <w:t>bozena@nemenkom.lt</w:t>
        </w:r>
      </w:hyperlink>
      <w:r w:rsidR="00B64D14" w:rsidRPr="0093403C">
        <w:rPr>
          <w:szCs w:val="24"/>
        </w:rPr>
        <w:t>.</w:t>
      </w:r>
    </w:p>
    <w:p w14:paraId="314068FC" w14:textId="77777777" w:rsidR="00B64D14" w:rsidRPr="0093403C" w:rsidRDefault="00B64D14" w:rsidP="00202303">
      <w:pPr>
        <w:pStyle w:val="Heading1"/>
        <w:numPr>
          <w:ilvl w:val="0"/>
          <w:numId w:val="2"/>
        </w:numPr>
        <w:tabs>
          <w:tab w:val="left" w:pos="360"/>
        </w:tabs>
        <w:ind w:left="0" w:firstLine="0"/>
        <w:rPr>
          <w:b/>
          <w:sz w:val="24"/>
          <w:szCs w:val="24"/>
        </w:rPr>
      </w:pPr>
      <w:bookmarkStart w:id="1" w:name="_Toc47844929"/>
      <w:r w:rsidRPr="0093403C">
        <w:rPr>
          <w:b/>
          <w:sz w:val="24"/>
          <w:szCs w:val="24"/>
        </w:rPr>
        <w:t>PIRKIMO OBJEKTAS</w:t>
      </w:r>
      <w:bookmarkEnd w:id="1"/>
      <w:r w:rsidRPr="0093403C">
        <w:rPr>
          <w:b/>
          <w:sz w:val="24"/>
          <w:szCs w:val="24"/>
        </w:rPr>
        <w:t xml:space="preserve"> </w:t>
      </w:r>
    </w:p>
    <w:p w14:paraId="0F084F96" w14:textId="1554CBB9" w:rsidR="00DA7C4E" w:rsidRDefault="00372348" w:rsidP="00202303">
      <w:pPr>
        <w:pStyle w:val="Heading2"/>
        <w:numPr>
          <w:ilvl w:val="1"/>
          <w:numId w:val="11"/>
        </w:numPr>
        <w:tabs>
          <w:tab w:val="left" w:pos="1134"/>
        </w:tabs>
        <w:ind w:left="0" w:firstLine="567"/>
      </w:pPr>
      <w:r>
        <w:rPr>
          <w:szCs w:val="24"/>
          <w:lang w:val="pt-BR"/>
        </w:rPr>
        <w:t xml:space="preserve">Perkančioji organizacija numato pirkti </w:t>
      </w:r>
      <w:r w:rsidR="00EA07EE">
        <w:rPr>
          <w:szCs w:val="24"/>
          <w:lang w:val="pt-BR"/>
        </w:rPr>
        <w:t>Lizingo</w:t>
      </w:r>
      <w:r w:rsidR="00B13652">
        <w:rPr>
          <w:szCs w:val="24"/>
          <w:lang w:val="pt-BR"/>
        </w:rPr>
        <w:t xml:space="preserve"> paslaugas</w:t>
      </w:r>
      <w:r>
        <w:rPr>
          <w:szCs w:val="24"/>
          <w:lang w:val="pt-BR"/>
        </w:rPr>
        <w:t>.</w:t>
      </w:r>
      <w:r w:rsidRPr="008A6988">
        <w:rPr>
          <w:szCs w:val="24"/>
        </w:rPr>
        <w:t xml:space="preserve"> </w:t>
      </w:r>
      <w:r w:rsidRPr="001A7BFB">
        <w:rPr>
          <w:szCs w:val="24"/>
        </w:rPr>
        <w:t xml:space="preserve">Išsamūs reikalavimai </w:t>
      </w:r>
      <w:r w:rsidR="00B13652">
        <w:rPr>
          <w:szCs w:val="24"/>
        </w:rPr>
        <w:t>paslaugai</w:t>
      </w:r>
      <w:r w:rsidRPr="001A7BFB">
        <w:rPr>
          <w:szCs w:val="24"/>
        </w:rPr>
        <w:t xml:space="preserve"> pateikti techninėje specifikacijoje šių pirkimo sąlygų </w:t>
      </w:r>
      <w:r>
        <w:rPr>
          <w:szCs w:val="24"/>
        </w:rPr>
        <w:t>1</w:t>
      </w:r>
      <w:r w:rsidRPr="001A7BFB">
        <w:rPr>
          <w:szCs w:val="24"/>
        </w:rPr>
        <w:t xml:space="preserve"> priede</w:t>
      </w:r>
      <w:r w:rsidR="00745E94">
        <w:t xml:space="preserve">. </w:t>
      </w:r>
    </w:p>
    <w:p w14:paraId="4CE1DE45" w14:textId="77777777" w:rsidR="00DA7C4E"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 xml:space="preserve">gali pateikti tik vieną pasiūlymą. </w:t>
      </w:r>
    </w:p>
    <w:p w14:paraId="1018E06D" w14:textId="537AC1D7" w:rsidR="00DA7C4E" w:rsidRDefault="00B13652" w:rsidP="00202303">
      <w:pPr>
        <w:pStyle w:val="Heading2"/>
        <w:numPr>
          <w:ilvl w:val="1"/>
          <w:numId w:val="11"/>
        </w:numPr>
        <w:tabs>
          <w:tab w:val="left" w:pos="1134"/>
        </w:tabs>
        <w:ind w:left="0" w:firstLine="567"/>
      </w:pPr>
      <w:r>
        <w:rPr>
          <w:szCs w:val="24"/>
        </w:rPr>
        <w:t xml:space="preserve">Paslaugų suteikimo terminas </w:t>
      </w:r>
      <w:r w:rsidRPr="00E242A2">
        <w:rPr>
          <w:szCs w:val="24"/>
        </w:rPr>
        <w:t xml:space="preserve">nuo </w:t>
      </w:r>
      <w:r w:rsidR="00EA07EE">
        <w:rPr>
          <w:szCs w:val="24"/>
        </w:rPr>
        <w:t>2025-12-15</w:t>
      </w:r>
      <w:r w:rsidRPr="00E242A2">
        <w:rPr>
          <w:szCs w:val="24"/>
        </w:rPr>
        <w:t xml:space="preserve"> iki </w:t>
      </w:r>
      <w:r w:rsidR="00EA07EE">
        <w:rPr>
          <w:szCs w:val="24"/>
        </w:rPr>
        <w:t>2030-12-15</w:t>
      </w:r>
      <w:r>
        <w:rPr>
          <w:szCs w:val="24"/>
        </w:rPr>
        <w:t xml:space="preserve"> (</w:t>
      </w:r>
      <w:r w:rsidR="00EA07EE">
        <w:rPr>
          <w:szCs w:val="24"/>
        </w:rPr>
        <w:t>60</w:t>
      </w:r>
      <w:r>
        <w:rPr>
          <w:szCs w:val="24"/>
        </w:rPr>
        <w:t xml:space="preserve"> mėn</w:t>
      </w:r>
      <w:r w:rsidRPr="00834C04">
        <w:rPr>
          <w:szCs w:val="24"/>
        </w:rPr>
        <w:t>.).</w:t>
      </w:r>
    </w:p>
    <w:p w14:paraId="25666388" w14:textId="77777777" w:rsidR="000F0E1D" w:rsidRPr="005F650D" w:rsidRDefault="000F0E1D" w:rsidP="000F0E1D">
      <w:pPr>
        <w:rPr>
          <w:lang w:val="fi-FI"/>
        </w:rPr>
      </w:pPr>
    </w:p>
    <w:p w14:paraId="64051924"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32A277E2"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Pateikdamas pasiūlymą, tiekėjas sutinka su šiomis </w:t>
      </w:r>
      <w:r w:rsidR="0025231C">
        <w:rPr>
          <w:szCs w:val="24"/>
          <w:lang w:eastAsia="lt-LT"/>
        </w:rPr>
        <w:t>pirkimo</w:t>
      </w:r>
      <w:r w:rsidRPr="00477D88">
        <w:rPr>
          <w:szCs w:val="24"/>
          <w:lang w:eastAsia="lt-LT"/>
        </w:rPr>
        <w:t xml:space="preserve"> sąlygomis ir patvirtina, kad jo pasiūlyme pateikta informacija yra teisinga ir apima viską, ko reikia tinkamam pirkimo sutarties įvykdymui.</w:t>
      </w:r>
    </w:p>
    <w:p w14:paraId="1DDDF1F8" w14:textId="77777777" w:rsidR="00DA7C4E" w:rsidRPr="00477D88" w:rsidRDefault="009C3CED"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0" w:history="1">
        <w:r w:rsidRPr="00477D88">
          <w:rPr>
            <w:rStyle w:val="Hyperlink"/>
            <w:iCs/>
            <w:szCs w:val="24"/>
          </w:rPr>
          <w:t>https://pirkimai.eviesiejipirkimai.lt</w:t>
        </w:r>
      </w:hyperlink>
      <w:r w:rsidRPr="00477D88">
        <w:rPr>
          <w:iCs/>
          <w:szCs w:val="24"/>
        </w:rPr>
        <w:t xml:space="preserve">. </w:t>
      </w:r>
      <w:r w:rsidRPr="00477D88">
        <w:rPr>
          <w:szCs w:val="24"/>
          <w:lang w:eastAsia="lt-LT"/>
        </w:rPr>
        <w:t>Pasiūlymai, pateikti popierinė forma arba ne Perkančiosios organizacijos 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1"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w:t>
      </w:r>
      <w:r w:rsidR="0025231C">
        <w:rPr>
          <w:bCs/>
          <w:szCs w:val="24"/>
        </w:rPr>
        <w:t>pirkimo</w:t>
      </w:r>
      <w:r w:rsidRPr="00477D88">
        <w:rPr>
          <w:bCs/>
          <w:szCs w:val="24"/>
        </w:rPr>
        <w:t xml:space="preserve">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Perkančioji organizacija pasilieka sau teisę prašyti dokumentų originalų</w:t>
      </w:r>
      <w:r w:rsidR="00925FCB" w:rsidRPr="00477D88">
        <w:rPr>
          <w:szCs w:val="24"/>
        </w:rPr>
        <w:t>.</w:t>
      </w:r>
    </w:p>
    <w:p w14:paraId="66987AE7"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laikoma siūlomos </w:t>
      </w:r>
      <w:r w:rsidR="002B560E">
        <w:rPr>
          <w:szCs w:val="24"/>
        </w:rPr>
        <w:t>paslaugos</w:t>
      </w:r>
      <w:r w:rsidRPr="00477D88">
        <w:rPr>
          <w:szCs w:val="24"/>
        </w:rPr>
        <w:t>, kainos</w:t>
      </w:r>
      <w:r w:rsidR="002B560E">
        <w:rPr>
          <w:szCs w:val="24"/>
        </w:rPr>
        <w:t xml:space="preserve"> (įkainio)</w:t>
      </w:r>
      <w:r w:rsidRPr="00477D88">
        <w:rPr>
          <w:szCs w:val="24"/>
        </w:rPr>
        <w:t xml:space="preserve"> sudedamosios dalys, pasiūlyme nurodyti subteikėjai, taip pat kita informacija, kuri teisės aktų nustatyta tvarka turi būti skelbiama arba kitokiu būdu viešai prieinama visuomenei.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w:t>
      </w:r>
      <w:r w:rsidRPr="00477D88">
        <w:rPr>
          <w:szCs w:val="24"/>
        </w:rPr>
        <w:lastRenderedPageBreak/>
        <w:t>ir informacijos, negali tretiesiems asmenims atskleisti tiekėjo Perkančiajai organizacijai pateiktos informacijos, kurią tiekėjas pagrįstai nurodė kaip konfidencialią</w:t>
      </w:r>
      <w:r w:rsidR="004C30E0" w:rsidRPr="00477D88">
        <w:rPr>
          <w:szCs w:val="24"/>
        </w:rPr>
        <w:t>.</w:t>
      </w:r>
    </w:p>
    <w:p w14:paraId="02AFD886" w14:textId="77777777" w:rsidR="00DA7C4E" w:rsidRPr="00652198" w:rsidRDefault="00DA7C4E" w:rsidP="00202303">
      <w:pPr>
        <w:pStyle w:val="Heading2"/>
        <w:numPr>
          <w:ilvl w:val="1"/>
          <w:numId w:val="12"/>
        </w:numPr>
        <w:tabs>
          <w:tab w:val="left" w:pos="180"/>
          <w:tab w:val="left" w:pos="1134"/>
          <w:tab w:val="left" w:pos="1440"/>
        </w:tabs>
        <w:ind w:left="0" w:firstLine="567"/>
        <w:rPr>
          <w:szCs w:val="24"/>
        </w:rPr>
      </w:pPr>
      <w:r w:rsidRPr="00652198">
        <w:rPr>
          <w:szCs w:val="24"/>
        </w:rPr>
        <w:t>Pasiūlyme nurodoma</w:t>
      </w:r>
      <w:r w:rsidR="002B560E" w:rsidRPr="00652198">
        <w:rPr>
          <w:szCs w:val="24"/>
        </w:rPr>
        <w:t>s</w:t>
      </w:r>
      <w:r w:rsidRPr="00652198">
        <w:rPr>
          <w:szCs w:val="24"/>
        </w:rPr>
        <w:t xml:space="preserve"> </w:t>
      </w:r>
      <w:r w:rsidR="002B560E" w:rsidRPr="00652198">
        <w:rPr>
          <w:szCs w:val="24"/>
        </w:rPr>
        <w:t>paslaugų</w:t>
      </w:r>
      <w:r w:rsidRPr="00652198">
        <w:rPr>
          <w:szCs w:val="24"/>
        </w:rPr>
        <w:t xml:space="preserve"> </w:t>
      </w:r>
      <w:r w:rsidR="002B560E" w:rsidRPr="00652198">
        <w:rPr>
          <w:szCs w:val="24"/>
        </w:rPr>
        <w:t>įkainis</w:t>
      </w:r>
      <w:r w:rsidRPr="00652198">
        <w:rPr>
          <w:szCs w:val="24"/>
        </w:rPr>
        <w:t xml:space="preserve"> pateikiama</w:t>
      </w:r>
      <w:r w:rsidR="002B560E" w:rsidRPr="00652198">
        <w:rPr>
          <w:szCs w:val="24"/>
        </w:rPr>
        <w:t>s</w:t>
      </w:r>
      <w:r w:rsidRPr="00652198">
        <w:rPr>
          <w:szCs w:val="24"/>
        </w:rPr>
        <w:t xml:space="preserve"> </w:t>
      </w:r>
      <w:r w:rsidR="002B560E" w:rsidRPr="00652198">
        <w:rPr>
          <w:szCs w:val="24"/>
        </w:rPr>
        <w:t>procentais</w:t>
      </w:r>
      <w:r w:rsidRPr="00652198">
        <w:rPr>
          <w:szCs w:val="24"/>
        </w:rPr>
        <w:t xml:space="preserve"> </w:t>
      </w:r>
      <w:r w:rsidRPr="00652198">
        <w:rPr>
          <w:b/>
          <w:szCs w:val="24"/>
        </w:rPr>
        <w:t>vieno</w:t>
      </w:r>
      <w:r w:rsidR="002B560E" w:rsidRPr="00652198">
        <w:rPr>
          <w:b/>
          <w:szCs w:val="24"/>
        </w:rPr>
        <w:t>s šimtosios</w:t>
      </w:r>
      <w:r w:rsidRPr="00652198">
        <w:rPr>
          <w:b/>
          <w:szCs w:val="24"/>
        </w:rPr>
        <w:t xml:space="preserve"> </w:t>
      </w:r>
      <w:r w:rsidR="002B560E" w:rsidRPr="00652198">
        <w:rPr>
          <w:b/>
          <w:szCs w:val="24"/>
        </w:rPr>
        <w:t>procento</w:t>
      </w:r>
      <w:r w:rsidRPr="00652198">
        <w:rPr>
          <w:b/>
          <w:szCs w:val="24"/>
        </w:rPr>
        <w:t xml:space="preserve"> tikslumu (du</w:t>
      </w:r>
      <w:r w:rsidRPr="00652198">
        <w:rPr>
          <w:szCs w:val="24"/>
        </w:rPr>
        <w:t xml:space="preserve"> </w:t>
      </w:r>
      <w:r w:rsidRPr="00652198">
        <w:rPr>
          <w:b/>
          <w:szCs w:val="24"/>
        </w:rPr>
        <w:t>skaičiai po kablelio)</w:t>
      </w:r>
      <w:r w:rsidRPr="00652198">
        <w:rPr>
          <w:szCs w:val="24"/>
        </w:rPr>
        <w:t xml:space="preserve">. Į </w:t>
      </w:r>
      <w:r w:rsidR="002B560E" w:rsidRPr="00652198">
        <w:rPr>
          <w:szCs w:val="24"/>
        </w:rPr>
        <w:t>paslaugų</w:t>
      </w:r>
      <w:r w:rsidRPr="00652198">
        <w:rPr>
          <w:szCs w:val="24"/>
        </w:rPr>
        <w:t xml:space="preserve"> </w:t>
      </w:r>
      <w:r w:rsidR="002B560E" w:rsidRPr="00652198">
        <w:rPr>
          <w:szCs w:val="24"/>
        </w:rPr>
        <w:t>įkainį</w:t>
      </w:r>
      <w:r w:rsidRPr="00652198">
        <w:rPr>
          <w:szCs w:val="24"/>
        </w:rPr>
        <w:t xml:space="preserve"> turi būti įskaičiuoti visi mokesčiai ir visos tiekėjo išlaidos</w:t>
      </w:r>
      <w:r w:rsidR="004C30E0" w:rsidRPr="00652198">
        <w:rPr>
          <w:szCs w:val="24"/>
        </w:rPr>
        <w:t>.</w:t>
      </w:r>
    </w:p>
    <w:p w14:paraId="2F122FAC"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67BBACA8" w14:textId="77777777" w:rsidR="00DA7C4E" w:rsidRPr="00477D88" w:rsidRDefault="00AB6724" w:rsidP="00202303">
      <w:pPr>
        <w:pStyle w:val="ListParagraph"/>
        <w:numPr>
          <w:ilvl w:val="1"/>
          <w:numId w:val="12"/>
        </w:numPr>
        <w:tabs>
          <w:tab w:val="left" w:pos="1134"/>
        </w:tabs>
        <w:ind w:left="0" w:firstLine="567"/>
        <w:jc w:val="both"/>
        <w:rPr>
          <w:sz w:val="24"/>
          <w:szCs w:val="24"/>
          <w:lang w:val="lt-LT"/>
        </w:rPr>
      </w:pPr>
      <w:r w:rsidRPr="005F650D">
        <w:rPr>
          <w:sz w:val="24"/>
          <w:szCs w:val="24"/>
          <w:lang w:val="lt-LT"/>
        </w:rPr>
        <w:t xml:space="preserve">Tiekėjas turi pateikti pasiūlymą pagal parengtą </w:t>
      </w:r>
      <w:r w:rsidR="0025231C" w:rsidRPr="005F650D">
        <w:rPr>
          <w:sz w:val="24"/>
          <w:szCs w:val="24"/>
          <w:lang w:val="lt-LT"/>
        </w:rPr>
        <w:t>pirkimo</w:t>
      </w:r>
      <w:r w:rsidRPr="005F650D">
        <w:rPr>
          <w:sz w:val="24"/>
          <w:szCs w:val="24"/>
          <w:lang w:val="lt-LT"/>
        </w:rPr>
        <w:t xml:space="preserve">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5F650D">
        <w:rPr>
          <w:i/>
          <w:sz w:val="24"/>
          <w:szCs w:val="24"/>
          <w:lang w:val="lt-LT"/>
        </w:rPr>
        <w:t xml:space="preserve"> </w:t>
      </w:r>
      <w:r w:rsidRPr="005F650D">
        <w:rPr>
          <w:sz w:val="24"/>
          <w:szCs w:val="24"/>
          <w:lang w:val="lt-LT"/>
        </w:rPr>
        <w:t>forma, vokuose) ir naudodamasis CVP IS priemonėmis</w:t>
      </w:r>
      <w:r w:rsidR="00DA7C4E" w:rsidRPr="005F650D">
        <w:rPr>
          <w:sz w:val="24"/>
          <w:szCs w:val="24"/>
          <w:lang w:val="lt-LT"/>
        </w:rPr>
        <w:t>.</w:t>
      </w:r>
    </w:p>
    <w:p w14:paraId="25DB8B57"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5F650D">
        <w:rPr>
          <w:sz w:val="24"/>
          <w:szCs w:val="24"/>
          <w:lang w:val="lt-LT"/>
        </w:rPr>
        <w:t>Tiekėjams nėra leidžiama pateikti alternatyvių pasiūlymų. Tiekėjui pateikus alternatyvų pasiūlymą, jo pasiūlymas ir alternatyvus pasiūlymas (alternatyvus pasiūlymai) bus atmesti.</w:t>
      </w:r>
    </w:p>
    <w:p w14:paraId="727D4811" w14:textId="77777777" w:rsidR="00DA7C4E" w:rsidRPr="00477D88" w:rsidRDefault="003746F3"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Dalyviui CVP IS susirašinėjimo priemonėmis paprašius, Perkančioji organizacija CVP IS susirašinėjimo priemonėmis patvirtina, kad dalyvio pasiūlymas yra gautas, ir nurodo gavimo dieną, valandą ir minutę</w:t>
      </w:r>
      <w:r w:rsidR="00DA7C4E" w:rsidRPr="00955A40">
        <w:rPr>
          <w:sz w:val="24"/>
          <w:szCs w:val="24"/>
          <w:lang w:val="lt-LT"/>
        </w:rPr>
        <w:t>.</w:t>
      </w:r>
    </w:p>
    <w:p w14:paraId="4B42AE9C"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5F650D">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w:t>
      </w:r>
      <w:proofErr w:type="spellStart"/>
      <w:r w:rsidRPr="00477D88">
        <w:rPr>
          <w:sz w:val="24"/>
          <w:szCs w:val="24"/>
        </w:rPr>
        <w:t>Tiekėjas</w:t>
      </w:r>
      <w:proofErr w:type="spellEnd"/>
      <w:r w:rsidRPr="00477D88">
        <w:rPr>
          <w:sz w:val="24"/>
          <w:szCs w:val="24"/>
        </w:rPr>
        <w:t xml:space="preserve"> </w:t>
      </w:r>
      <w:proofErr w:type="spellStart"/>
      <w:r w:rsidRPr="00477D88">
        <w:rPr>
          <w:sz w:val="24"/>
          <w:szCs w:val="24"/>
        </w:rPr>
        <w:t>gali</w:t>
      </w:r>
      <w:proofErr w:type="spellEnd"/>
      <w:r w:rsidRPr="00477D88">
        <w:rPr>
          <w:sz w:val="24"/>
          <w:szCs w:val="24"/>
        </w:rPr>
        <w:t xml:space="preserve"> </w:t>
      </w:r>
      <w:proofErr w:type="spellStart"/>
      <w:r w:rsidRPr="00477D88">
        <w:rPr>
          <w:sz w:val="24"/>
          <w:szCs w:val="24"/>
        </w:rPr>
        <w:t>atmesti</w:t>
      </w:r>
      <w:proofErr w:type="spellEnd"/>
      <w:r w:rsidRPr="00477D88">
        <w:rPr>
          <w:sz w:val="24"/>
          <w:szCs w:val="24"/>
        </w:rPr>
        <w:t xml:space="preserve"> </w:t>
      </w:r>
      <w:proofErr w:type="spellStart"/>
      <w:r w:rsidRPr="00477D88">
        <w:rPr>
          <w:sz w:val="24"/>
          <w:szCs w:val="24"/>
        </w:rPr>
        <w:t>tokį</w:t>
      </w:r>
      <w:proofErr w:type="spellEnd"/>
      <w:r w:rsidRPr="00477D88">
        <w:rPr>
          <w:sz w:val="24"/>
          <w:szCs w:val="24"/>
        </w:rPr>
        <w:t xml:space="preserve"> prašymą</w:t>
      </w:r>
      <w:r w:rsidRPr="00477D88">
        <w:rPr>
          <w:sz w:val="24"/>
          <w:szCs w:val="24"/>
          <w:lang w:val="en-US"/>
        </w:rPr>
        <w:t>.</w:t>
      </w:r>
    </w:p>
    <w:p w14:paraId="58316904"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5F650D">
        <w:rPr>
          <w:sz w:val="24"/>
          <w:szCs w:val="24"/>
          <w:lang w:val="fi-FI"/>
        </w:rPr>
        <w:t>Dalyvis iki galutinio pasiūlymo pateikimo termino turi teisę pakeisti arba atšaukti savo pasiūlymą. Suėjus pasiūlymų pateikimo terminui atšaukti ar pakeisti pasiūlymo nebus galima.</w:t>
      </w:r>
    </w:p>
    <w:p w14:paraId="7A96B031"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955A40">
        <w:rPr>
          <w:sz w:val="24"/>
          <w:szCs w:val="24"/>
          <w:lang w:val="lt-LT"/>
        </w:rPr>
        <w:t xml:space="preserve">Tiekėjas įsipareigoja teikti kokybiškas </w:t>
      </w:r>
      <w:r w:rsidR="002B560E">
        <w:rPr>
          <w:sz w:val="24"/>
          <w:szCs w:val="24"/>
          <w:lang w:val="lt-LT"/>
        </w:rPr>
        <w:t>paslaugas</w:t>
      </w:r>
      <w:r w:rsidRPr="00955A40">
        <w:rPr>
          <w:sz w:val="24"/>
          <w:szCs w:val="24"/>
          <w:lang w:val="lt-LT"/>
        </w:rPr>
        <w:t>.</w:t>
      </w:r>
    </w:p>
    <w:p w14:paraId="01F23DAB" w14:textId="65FCE1DB" w:rsidR="00DA7C4E" w:rsidRPr="00477D88" w:rsidRDefault="00250237"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EA07EE">
        <w:rPr>
          <w:b/>
          <w:sz w:val="24"/>
          <w:szCs w:val="24"/>
          <w:lang w:val="lt-LT"/>
        </w:rPr>
        <w:t>2025</w:t>
      </w:r>
      <w:r w:rsidR="003E1FFA">
        <w:rPr>
          <w:b/>
          <w:sz w:val="24"/>
          <w:szCs w:val="24"/>
          <w:lang w:val="lt-LT"/>
        </w:rPr>
        <w:t xml:space="preserve"> </w:t>
      </w:r>
      <w:r w:rsidRPr="0027598E">
        <w:rPr>
          <w:b/>
          <w:sz w:val="24"/>
          <w:szCs w:val="24"/>
          <w:lang w:val="lt-LT"/>
        </w:rPr>
        <w:t xml:space="preserve">m. </w:t>
      </w:r>
      <w:r w:rsidR="00652198">
        <w:rPr>
          <w:b/>
          <w:sz w:val="24"/>
          <w:szCs w:val="24"/>
          <w:lang w:val="lt-LT"/>
        </w:rPr>
        <w:t>gruodžio 10</w:t>
      </w:r>
      <w:r w:rsidRPr="00652198">
        <w:rPr>
          <w:b/>
          <w:sz w:val="24"/>
          <w:szCs w:val="24"/>
          <w:lang w:val="lt-LT"/>
        </w:rPr>
        <w:t xml:space="preserve"> d.</w:t>
      </w:r>
      <w:r w:rsidRPr="0027598E">
        <w:rPr>
          <w:b/>
          <w:sz w:val="24"/>
          <w:szCs w:val="24"/>
          <w:lang w:val="lt-LT"/>
        </w:rPr>
        <w:t xml:space="preserve"> </w:t>
      </w:r>
      <w:r w:rsidR="00895A1B">
        <w:rPr>
          <w:b/>
          <w:sz w:val="24"/>
          <w:szCs w:val="24"/>
          <w:lang w:val="lt-LT"/>
        </w:rPr>
        <w:t>10</w:t>
      </w:r>
      <w:r w:rsidRPr="0027598E">
        <w:rPr>
          <w:b/>
          <w:sz w:val="24"/>
          <w:szCs w:val="24"/>
          <w:lang w:val="lt-LT"/>
        </w:rPr>
        <w:t>.00 val.</w:t>
      </w:r>
      <w:r w:rsidRPr="0027598E">
        <w:rPr>
          <w:sz w:val="24"/>
          <w:szCs w:val="24"/>
          <w:lang w:val="lt-LT"/>
        </w:rPr>
        <w:t xml:space="preserve"> iki šios datos pateiktą pasiūlymą CVP IS priemonėmis, tiekėjas gali laisvai keisti ir teikti iš naujo, o Perkančioji organizacija vokų atplėšimo procedūros metu susipažins su paskutiniu pateiktu variant</w:t>
      </w:r>
      <w:r>
        <w:rPr>
          <w:sz w:val="24"/>
          <w:szCs w:val="24"/>
          <w:lang w:val="lt-LT"/>
        </w:rPr>
        <w:t>u</w:t>
      </w:r>
      <w:r w:rsidR="00DA7C4E" w:rsidRPr="00250237">
        <w:rPr>
          <w:sz w:val="24"/>
          <w:szCs w:val="24"/>
          <w:lang w:val="lt-LT"/>
        </w:rPr>
        <w:t>.</w:t>
      </w:r>
    </w:p>
    <w:p w14:paraId="453471F5" w14:textId="77777777" w:rsidR="00493FBA" w:rsidRPr="00477D88" w:rsidRDefault="00C25F2D"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Perkančioji organizacija nereikalauja, kad pasiūlymas būtų pasirašytas saugiu elektroniniu parašu</w:t>
      </w:r>
      <w:r w:rsidR="00493FBA" w:rsidRPr="00C25F2D">
        <w:rPr>
          <w:sz w:val="24"/>
          <w:szCs w:val="24"/>
          <w:lang w:val="lt-LT"/>
        </w:rPr>
        <w:t>.</w:t>
      </w:r>
    </w:p>
    <w:p w14:paraId="08049DA0"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341FB088" w14:textId="77777777" w:rsidR="00B64D14" w:rsidRDefault="00F668EB" w:rsidP="00202303">
      <w:pPr>
        <w:pStyle w:val="ListParagraph"/>
        <w:numPr>
          <w:ilvl w:val="1"/>
          <w:numId w:val="18"/>
        </w:numPr>
        <w:tabs>
          <w:tab w:val="left" w:pos="993"/>
        </w:tabs>
        <w:jc w:val="both"/>
        <w:rPr>
          <w:sz w:val="24"/>
          <w:szCs w:val="24"/>
          <w:lang w:val="lt-LT"/>
        </w:rPr>
      </w:pPr>
      <w:r w:rsidRPr="005F650D">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3763"/>
        <w:gridCol w:w="4978"/>
      </w:tblGrid>
      <w:tr w:rsidR="00F668EB" w:rsidRPr="00A513B5" w14:paraId="680C3389"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EC42E18" w14:textId="77777777" w:rsidR="00F668EB" w:rsidRPr="00A513B5" w:rsidRDefault="00F668EB" w:rsidP="00A513B5">
            <w:pPr>
              <w:ind w:left="-779" w:right="-111" w:firstLine="779"/>
              <w:jc w:val="center"/>
              <w:rPr>
                <w:b/>
                <w:bCs/>
              </w:rPr>
            </w:pPr>
            <w:r w:rsidRPr="00A513B5">
              <w:rPr>
                <w:b/>
                <w:bCs/>
              </w:rPr>
              <w:t>Eil.</w:t>
            </w:r>
            <w:r w:rsidR="00A513B5">
              <w:rPr>
                <w:b/>
                <w:bCs/>
              </w:rPr>
              <w:t xml:space="preserve"> </w:t>
            </w:r>
            <w:r w:rsidRPr="00A513B5">
              <w:rPr>
                <w:b/>
                <w:bCs/>
              </w:rPr>
              <w:t>Nr.</w:t>
            </w:r>
          </w:p>
        </w:tc>
        <w:tc>
          <w:tcPr>
            <w:tcW w:w="3846" w:type="dxa"/>
            <w:tcBorders>
              <w:top w:val="single" w:sz="4" w:space="0" w:color="000000"/>
              <w:left w:val="single" w:sz="4" w:space="0" w:color="000000"/>
              <w:bottom w:val="single" w:sz="4" w:space="0" w:color="auto"/>
              <w:right w:val="single" w:sz="4" w:space="0" w:color="000000"/>
            </w:tcBorders>
            <w:hideMark/>
          </w:tcPr>
          <w:p w14:paraId="07291CA6" w14:textId="77777777" w:rsidR="00F668EB" w:rsidRPr="00A513B5" w:rsidRDefault="00F668EB" w:rsidP="00115723">
            <w:pPr>
              <w:ind w:right="-149"/>
              <w:jc w:val="center"/>
              <w:rPr>
                <w:b/>
                <w:bCs/>
              </w:rPr>
            </w:pPr>
            <w:proofErr w:type="spellStart"/>
            <w:r w:rsidRPr="00A513B5">
              <w:rPr>
                <w:b/>
                <w:bCs/>
              </w:rPr>
              <w:t>Kvalifikacijos</w:t>
            </w:r>
            <w:proofErr w:type="spellEnd"/>
            <w:r w:rsidRPr="00A513B5">
              <w:rPr>
                <w:b/>
                <w:bCs/>
              </w:rPr>
              <w:t xml:space="preserve"> </w:t>
            </w:r>
            <w:proofErr w:type="spellStart"/>
            <w:r w:rsidRPr="00A513B5">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4F3CBC2F" w14:textId="77777777" w:rsidR="00F668EB" w:rsidRPr="00A513B5" w:rsidRDefault="00F668EB" w:rsidP="00115723">
            <w:pPr>
              <w:jc w:val="center"/>
              <w:rPr>
                <w:b/>
                <w:bCs/>
              </w:rPr>
            </w:pPr>
            <w:proofErr w:type="spellStart"/>
            <w:r w:rsidRPr="00A513B5">
              <w:rPr>
                <w:b/>
                <w:bCs/>
              </w:rPr>
              <w:t>Kvalifikacijos</w:t>
            </w:r>
            <w:proofErr w:type="spellEnd"/>
            <w:r w:rsidRPr="00A513B5">
              <w:rPr>
                <w:b/>
                <w:bCs/>
              </w:rPr>
              <w:t xml:space="preserve"> </w:t>
            </w:r>
            <w:proofErr w:type="spellStart"/>
            <w:r w:rsidRPr="00A513B5">
              <w:rPr>
                <w:b/>
                <w:bCs/>
              </w:rPr>
              <w:t>reikalavimus</w:t>
            </w:r>
            <w:proofErr w:type="spellEnd"/>
            <w:r w:rsidRPr="00A513B5">
              <w:rPr>
                <w:b/>
                <w:bCs/>
              </w:rPr>
              <w:t xml:space="preserve"> </w:t>
            </w:r>
            <w:proofErr w:type="spellStart"/>
            <w:r w:rsidRPr="00A513B5">
              <w:rPr>
                <w:b/>
                <w:bCs/>
              </w:rPr>
              <w:t>įrodantys</w:t>
            </w:r>
            <w:proofErr w:type="spellEnd"/>
            <w:r w:rsidRPr="00A513B5">
              <w:rPr>
                <w:b/>
                <w:bCs/>
              </w:rPr>
              <w:t xml:space="preserve"> </w:t>
            </w:r>
            <w:proofErr w:type="spellStart"/>
            <w:r w:rsidRPr="00A513B5">
              <w:rPr>
                <w:b/>
                <w:bCs/>
              </w:rPr>
              <w:t>dokumentai</w:t>
            </w:r>
            <w:proofErr w:type="spellEnd"/>
          </w:p>
        </w:tc>
      </w:tr>
      <w:tr w:rsidR="00B13652" w:rsidRPr="008F21CA" w14:paraId="33983B5D"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721EE27" w14:textId="77777777" w:rsidR="00B13652" w:rsidRPr="00FB19DC" w:rsidRDefault="00B13652" w:rsidP="00115723">
            <w:pPr>
              <w:ind w:left="-779" w:right="-149" w:firstLine="851"/>
              <w:jc w:val="both"/>
            </w:pPr>
            <w:r w:rsidRPr="00FB19DC">
              <w:t>1</w:t>
            </w:r>
            <w:r>
              <w:t>.</w:t>
            </w:r>
          </w:p>
        </w:tc>
        <w:tc>
          <w:tcPr>
            <w:tcW w:w="3846" w:type="dxa"/>
            <w:tcBorders>
              <w:top w:val="single" w:sz="4" w:space="0" w:color="auto"/>
              <w:left w:val="single" w:sz="4" w:space="0" w:color="000000"/>
              <w:bottom w:val="single" w:sz="4" w:space="0" w:color="000000"/>
              <w:right w:val="single" w:sz="4" w:space="0" w:color="000000"/>
            </w:tcBorders>
            <w:hideMark/>
          </w:tcPr>
          <w:p w14:paraId="2BBA30C6" w14:textId="77777777" w:rsidR="00B13652" w:rsidRPr="001660A0" w:rsidRDefault="00B13652" w:rsidP="00966651">
            <w:pPr>
              <w:jc w:val="both"/>
              <w:rPr>
                <w:lang w:val="lt-LT"/>
              </w:rPr>
            </w:pPr>
            <w:r w:rsidRPr="001660A0">
              <w:rPr>
                <w:lang w:val="lt-LT"/>
              </w:rPr>
              <w:t>Tiekėjas turi būti įregistruotas įstatymų nustatyta tvarka ir turėti teisę verstis ta ūkine veikla, kuri reikalinga pirkimo sutarčiai įvykdyti.</w:t>
            </w:r>
          </w:p>
        </w:tc>
        <w:tc>
          <w:tcPr>
            <w:tcW w:w="5109" w:type="dxa"/>
            <w:tcBorders>
              <w:top w:val="single" w:sz="4" w:space="0" w:color="auto"/>
              <w:left w:val="single" w:sz="4" w:space="0" w:color="000000"/>
              <w:bottom w:val="single" w:sz="4" w:space="0" w:color="000000"/>
              <w:right w:val="single" w:sz="4" w:space="0" w:color="000000"/>
            </w:tcBorders>
          </w:tcPr>
          <w:p w14:paraId="20EDF745" w14:textId="77777777" w:rsidR="00B13652" w:rsidRPr="001660A0" w:rsidRDefault="00B13652" w:rsidP="00966651">
            <w:pPr>
              <w:jc w:val="both"/>
              <w:rPr>
                <w:u w:val="single"/>
                <w:lang w:val="lt-LT"/>
              </w:rPr>
            </w:pPr>
            <w:r w:rsidRPr="001660A0">
              <w:rPr>
                <w:u w:val="single"/>
                <w:lang w:val="lt-LT"/>
              </w:rPr>
              <w:t>Pateikiama:</w:t>
            </w:r>
          </w:p>
          <w:p w14:paraId="6433D5A6" w14:textId="77777777" w:rsidR="00B13652" w:rsidRPr="001660A0" w:rsidRDefault="00B13652" w:rsidP="00966651">
            <w:pPr>
              <w:jc w:val="both"/>
              <w:rPr>
                <w:lang w:val="lt-LT"/>
              </w:rPr>
            </w:pPr>
            <w:r w:rsidRPr="001660A0">
              <w:rPr>
                <w:lang w:val="lt-LT"/>
              </w:rPr>
              <w:t>Valstybės įmonės Registrų centro išduotas Lietuvos Respublikos juridinių asmenų registro išrašas ar kiti dokumentai, patvirtinantys tiekėjo teisę verstis nurodyta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00812436">
              <w:rPr>
                <w:lang w:val="lt-LT"/>
              </w:rPr>
              <w:t>.</w:t>
            </w:r>
          </w:p>
        </w:tc>
      </w:tr>
    </w:tbl>
    <w:p w14:paraId="722A3480" w14:textId="77777777" w:rsidR="00F668EB" w:rsidRDefault="00F668EB" w:rsidP="00F668EB">
      <w:pPr>
        <w:pStyle w:val="Footer"/>
        <w:ind w:firstLine="851"/>
        <w:jc w:val="both"/>
        <w:rPr>
          <w:b/>
          <w:szCs w:val="24"/>
        </w:rPr>
      </w:pPr>
      <w:r>
        <w:rPr>
          <w:b/>
          <w:szCs w:val="24"/>
        </w:rPr>
        <w:t>Pastabos:</w:t>
      </w:r>
    </w:p>
    <w:p w14:paraId="582D0AE9" w14:textId="77777777" w:rsidR="00F668EB" w:rsidRPr="00955A40" w:rsidRDefault="00F668EB" w:rsidP="00F668EB">
      <w:pPr>
        <w:ind w:firstLine="851"/>
        <w:jc w:val="both"/>
        <w:rPr>
          <w:lang w:val="lt-LT"/>
        </w:rPr>
      </w:pPr>
      <w:r w:rsidRPr="00955A40">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955A40">
        <w:rPr>
          <w:i/>
          <w:lang w:val="lt-LT"/>
        </w:rPr>
        <w:t>Pateikiama dokumento skaitmeninė kopija</w:t>
      </w:r>
      <w:r w:rsidRPr="00955A40">
        <w:rPr>
          <w:lang w:val="lt-LT"/>
        </w:rPr>
        <w:t>.</w:t>
      </w:r>
    </w:p>
    <w:p w14:paraId="53086296" w14:textId="77777777" w:rsidR="00F668EB" w:rsidRPr="00955A40" w:rsidRDefault="00F668EB" w:rsidP="00F668EB">
      <w:pPr>
        <w:ind w:firstLine="851"/>
        <w:jc w:val="both"/>
        <w:rPr>
          <w:i/>
          <w:lang w:val="lt-LT"/>
        </w:rPr>
      </w:pPr>
      <w:r w:rsidRPr="00955A40">
        <w:rPr>
          <w:lang w:val="lt-LT"/>
        </w:rPr>
        <w:t>2) </w:t>
      </w:r>
      <w:r w:rsidRPr="00955A40">
        <w:rPr>
          <w:i/>
          <w:lang w:val="lt-LT"/>
        </w:rPr>
        <w:t xml:space="preserve"> pateikiant atitinkamų dokumentų skaitmenines kopijas ir pasiūlymą pasirašant saugiu elektroniniu parašu yra deklaruojama, kad kopijos yra tikros</w:t>
      </w:r>
      <w:r w:rsidRPr="00955A40">
        <w:rPr>
          <w:lang w:val="lt-LT"/>
        </w:rPr>
        <w:t>. Perkančioji organizacija pasilieka sau teisę prašyti dokumentų originalų;</w:t>
      </w:r>
    </w:p>
    <w:p w14:paraId="03BAFB73" w14:textId="77777777" w:rsidR="00F668EB" w:rsidRDefault="00F668EB" w:rsidP="00F668EB">
      <w:pPr>
        <w:pStyle w:val="Footer"/>
        <w:ind w:firstLine="851"/>
        <w:jc w:val="both"/>
        <w:rPr>
          <w:b/>
          <w:szCs w:val="24"/>
        </w:rPr>
      </w:pPr>
      <w:r>
        <w:rPr>
          <w:szCs w:val="24"/>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74D0DEB" w14:textId="77777777" w:rsidR="00F668EB" w:rsidRPr="005F650D" w:rsidRDefault="00F668EB" w:rsidP="00202303">
      <w:pPr>
        <w:pStyle w:val="ListParagraph"/>
        <w:numPr>
          <w:ilvl w:val="1"/>
          <w:numId w:val="18"/>
        </w:numPr>
        <w:tabs>
          <w:tab w:val="left" w:pos="1134"/>
        </w:tabs>
        <w:ind w:left="0" w:firstLine="680"/>
        <w:jc w:val="both"/>
        <w:rPr>
          <w:sz w:val="24"/>
          <w:szCs w:val="24"/>
          <w:lang w:val="lt-LT"/>
        </w:rPr>
      </w:pPr>
      <w:r w:rsidRPr="00955A40">
        <w:rPr>
          <w:sz w:val="24"/>
          <w:szCs w:val="24"/>
          <w:lang w:val="lt-LT"/>
        </w:rPr>
        <w:t xml:space="preserve">Vietoj lentelės 1 punkte nurodytų dokumentų tiekėjas gali pateikti Viešųjų pirkimų tarnybos ar kompetentingos užsienio institucijos, jei jos išduota pažyma patvirtina atitiktį pirmiau nustatytiems reikalavimams, išduotos pažymos tinkamai patvirtintą kopiją. </w:t>
      </w:r>
      <w:r w:rsidRPr="005F650D">
        <w:rPr>
          <w:sz w:val="24"/>
          <w:szCs w:val="24"/>
          <w:lang w:val="lt-LT"/>
        </w:rPr>
        <w:t>Perkančioji organizacija turi teisę paprašyti tiekėjo, kad jis pristatytų pažymos originalą.</w:t>
      </w:r>
    </w:p>
    <w:p w14:paraId="221BD17B" w14:textId="77777777" w:rsidR="00F668EB" w:rsidRPr="005F650D" w:rsidRDefault="00F668EB" w:rsidP="00202303">
      <w:pPr>
        <w:pStyle w:val="ListParagraph"/>
        <w:numPr>
          <w:ilvl w:val="1"/>
          <w:numId w:val="18"/>
        </w:numPr>
        <w:tabs>
          <w:tab w:val="left" w:pos="1134"/>
        </w:tabs>
        <w:ind w:left="0" w:firstLine="680"/>
        <w:jc w:val="both"/>
        <w:rPr>
          <w:sz w:val="24"/>
          <w:szCs w:val="24"/>
          <w:lang w:val="lt-LT"/>
        </w:rPr>
      </w:pPr>
      <w:r w:rsidRPr="005F650D">
        <w:rPr>
          <w:sz w:val="24"/>
          <w:szCs w:val="24"/>
          <w:lang w:val="lt-LT"/>
        </w:rPr>
        <w:t xml:space="preserve">Jei bendrą pasiūlymą pateikia ūkio subjektų grupė, šių </w:t>
      </w:r>
      <w:r w:rsidR="0025231C" w:rsidRPr="005F650D">
        <w:rPr>
          <w:sz w:val="24"/>
          <w:szCs w:val="24"/>
          <w:lang w:val="lt-LT"/>
        </w:rPr>
        <w:t>pirkimo</w:t>
      </w:r>
      <w:r w:rsidRPr="005F650D">
        <w:rPr>
          <w:sz w:val="24"/>
          <w:szCs w:val="24"/>
          <w:lang w:val="lt-LT"/>
        </w:rPr>
        <w:t xml:space="preserve"> sąlygų</w:t>
      </w:r>
      <w:r>
        <w:rPr>
          <w:i/>
          <w:sz w:val="24"/>
          <w:szCs w:val="24"/>
          <w:lang w:val="lt-LT"/>
        </w:rPr>
        <w:t xml:space="preserve"> </w:t>
      </w:r>
      <w:r w:rsidRPr="005F650D">
        <w:rPr>
          <w:sz w:val="24"/>
          <w:szCs w:val="24"/>
          <w:lang w:val="lt-LT"/>
        </w:rPr>
        <w:t>lentelė</w:t>
      </w:r>
      <w:r w:rsidR="00691CCE" w:rsidRPr="00691CCE">
        <w:rPr>
          <w:sz w:val="24"/>
          <w:szCs w:val="24"/>
          <w:lang w:val="lt-LT"/>
        </w:rPr>
        <w:t>je</w:t>
      </w:r>
      <w:r w:rsidRPr="005F650D">
        <w:rPr>
          <w:sz w:val="24"/>
          <w:szCs w:val="24"/>
          <w:lang w:val="lt-LT"/>
        </w:rPr>
        <w:t xml:space="preserve"> nustatytus kvalifikacijos reikalavimus turi atitikti ir pateikti nurodytus dokumentus kiekvienas ūkio subjektų grupės narys atskirai.</w:t>
      </w:r>
      <w:r w:rsidRPr="005F650D">
        <w:rPr>
          <w:i/>
          <w:sz w:val="24"/>
          <w:szCs w:val="24"/>
          <w:lang w:val="lt-LT"/>
        </w:rPr>
        <w:t xml:space="preserve"> </w:t>
      </w:r>
      <w:r w:rsidRPr="005F650D">
        <w:rPr>
          <w:sz w:val="24"/>
          <w:szCs w:val="24"/>
          <w:lang w:val="lt-LT"/>
        </w:rPr>
        <w:t>Taip pat tiekėjas turi pateikti deklaraciją, sutartį ar kitą dokumentą, patvirtinantį, kad subtiekėjas/-ai jam bus prieinami visą sutarties vykdymo laikotarpį</w:t>
      </w:r>
      <w:r w:rsidRPr="005F650D">
        <w:rPr>
          <w:b/>
          <w:sz w:val="24"/>
          <w:szCs w:val="24"/>
          <w:lang w:val="lt-LT"/>
        </w:rPr>
        <w:t>.</w:t>
      </w:r>
    </w:p>
    <w:p w14:paraId="20401EBF" w14:textId="77777777" w:rsidR="00F668EB" w:rsidRDefault="00F668EB" w:rsidP="00202303">
      <w:pPr>
        <w:pStyle w:val="ListParagraph"/>
        <w:numPr>
          <w:ilvl w:val="1"/>
          <w:numId w:val="18"/>
        </w:numPr>
        <w:tabs>
          <w:tab w:val="left" w:pos="1134"/>
        </w:tabs>
        <w:ind w:left="0" w:firstLine="680"/>
        <w:jc w:val="both"/>
        <w:rPr>
          <w:sz w:val="24"/>
          <w:szCs w:val="24"/>
          <w:lang w:val="lt-LT"/>
        </w:rPr>
      </w:pPr>
      <w:r w:rsidRPr="005F650D">
        <w:rPr>
          <w:sz w:val="24"/>
          <w:szCs w:val="24"/>
          <w:lang w:val="lt-LT"/>
        </w:rPr>
        <w:t>Tiekėjo pasiūlymas atmetamas, jeigu apie nustatytų reikalavimų atitikimą jis pateikė melagingą informaciją, kurią perkančioji organizacija gali įrodyti bet kokiomis teisėtomis priemonėmis.</w:t>
      </w:r>
    </w:p>
    <w:p w14:paraId="0D808CAA" w14:textId="55B3384B" w:rsidR="00895A1B" w:rsidRDefault="00895A1B" w:rsidP="00202303">
      <w:pPr>
        <w:pStyle w:val="ListParagraph"/>
        <w:numPr>
          <w:ilvl w:val="1"/>
          <w:numId w:val="18"/>
        </w:numPr>
        <w:tabs>
          <w:tab w:val="left" w:pos="1134"/>
        </w:tabs>
        <w:ind w:left="0" w:firstLine="680"/>
        <w:jc w:val="both"/>
        <w:rPr>
          <w:sz w:val="24"/>
          <w:szCs w:val="24"/>
          <w:lang w:val="lt-LT"/>
        </w:rPr>
      </w:pPr>
      <w:r w:rsidRPr="00BE50CF">
        <w:rPr>
          <w:b/>
          <w:sz w:val="24"/>
          <w:lang w:val="lt-LT"/>
        </w:rPr>
        <w:t>Reikalaujami kokybės vadybos sistemos ir (arba) aplinkos apsaugos vadybos sistemos standartai:</w:t>
      </w:r>
      <w:r w:rsidR="00AA447F">
        <w:rPr>
          <w:b/>
          <w:sz w:val="24"/>
          <w:lang w:val="lt-LT"/>
        </w:rPr>
        <w:t xml:space="preserve"> </w:t>
      </w:r>
      <w:r w:rsidR="00AA447F">
        <w:rPr>
          <w:sz w:val="24"/>
          <w:szCs w:val="24"/>
          <w:lang w:val="lt-LT"/>
        </w:rPr>
        <w:t>š</w:t>
      </w:r>
      <w:r w:rsidR="00AA447F" w:rsidRPr="00AA447F">
        <w:rPr>
          <w:sz w:val="24"/>
          <w:szCs w:val="24"/>
          <w:lang w:val="lt-LT"/>
        </w:rPr>
        <w:t>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Tiekėjui numatom</w:t>
      </w:r>
      <w:r w:rsidR="007C246D">
        <w:rPr>
          <w:sz w:val="24"/>
          <w:szCs w:val="24"/>
          <w:lang w:val="lt-LT"/>
        </w:rPr>
        <w:t>i</w:t>
      </w:r>
      <w:r w:rsidR="00AA447F" w:rsidRPr="00AA447F">
        <w:rPr>
          <w:sz w:val="24"/>
          <w:szCs w:val="24"/>
          <w:lang w:val="lt-LT"/>
        </w:rPr>
        <w:t xml:space="preserve"> tokie reikalavimai – pirkimo sutartis ir visi dokumentai, kurie bus naudojami, vykdant pirkimo sutartį, bus sudaromi arba jais keičiamasi elektroninėmis priemonėms</w:t>
      </w:r>
      <w:r w:rsidR="00AA447F">
        <w:rPr>
          <w:sz w:val="24"/>
          <w:szCs w:val="24"/>
          <w:lang w:val="lt-LT"/>
        </w:rPr>
        <w:t>.</w:t>
      </w:r>
    </w:p>
    <w:p w14:paraId="6474C9CD" w14:textId="7937445A" w:rsidR="006529A1" w:rsidRPr="006529A1" w:rsidRDefault="006529A1" w:rsidP="006529A1">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w:t>
      </w:r>
      <w:r>
        <w:rPr>
          <w:sz w:val="24"/>
          <w:szCs w:val="24"/>
          <w:lang w:val="lt-LT"/>
        </w:rPr>
        <w:t>VPĮ</w:t>
      </w:r>
      <w:r w:rsidRPr="00C6203F">
        <w:rPr>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Pr="006227E5">
        <w:rPr>
          <w:sz w:val="24"/>
          <w:szCs w:val="24"/>
          <w:lang w:val="lt-LT"/>
        </w:rPr>
        <w:t>Perkančiajai organizacijai</w:t>
      </w:r>
      <w:r w:rsidRPr="006227E5">
        <w:rPr>
          <w:sz w:val="24"/>
          <w:szCs w:val="32"/>
          <w:lang w:val="lt-LT"/>
        </w:rPr>
        <w:t xml:space="preserve"> </w:t>
      </w:r>
      <w:r w:rsidRPr="00C6203F">
        <w:rPr>
          <w:rFonts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Pr="006227E5">
        <w:rPr>
          <w:sz w:val="24"/>
          <w:szCs w:val="24"/>
          <w:lang w:val="lt-LT"/>
        </w:rPr>
        <w:t>Perkančiajai organizacijai</w:t>
      </w:r>
      <w:r w:rsidRPr="006227E5">
        <w:rPr>
          <w:sz w:val="24"/>
          <w:szCs w:val="32"/>
          <w:lang w:val="lt-LT"/>
        </w:rPr>
        <w:t xml:space="preserve"> </w:t>
      </w:r>
      <w:r w:rsidRPr="00C6203F">
        <w:rPr>
          <w:rFonts w:cstheme="minorHAnsi"/>
          <w:sz w:val="24"/>
          <w:szCs w:val="24"/>
          <w:lang w:val="lt-LT"/>
        </w:rPr>
        <w:t xml:space="preserve">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Pr="006227E5">
        <w:rPr>
          <w:sz w:val="24"/>
          <w:szCs w:val="24"/>
          <w:lang w:val="lt-LT"/>
        </w:rPr>
        <w:t>Perkančioji organizacija</w:t>
      </w:r>
      <w:r w:rsidRPr="0027598E">
        <w:rPr>
          <w:sz w:val="24"/>
          <w:szCs w:val="24"/>
          <w:lang w:val="lt-LT"/>
        </w:rPr>
        <w:t xml:space="preserve"> </w:t>
      </w:r>
      <w:r w:rsidRPr="001D61C3">
        <w:rPr>
          <w:rFonts w:cstheme="minorHAnsi"/>
          <w:sz w:val="24"/>
          <w:szCs w:val="24"/>
          <w:lang w:val="lt-LT"/>
        </w:rPr>
        <w:t>gali prašyti bet kuriuo pirkimo procedūros metu siekdama užtikrinti tinkamą pirkimo procedūros atlikimą.</w:t>
      </w:r>
    </w:p>
    <w:p w14:paraId="56E84EAA"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291EC253" w14:textId="77777777" w:rsidR="00903628" w:rsidRPr="00903628" w:rsidRDefault="00903628" w:rsidP="00202303">
      <w:pPr>
        <w:pStyle w:val="Heading2"/>
        <w:numPr>
          <w:ilvl w:val="1"/>
          <w:numId w:val="13"/>
        </w:numPr>
        <w:tabs>
          <w:tab w:val="left" w:pos="993"/>
        </w:tabs>
        <w:ind w:left="0" w:firstLine="567"/>
        <w:rPr>
          <w:i/>
        </w:rPr>
      </w:pPr>
      <w:r>
        <w:rPr>
          <w:szCs w:val="24"/>
        </w:rPr>
        <w:t>P</w:t>
      </w:r>
      <w:r w:rsidRPr="00AE4450">
        <w:rPr>
          <w:szCs w:val="24"/>
        </w:rPr>
        <w:t xml:space="preserve">erkančioji organizacija </w:t>
      </w:r>
      <w:r w:rsidRPr="00CB7DE2">
        <w:rPr>
          <w:szCs w:val="24"/>
        </w:rPr>
        <w:t>nereikalauja pasiūlymo galiojimo užtikrinimo</w:t>
      </w:r>
      <w:r>
        <w:rPr>
          <w:szCs w:val="24"/>
        </w:rPr>
        <w:t>.</w:t>
      </w:r>
    </w:p>
    <w:p w14:paraId="1C11B994" w14:textId="77777777" w:rsidR="00B64D14" w:rsidRPr="00FE009C" w:rsidRDefault="0025231C" w:rsidP="00202303">
      <w:pPr>
        <w:pStyle w:val="Heading1"/>
        <w:numPr>
          <w:ilvl w:val="0"/>
          <w:numId w:val="3"/>
        </w:numPr>
        <w:tabs>
          <w:tab w:val="left" w:pos="540"/>
        </w:tabs>
        <w:spacing w:before="240" w:after="240"/>
        <w:ind w:left="0" w:firstLine="0"/>
        <w:rPr>
          <w:b/>
          <w:sz w:val="24"/>
          <w:szCs w:val="24"/>
        </w:rPr>
      </w:pPr>
      <w:r>
        <w:rPr>
          <w:b/>
          <w:sz w:val="24"/>
          <w:szCs w:val="24"/>
        </w:rPr>
        <w:t>PIRKIMO</w:t>
      </w:r>
      <w:r w:rsidR="00B64D14" w:rsidRPr="00FE009C">
        <w:rPr>
          <w:b/>
          <w:sz w:val="24"/>
          <w:szCs w:val="24"/>
        </w:rPr>
        <w:t xml:space="preserve"> SĄLYGŲ PAAIŠKINIMAS IR PATIKSLINIMAS</w:t>
      </w:r>
    </w:p>
    <w:p w14:paraId="6F092AEB" w14:textId="77777777" w:rsidR="00903628" w:rsidRDefault="0025231C" w:rsidP="00202303">
      <w:pPr>
        <w:pStyle w:val="Heading2"/>
        <w:numPr>
          <w:ilvl w:val="1"/>
          <w:numId w:val="14"/>
        </w:numPr>
        <w:tabs>
          <w:tab w:val="left" w:pos="993"/>
        </w:tabs>
        <w:ind w:left="0" w:firstLine="567"/>
      </w:pPr>
      <w:r>
        <w:rPr>
          <w:szCs w:val="24"/>
          <w:lang w:eastAsia="lt-LT"/>
        </w:rPr>
        <w:t>Pirkimo</w:t>
      </w:r>
      <w:r w:rsidR="00AB4F38" w:rsidRPr="000D1865">
        <w:rPr>
          <w:szCs w:val="24"/>
          <w:lang w:eastAsia="lt-LT"/>
        </w:rPr>
        <w:t xml:space="preserve"> sąlygos gali būti paaiškinamos, patikslinamos tiekėjų iniciatyva, jiems </w:t>
      </w:r>
      <w:r w:rsidR="00AB4F38" w:rsidRPr="00903628">
        <w:rPr>
          <w:b/>
          <w:szCs w:val="24"/>
          <w:lang w:eastAsia="lt-LT"/>
        </w:rPr>
        <w:t>CVP IS susirašinėjimo priemonėmis</w:t>
      </w:r>
      <w:r w:rsidR="00AB4F38" w:rsidRPr="000D1865">
        <w:rPr>
          <w:szCs w:val="24"/>
          <w:lang w:eastAsia="lt-LT"/>
        </w:rPr>
        <w:t xml:space="preserve"> kreipiantis į </w:t>
      </w:r>
      <w:r w:rsidR="00AB4F38">
        <w:rPr>
          <w:szCs w:val="24"/>
          <w:lang w:eastAsia="lt-LT"/>
        </w:rPr>
        <w:t>P</w:t>
      </w:r>
      <w:r w:rsidR="00AB4F38" w:rsidRPr="000D1865">
        <w:rPr>
          <w:szCs w:val="24"/>
          <w:lang w:eastAsia="lt-LT"/>
        </w:rPr>
        <w:t>erkančiąją organizaciją</w:t>
      </w:r>
      <w:r w:rsidR="00AB4F38" w:rsidRPr="00AE4450">
        <w:rPr>
          <w:szCs w:val="24"/>
          <w:lang w:eastAsia="lt-LT"/>
        </w:rPr>
        <w:t xml:space="preserve">. Prašymai paaiškinti </w:t>
      </w:r>
      <w:r>
        <w:rPr>
          <w:szCs w:val="24"/>
          <w:lang w:eastAsia="lt-LT"/>
        </w:rPr>
        <w:t>pirkimo</w:t>
      </w:r>
      <w:r w:rsidR="00AB4F38" w:rsidRPr="00AE4450">
        <w:rPr>
          <w:szCs w:val="24"/>
          <w:lang w:eastAsia="lt-LT"/>
        </w:rPr>
        <w:t xml:space="preserve"> sąlygas gali būti pateikiami perkančiajai organizacijai ne vėliau kaip likus </w:t>
      </w:r>
      <w:r w:rsidR="00AB4F38">
        <w:rPr>
          <w:szCs w:val="24"/>
          <w:lang w:eastAsia="lt-LT"/>
        </w:rPr>
        <w:t>3 darbo</w:t>
      </w:r>
      <w:r w:rsidR="00AB4F38" w:rsidRPr="00AE4450">
        <w:rPr>
          <w:szCs w:val="24"/>
          <w:lang w:eastAsia="lt-LT"/>
        </w:rPr>
        <w:t xml:space="preserve"> dienoms iki pasiūlymų pateikimo termino pabaigos. Tiekėjai turėtų būti aktyvūs ir pateikti klausimus</w:t>
      </w:r>
      <w:r w:rsidR="00AB4F38" w:rsidRPr="000D1865">
        <w:rPr>
          <w:szCs w:val="24"/>
          <w:lang w:eastAsia="lt-LT"/>
        </w:rPr>
        <w:t xml:space="preserve"> ar paprašyti paaiškinti </w:t>
      </w:r>
      <w:r>
        <w:rPr>
          <w:szCs w:val="24"/>
          <w:lang w:eastAsia="lt-LT"/>
        </w:rPr>
        <w:t>pirkimo</w:t>
      </w:r>
      <w:r w:rsidRPr="00AE4450">
        <w:rPr>
          <w:szCs w:val="24"/>
          <w:lang w:eastAsia="lt-LT"/>
        </w:rPr>
        <w:t xml:space="preserve"> </w:t>
      </w:r>
      <w:r w:rsidR="00AB4F38" w:rsidRPr="000D1865">
        <w:rPr>
          <w:szCs w:val="24"/>
          <w:lang w:eastAsia="lt-LT"/>
        </w:rPr>
        <w:t>sąlygas iš karto jas išanalizavę, atsižvelgdami į tai, kad, pasibaigus pasiūlymų pateikimo terminui, pasiūlymo turinio keisti nebus galima</w:t>
      </w:r>
      <w:r w:rsidR="00B64D14" w:rsidRPr="002E6913">
        <w:rPr>
          <w:szCs w:val="24"/>
          <w:lang w:eastAsia="lt-LT"/>
        </w:rPr>
        <w:t>.</w:t>
      </w:r>
    </w:p>
    <w:p w14:paraId="4DC07680" w14:textId="77777777" w:rsidR="00903628" w:rsidRDefault="002B5F26" w:rsidP="00202303">
      <w:pPr>
        <w:pStyle w:val="Heading2"/>
        <w:numPr>
          <w:ilvl w:val="1"/>
          <w:numId w:val="14"/>
        </w:numPr>
        <w:tabs>
          <w:tab w:val="left" w:pos="993"/>
        </w:tabs>
        <w:ind w:left="0" w:firstLine="567"/>
      </w:pPr>
      <w:r w:rsidRPr="00903628">
        <w:rPr>
          <w:szCs w:val="24"/>
        </w:rPr>
        <w:t xml:space="preserve">Nesibaigus pasiūlymų pateikimo terminui perkančioji organizacija turi teisę savo iniciatyva paaiškinti, patikslinti </w:t>
      </w:r>
      <w:r w:rsidR="0025231C">
        <w:rPr>
          <w:szCs w:val="24"/>
          <w:lang w:eastAsia="lt-LT"/>
        </w:rPr>
        <w:t>pirkimo</w:t>
      </w:r>
      <w:r w:rsidR="0025231C" w:rsidRPr="00AE4450">
        <w:rPr>
          <w:szCs w:val="24"/>
          <w:lang w:eastAsia="lt-LT"/>
        </w:rPr>
        <w:t xml:space="preserve"> </w:t>
      </w:r>
      <w:r w:rsidRPr="00903628">
        <w:rPr>
          <w:szCs w:val="24"/>
        </w:rPr>
        <w:t>sąlygas</w:t>
      </w:r>
      <w:r w:rsidR="00B64D14" w:rsidRPr="002E6913">
        <w:t xml:space="preserve">. </w:t>
      </w:r>
    </w:p>
    <w:p w14:paraId="6B8EF386" w14:textId="77777777" w:rsidR="00903628" w:rsidRDefault="002B5F26"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w:t>
      </w:r>
      <w:r w:rsidR="0025231C">
        <w:rPr>
          <w:szCs w:val="24"/>
          <w:lang w:eastAsia="lt-LT"/>
        </w:rPr>
        <w:t>pirkimo</w:t>
      </w:r>
      <w:r w:rsidR="0025231C" w:rsidRPr="00AE4450">
        <w:rPr>
          <w:szCs w:val="24"/>
          <w:lang w:eastAsia="lt-LT"/>
        </w:rPr>
        <w:t xml:space="preserve"> </w:t>
      </w:r>
      <w:r w:rsidRPr="00903628">
        <w:rPr>
          <w:szCs w:val="24"/>
        </w:rPr>
        <w:t xml:space="preserve">sąlygas, jeigu jis buvo pateiktas nepasibaigus terminui, arba aiškindama, tikslindama </w:t>
      </w:r>
      <w:r w:rsidR="0025231C">
        <w:rPr>
          <w:szCs w:val="24"/>
          <w:lang w:eastAsia="lt-LT"/>
        </w:rPr>
        <w:t>pirkimo</w:t>
      </w:r>
      <w:r w:rsidR="0025231C" w:rsidRPr="00AE4450">
        <w:rPr>
          <w:szCs w:val="24"/>
          <w:lang w:eastAsia="lt-LT"/>
        </w:rPr>
        <w:t xml:space="preserve"> </w:t>
      </w:r>
      <w:r w:rsidRPr="00903628">
        <w:rPr>
          <w:szCs w:val="24"/>
        </w:rPr>
        <w:t xml:space="preserve">sąlygas savo iniciatyva, </w:t>
      </w:r>
      <w:r w:rsidRPr="00903628">
        <w:rPr>
          <w:szCs w:val="24"/>
        </w:rPr>
        <w:lastRenderedPageBreak/>
        <w:t xml:space="preserve">Perkančioji organizacija 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w:t>
      </w:r>
      <w:r w:rsidR="0025231C">
        <w:rPr>
          <w:szCs w:val="24"/>
          <w:lang w:eastAsia="lt-LT"/>
        </w:rPr>
        <w:t>pirkimo</w:t>
      </w:r>
      <w:r w:rsidR="0025231C" w:rsidRPr="00AE4450">
        <w:rPr>
          <w:szCs w:val="24"/>
          <w:lang w:eastAsia="lt-LT"/>
        </w:rPr>
        <w:t xml:space="preserve"> </w:t>
      </w:r>
      <w:r w:rsidRPr="00903628">
        <w:rPr>
          <w:szCs w:val="24"/>
        </w:rPr>
        <w:t xml:space="preserve">sąlygas Perkančioji organizacija atsako ne vėliau kaip per 3 darbo dienas nuo jo gavimo dienos. Perkančioji organizacija tiek aiškindama, tikslindama </w:t>
      </w:r>
      <w:r w:rsidR="0025231C">
        <w:rPr>
          <w:szCs w:val="24"/>
          <w:lang w:eastAsia="lt-LT"/>
        </w:rPr>
        <w:t>pirkimo</w:t>
      </w:r>
      <w:r w:rsidR="0025231C" w:rsidRPr="00AE4450">
        <w:rPr>
          <w:szCs w:val="24"/>
          <w:lang w:eastAsia="lt-LT"/>
        </w:rPr>
        <w:t xml:space="preserve"> </w:t>
      </w:r>
      <w:r w:rsidRPr="00903628">
        <w:rPr>
          <w:szCs w:val="24"/>
        </w:rPr>
        <w:t xml:space="preserve">sąlygas savo iniciatyva, tiek tiekėjų iniciatyva visus paaiškinimus ir patikslinimus skelbia CVP IS; Viešųjų pirkimų tarnybos interneto svetainėje adresu </w:t>
      </w:r>
      <w:hyperlink r:id="rId12" w:history="1">
        <w:r w:rsidRPr="00903628">
          <w:rPr>
            <w:rStyle w:val="Hyperlink"/>
            <w:szCs w:val="24"/>
          </w:rPr>
          <w:t>www.vpt.lt</w:t>
        </w:r>
      </w:hyperlink>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w:t>
      </w:r>
      <w:r w:rsidR="0025231C">
        <w:rPr>
          <w:szCs w:val="24"/>
          <w:lang w:eastAsia="lt-LT"/>
        </w:rPr>
        <w:t>pirkimo</w:t>
      </w:r>
      <w:r w:rsidR="0025231C" w:rsidRPr="00AE4450">
        <w:rPr>
          <w:szCs w:val="24"/>
          <w:lang w:eastAsia="lt-LT"/>
        </w:rPr>
        <w:t xml:space="preserve"> </w:t>
      </w:r>
      <w:r w:rsidRPr="00903628">
        <w:rPr>
          <w:szCs w:val="24"/>
        </w:rPr>
        <w:t>sąlygas</w:t>
      </w:r>
      <w:r w:rsidR="00493BD5">
        <w:rPr>
          <w:szCs w:val="24"/>
        </w:rPr>
        <w:t xml:space="preserve">. </w:t>
      </w:r>
    </w:p>
    <w:p w14:paraId="66215284" w14:textId="77777777" w:rsidR="00903628" w:rsidRDefault="00B64D14" w:rsidP="00202303">
      <w:pPr>
        <w:pStyle w:val="Heading2"/>
        <w:numPr>
          <w:ilvl w:val="1"/>
          <w:numId w:val="14"/>
        </w:numPr>
        <w:tabs>
          <w:tab w:val="left" w:pos="993"/>
        </w:tabs>
        <w:ind w:left="0" w:firstLine="567"/>
      </w:pPr>
      <w:r w:rsidRPr="00903628">
        <w:rPr>
          <w:szCs w:val="24"/>
        </w:rPr>
        <w:t>Perkančioji organizacija nerengs susitikimų su tiekėjais dėl pirkimo dokumentų paaiškinimų</w:t>
      </w:r>
      <w:r w:rsidRPr="002E6913">
        <w:t>.</w:t>
      </w:r>
    </w:p>
    <w:p w14:paraId="27676F17" w14:textId="77777777" w:rsidR="00B64D14" w:rsidRPr="00903628" w:rsidRDefault="00AC0263" w:rsidP="00202303">
      <w:pPr>
        <w:pStyle w:val="Heading2"/>
        <w:numPr>
          <w:ilvl w:val="1"/>
          <w:numId w:val="14"/>
        </w:numPr>
        <w:tabs>
          <w:tab w:val="left" w:pos="993"/>
        </w:tabs>
        <w:ind w:left="0" w:firstLine="567"/>
      </w:pPr>
      <w:r w:rsidRPr="00903628">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25231C">
        <w:rPr>
          <w:szCs w:val="24"/>
          <w:lang w:eastAsia="lt-LT"/>
        </w:rPr>
        <w:t>pirkimo</w:t>
      </w:r>
      <w:r w:rsidR="0025231C" w:rsidRPr="00AE4450">
        <w:rPr>
          <w:szCs w:val="24"/>
          <w:lang w:eastAsia="lt-LT"/>
        </w:rPr>
        <w:t xml:space="preserve"> </w:t>
      </w:r>
      <w:r w:rsidRPr="00903628">
        <w:t xml:space="preserve">sąlygas paaiškina (patikslina) ir negali </w:t>
      </w:r>
      <w:r w:rsidR="0025231C">
        <w:rPr>
          <w:szCs w:val="24"/>
          <w:lang w:eastAsia="lt-LT"/>
        </w:rPr>
        <w:t>pirkimo</w:t>
      </w:r>
      <w:r w:rsidR="0025231C" w:rsidRPr="00AE4450">
        <w:rPr>
          <w:szCs w:val="24"/>
          <w:lang w:eastAsia="lt-LT"/>
        </w:rPr>
        <w:t xml:space="preserve"> </w:t>
      </w:r>
      <w:r w:rsidRPr="00903628">
        <w:t xml:space="preserve">sąlygų paaiškinimų (patikslinimų) pateikti taip, kad visi kandidatai juos gautų ne vėliau kaip likus </w:t>
      </w:r>
      <w:r>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r w:rsidR="00B64D14" w:rsidRPr="00903628">
        <w:t>.</w:t>
      </w:r>
    </w:p>
    <w:p w14:paraId="461D96BA"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782C4172" w14:textId="2943C409" w:rsidR="005D7FB2" w:rsidRDefault="00B7496F" w:rsidP="005D7FB2">
      <w:pPr>
        <w:pStyle w:val="Heading2"/>
        <w:numPr>
          <w:ilvl w:val="1"/>
          <w:numId w:val="23"/>
        </w:numPr>
        <w:tabs>
          <w:tab w:val="left" w:pos="1134"/>
        </w:tabs>
        <w:ind w:left="0" w:firstLine="680"/>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F97879">
        <w:rPr>
          <w:b/>
          <w:szCs w:val="24"/>
        </w:rPr>
        <w:t>2025</w:t>
      </w:r>
      <w:r w:rsidRPr="00F97879">
        <w:rPr>
          <w:b/>
          <w:szCs w:val="24"/>
        </w:rPr>
        <w:t xml:space="preserve"> m. </w:t>
      </w:r>
      <w:r w:rsidR="00F97879">
        <w:rPr>
          <w:b/>
          <w:szCs w:val="24"/>
        </w:rPr>
        <w:t>gruodžio 10</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w:t>
      </w:r>
      <w:r w:rsidR="008B1192">
        <w:rPr>
          <w:b/>
          <w:szCs w:val="24"/>
        </w:rPr>
        <w:t>2</w:t>
      </w:r>
      <w:r w:rsidRPr="0073763A">
        <w:rPr>
          <w:b/>
          <w:spacing w:val="-6"/>
          <w:szCs w:val="24"/>
        </w:rPr>
        <w:t>.</w:t>
      </w:r>
      <w:r>
        <w:rPr>
          <w:b/>
          <w:spacing w:val="-6"/>
          <w:szCs w:val="24"/>
        </w:rPr>
        <w:t>45</w:t>
      </w:r>
      <w:r w:rsidRPr="004F4CF5">
        <w:rPr>
          <w:b/>
          <w:spacing w:val="-6"/>
          <w:szCs w:val="24"/>
        </w:rPr>
        <w:t xml:space="preserve"> val</w:t>
      </w:r>
      <w:r w:rsidR="00A34F66">
        <w:rPr>
          <w:b/>
          <w:spacing w:val="-6"/>
          <w:szCs w:val="24"/>
        </w:rPr>
        <w:t>.</w:t>
      </w:r>
    </w:p>
    <w:p w14:paraId="54D7B77C" w14:textId="77777777" w:rsidR="005D7FB2" w:rsidRDefault="00A34F66" w:rsidP="005D7FB2">
      <w:pPr>
        <w:pStyle w:val="Heading2"/>
        <w:numPr>
          <w:ilvl w:val="1"/>
          <w:numId w:val="23"/>
        </w:numPr>
        <w:tabs>
          <w:tab w:val="left" w:pos="1134"/>
        </w:tabs>
        <w:ind w:left="0" w:firstLine="680"/>
        <w:rPr>
          <w:b/>
          <w:spacing w:val="-6"/>
          <w:szCs w:val="24"/>
        </w:rPr>
      </w:pPr>
      <w:r w:rsidRPr="005D7FB2">
        <w:rPr>
          <w:szCs w:val="24"/>
        </w:rPr>
        <w:t>Į vokų atplėšimo procedūrą tiekėjai nekviečiami.</w:t>
      </w:r>
    </w:p>
    <w:p w14:paraId="72A700A9" w14:textId="77777777" w:rsidR="00B64D14" w:rsidRPr="005D7FB2" w:rsidRDefault="00301CF0" w:rsidP="005D7FB2">
      <w:pPr>
        <w:pStyle w:val="Heading2"/>
        <w:numPr>
          <w:ilvl w:val="1"/>
          <w:numId w:val="23"/>
        </w:numPr>
        <w:tabs>
          <w:tab w:val="left" w:pos="1134"/>
        </w:tabs>
        <w:ind w:left="0" w:firstLine="680"/>
        <w:rPr>
          <w:b/>
          <w:spacing w:val="-6"/>
          <w:szCs w:val="24"/>
        </w:rPr>
      </w:pPr>
      <w:r>
        <w:rPr>
          <w:szCs w:val="24"/>
        </w:rPr>
        <w:t>Jei pasiūlymo kaina, išreikšta skaičiais, neatitinka pasiūlymo kainos, nurodytos žodžiais, teisinga laikoma kaina nurodyta žodžiais</w:t>
      </w:r>
      <w:r w:rsidR="00B64D14" w:rsidRPr="00A34F66">
        <w:t>.</w:t>
      </w:r>
    </w:p>
    <w:p w14:paraId="0BD153D3"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78898603" w14:textId="77777777" w:rsidR="005D7FB2" w:rsidRDefault="00817C2A" w:rsidP="005D7FB2">
      <w:pPr>
        <w:pStyle w:val="Heading2"/>
        <w:numPr>
          <w:ilvl w:val="1"/>
          <w:numId w:val="24"/>
        </w:numPr>
        <w:tabs>
          <w:tab w:val="left" w:pos="993"/>
        </w:tabs>
        <w:ind w:left="0" w:firstLine="680"/>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 xml:space="preserve">papildomus paaiškinimus nekeisdami pasiūlymo esmės. Perkančioji organizacija negali prašyti, siūlyti arba leisti pakeisti pasiūlymo esmės – pakeisti kainą, arba padaryti kitų pakeitimų, dėl kurių </w:t>
      </w:r>
      <w:r w:rsidR="0025231C">
        <w:rPr>
          <w:szCs w:val="24"/>
          <w:lang w:eastAsia="lt-LT"/>
        </w:rPr>
        <w:t>pirkimo</w:t>
      </w:r>
      <w:r w:rsidR="0025231C" w:rsidRPr="00AE4450">
        <w:rPr>
          <w:szCs w:val="24"/>
          <w:lang w:eastAsia="lt-LT"/>
        </w:rPr>
        <w:t xml:space="preserve"> </w:t>
      </w:r>
      <w:r w:rsidRPr="00477D88">
        <w:rPr>
          <w:szCs w:val="24"/>
        </w:rPr>
        <w:t>sąlygose nustatytų reikalavimų neatitinkantis pasiūlymas taptų juos atitinkantis</w:t>
      </w:r>
      <w:r w:rsidR="001307B3" w:rsidRPr="00477D88">
        <w:rPr>
          <w:szCs w:val="24"/>
        </w:rPr>
        <w:t>.</w:t>
      </w:r>
    </w:p>
    <w:p w14:paraId="4EE7226A" w14:textId="77777777" w:rsidR="005D7FB2" w:rsidRDefault="00817C2A" w:rsidP="005D7FB2">
      <w:pPr>
        <w:pStyle w:val="Heading2"/>
        <w:numPr>
          <w:ilvl w:val="1"/>
          <w:numId w:val="24"/>
        </w:numPr>
        <w:tabs>
          <w:tab w:val="left" w:pos="993"/>
        </w:tabs>
        <w:ind w:left="0" w:firstLine="680"/>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r w:rsidR="005D7FB2">
        <w:rPr>
          <w:spacing w:val="-4"/>
          <w:szCs w:val="24"/>
        </w:rPr>
        <w:t>.</w:t>
      </w:r>
    </w:p>
    <w:p w14:paraId="14202A22" w14:textId="77777777" w:rsidR="005D7FB2" w:rsidRDefault="00817C2A" w:rsidP="005D7FB2">
      <w:pPr>
        <w:pStyle w:val="Heading2"/>
        <w:numPr>
          <w:ilvl w:val="1"/>
          <w:numId w:val="24"/>
        </w:numPr>
        <w:tabs>
          <w:tab w:val="left" w:pos="993"/>
        </w:tabs>
        <w:ind w:left="0" w:firstLine="680"/>
        <w:rPr>
          <w:szCs w:val="24"/>
        </w:rPr>
      </w:pPr>
      <w:r w:rsidRPr="00477D88">
        <w:rPr>
          <w:spacing w:val="-4"/>
          <w:szCs w:val="24"/>
        </w:rPr>
        <w:t>Kvalifikacijos duomenų patikslinimai, pasiūlymo turinio paaiškinimai, neįprastai mažos kainos pagrindimo dokumentai yra pateikiami tik CVP IS susirašinėjimo priemonėmis</w:t>
      </w:r>
      <w:r w:rsidR="00CB6A87" w:rsidRPr="005D7FB2">
        <w:rPr>
          <w:spacing w:val="-4"/>
          <w:szCs w:val="24"/>
        </w:rPr>
        <w:t>.</w:t>
      </w:r>
    </w:p>
    <w:p w14:paraId="30FD03DD" w14:textId="77777777" w:rsidR="005D7FB2" w:rsidRPr="005D7FB2" w:rsidRDefault="001307B3" w:rsidP="005D7FB2">
      <w:pPr>
        <w:pStyle w:val="Heading2"/>
        <w:numPr>
          <w:ilvl w:val="1"/>
          <w:numId w:val="24"/>
        </w:numPr>
        <w:tabs>
          <w:tab w:val="left" w:pos="993"/>
        </w:tabs>
        <w:ind w:left="0" w:firstLine="680"/>
        <w:rPr>
          <w:szCs w:val="24"/>
        </w:rPr>
      </w:pPr>
      <w:r w:rsidRPr="005D7FB2">
        <w:rPr>
          <w:spacing w:val="-4"/>
          <w:szCs w:val="24"/>
        </w:rPr>
        <w:t>Komisija atmeta pasiūlymą jeigu:</w:t>
      </w:r>
    </w:p>
    <w:p w14:paraId="758A00E3" w14:textId="77777777" w:rsidR="005D7FB2" w:rsidRPr="005D7FB2" w:rsidRDefault="001307B3" w:rsidP="005D7FB2">
      <w:pPr>
        <w:pStyle w:val="Heading2"/>
        <w:numPr>
          <w:ilvl w:val="2"/>
          <w:numId w:val="24"/>
        </w:numPr>
        <w:tabs>
          <w:tab w:val="left" w:pos="993"/>
        </w:tabs>
        <w:ind w:left="0" w:firstLine="680"/>
        <w:rPr>
          <w:szCs w:val="24"/>
        </w:rPr>
      </w:pPr>
      <w:r w:rsidRPr="005D7FB2">
        <w:rPr>
          <w:color w:val="000000"/>
          <w:szCs w:val="24"/>
        </w:rPr>
        <w:t xml:space="preserve">pasiūlymą pateikęs tiekėjas neatitinka </w:t>
      </w:r>
      <w:r w:rsidR="0025231C">
        <w:rPr>
          <w:szCs w:val="24"/>
          <w:lang w:eastAsia="lt-LT"/>
        </w:rPr>
        <w:t>pirkimo</w:t>
      </w:r>
      <w:r w:rsidR="0025231C" w:rsidRPr="00AE4450">
        <w:rPr>
          <w:szCs w:val="24"/>
          <w:lang w:eastAsia="lt-LT"/>
        </w:rPr>
        <w:t xml:space="preserve"> </w:t>
      </w:r>
      <w:r w:rsidRPr="005D7FB2">
        <w:rPr>
          <w:color w:val="000000"/>
          <w:szCs w:val="24"/>
        </w:rPr>
        <w:t>sąlygose nustatytų minimalių kvalifikacijos reikalavimų arba perkančiosios organizacijos prašymu nepatikslino pateiktų netikslių ar neišsamių duomenų apie savo kvalifikaciją;</w:t>
      </w:r>
    </w:p>
    <w:p w14:paraId="4A50E8DE" w14:textId="77777777" w:rsidR="005D7FB2" w:rsidRPr="005D7FB2" w:rsidRDefault="001307B3" w:rsidP="005D7FB2">
      <w:pPr>
        <w:pStyle w:val="Heading2"/>
        <w:numPr>
          <w:ilvl w:val="2"/>
          <w:numId w:val="24"/>
        </w:numPr>
        <w:tabs>
          <w:tab w:val="left" w:pos="993"/>
        </w:tabs>
        <w:ind w:left="0" w:firstLine="680"/>
        <w:rPr>
          <w:szCs w:val="24"/>
        </w:rPr>
      </w:pPr>
      <w:r w:rsidRPr="005D7FB2">
        <w:rPr>
          <w:color w:val="000000"/>
          <w:szCs w:val="24"/>
        </w:rPr>
        <w:t xml:space="preserve">pasiūlymas neatitinka </w:t>
      </w:r>
      <w:r w:rsidR="0025231C">
        <w:rPr>
          <w:szCs w:val="24"/>
          <w:lang w:eastAsia="lt-LT"/>
        </w:rPr>
        <w:t>pirkimo</w:t>
      </w:r>
      <w:r w:rsidR="0025231C" w:rsidRPr="00AE4450">
        <w:rPr>
          <w:szCs w:val="24"/>
          <w:lang w:eastAsia="lt-LT"/>
        </w:rPr>
        <w:t xml:space="preserve"> </w:t>
      </w:r>
      <w:r w:rsidRPr="005D7FB2">
        <w:rPr>
          <w:color w:val="000000"/>
          <w:szCs w:val="24"/>
        </w:rPr>
        <w:t xml:space="preserve">sąlygose nustatytų reikalavimų (tiekėjo pateikta techninė specifikacija neatitinka pirkimo dokumentuose nustatytų reikalavimų, </w:t>
      </w:r>
      <w:r w:rsidRPr="005D7FB2">
        <w:rPr>
          <w:szCs w:val="24"/>
        </w:rPr>
        <w:t xml:space="preserve">nepateikti </w:t>
      </w:r>
      <w:r w:rsidR="0025231C">
        <w:rPr>
          <w:szCs w:val="24"/>
          <w:lang w:eastAsia="lt-LT"/>
        </w:rPr>
        <w:t>pirkimo</w:t>
      </w:r>
      <w:r w:rsidR="0025231C" w:rsidRPr="00AE4450">
        <w:rPr>
          <w:szCs w:val="24"/>
          <w:lang w:eastAsia="lt-LT"/>
        </w:rPr>
        <w:t xml:space="preserve"> </w:t>
      </w:r>
      <w:r w:rsidRPr="005D7FB2">
        <w:rPr>
          <w:szCs w:val="24"/>
        </w:rPr>
        <w:t xml:space="preserve">sąlygose reikalaujami dokumentai, įrodantys </w:t>
      </w:r>
      <w:r w:rsidR="002B560E" w:rsidRPr="005D7FB2">
        <w:rPr>
          <w:szCs w:val="24"/>
        </w:rPr>
        <w:t>paslaugos</w:t>
      </w:r>
      <w:r w:rsidRPr="005D7FB2">
        <w:rPr>
          <w:szCs w:val="24"/>
        </w:rPr>
        <w:t xml:space="preserve"> atitikimą techninei specifikacijai ir kt</w:t>
      </w:r>
      <w:r w:rsidRPr="005D7FB2">
        <w:rPr>
          <w:color w:val="000000"/>
          <w:szCs w:val="24"/>
        </w:rPr>
        <w:t>);</w:t>
      </w:r>
    </w:p>
    <w:p w14:paraId="1D0275C6" w14:textId="77777777" w:rsidR="005D7FB2" w:rsidRPr="005D7FB2" w:rsidRDefault="001307B3" w:rsidP="005D7FB2">
      <w:pPr>
        <w:pStyle w:val="Heading2"/>
        <w:numPr>
          <w:ilvl w:val="2"/>
          <w:numId w:val="24"/>
        </w:numPr>
        <w:tabs>
          <w:tab w:val="left" w:pos="993"/>
        </w:tabs>
        <w:ind w:left="0" w:firstLine="680"/>
        <w:rPr>
          <w:szCs w:val="24"/>
        </w:rPr>
      </w:pPr>
      <w:r w:rsidRPr="005D7FB2">
        <w:rPr>
          <w:color w:val="000000"/>
          <w:szCs w:val="24"/>
        </w:rPr>
        <w:t>tiekėjas per perkančiosios organizacijos nustatytą terminą, kur</w:t>
      </w:r>
      <w:r w:rsidR="00CB6A87" w:rsidRPr="005D7FB2">
        <w:rPr>
          <w:color w:val="000000"/>
          <w:szCs w:val="24"/>
        </w:rPr>
        <w:t>is negali būti trumpesnis kaip 3</w:t>
      </w:r>
      <w:r w:rsidRPr="005D7FB2">
        <w:rPr>
          <w:color w:val="000000"/>
          <w:szCs w:val="24"/>
        </w:rPr>
        <w:t xml:space="preserve"> (trys) darbo dienos nuo prašymo išsiuntimo iš perkančiosios organizacijos dienos, nepatikslino, nepapildė ar nepateikė pirkimo dokumentuose nurodytų kartu su pasiūlymu teikiamų dokumentų: tiekėjo įgaliojimo asmeniui pasirašyti pasiūlymą, jungtinės veiklos sutarties;</w:t>
      </w:r>
    </w:p>
    <w:p w14:paraId="026D00B4" w14:textId="77777777" w:rsidR="005D7FB2" w:rsidRPr="005D7FB2" w:rsidRDefault="001307B3" w:rsidP="005D7FB2">
      <w:pPr>
        <w:pStyle w:val="Heading2"/>
        <w:numPr>
          <w:ilvl w:val="2"/>
          <w:numId w:val="24"/>
        </w:numPr>
        <w:tabs>
          <w:tab w:val="left" w:pos="993"/>
        </w:tabs>
        <w:ind w:left="0" w:firstLine="680"/>
        <w:rPr>
          <w:szCs w:val="24"/>
        </w:rPr>
      </w:pPr>
      <w:r w:rsidRPr="005D7FB2">
        <w:rPr>
          <w:color w:val="000000"/>
          <w:szCs w:val="24"/>
        </w:rPr>
        <w:lastRenderedPageBreak/>
        <w:t>tiekėjas per perkančiosios organizacijos nurodytą terminą neištaisė pasiūlyme nurodytų aritmetinių klaidų ir (ar) nepaaiškino pasiūlymo;</w:t>
      </w:r>
    </w:p>
    <w:p w14:paraId="2AC0AFB7" w14:textId="77777777" w:rsidR="005D7FB2" w:rsidRPr="005D7FB2" w:rsidRDefault="001307B3" w:rsidP="005D7FB2">
      <w:pPr>
        <w:pStyle w:val="Heading2"/>
        <w:numPr>
          <w:ilvl w:val="2"/>
          <w:numId w:val="24"/>
        </w:numPr>
        <w:tabs>
          <w:tab w:val="left" w:pos="993"/>
        </w:tabs>
        <w:ind w:left="0" w:firstLine="680"/>
        <w:rPr>
          <w:szCs w:val="24"/>
        </w:rPr>
      </w:pPr>
      <w:r w:rsidRPr="005D7FB2">
        <w:rPr>
          <w:color w:val="000000"/>
          <w:szCs w:val="24"/>
        </w:rPr>
        <w:t>tiekėjo pateiktame pasiūlyme nurodyta kaina</w:t>
      </w:r>
      <w:r w:rsidR="002B560E" w:rsidRPr="005D7FB2">
        <w:rPr>
          <w:color w:val="000000"/>
          <w:szCs w:val="24"/>
        </w:rPr>
        <w:t xml:space="preserve"> (įkainis)</w:t>
      </w:r>
      <w:r w:rsidRPr="005D7FB2">
        <w:rPr>
          <w:color w:val="000000"/>
          <w:szCs w:val="24"/>
        </w:rPr>
        <w:t xml:space="preserve"> yra neįprastai maža, ir tiekėjas Komisijos prašymu nepateikė kainos</w:t>
      </w:r>
      <w:r w:rsidR="002B560E" w:rsidRPr="005D7FB2">
        <w:rPr>
          <w:color w:val="000000"/>
          <w:szCs w:val="24"/>
        </w:rPr>
        <w:t xml:space="preserve"> (įkainio)</w:t>
      </w:r>
      <w:r w:rsidRPr="005D7FB2">
        <w:rPr>
          <w:color w:val="000000"/>
          <w:szCs w:val="24"/>
        </w:rPr>
        <w:t xml:space="preserve"> sudėtinių dalių ir skaičiavimų pagrindimo arba kitaip nepagrindė neįprastai mažos pasiūlymo kainos</w:t>
      </w:r>
      <w:r w:rsidR="002B560E" w:rsidRPr="005D7FB2">
        <w:rPr>
          <w:color w:val="000000"/>
          <w:szCs w:val="24"/>
        </w:rPr>
        <w:t xml:space="preserve"> (įkainio)</w:t>
      </w:r>
      <w:r w:rsidRPr="005D7FB2">
        <w:rPr>
          <w:color w:val="000000"/>
          <w:szCs w:val="24"/>
        </w:rPr>
        <w:t>;</w:t>
      </w:r>
    </w:p>
    <w:p w14:paraId="3D21CD69" w14:textId="77777777" w:rsidR="001307B3" w:rsidRPr="005D7FB2" w:rsidRDefault="001307B3" w:rsidP="005D7FB2">
      <w:pPr>
        <w:pStyle w:val="Heading2"/>
        <w:numPr>
          <w:ilvl w:val="2"/>
          <w:numId w:val="24"/>
        </w:numPr>
        <w:tabs>
          <w:tab w:val="left" w:pos="993"/>
        </w:tabs>
        <w:ind w:left="0" w:firstLine="680"/>
        <w:rPr>
          <w:szCs w:val="24"/>
        </w:rPr>
      </w:pPr>
      <w:r w:rsidRPr="005D7FB2">
        <w:rPr>
          <w:color w:val="000000"/>
          <w:szCs w:val="24"/>
        </w:rPr>
        <w:t>visų tiekėjų, kurių pasiūlymai neatmesti dėl kitų priežasčių, buvo pasiūlytos per didelės, perkančiajai organizacijai nepriimtinos kainos</w:t>
      </w:r>
      <w:r w:rsidR="002B560E" w:rsidRPr="005D7FB2">
        <w:rPr>
          <w:color w:val="000000"/>
          <w:szCs w:val="24"/>
        </w:rPr>
        <w:t xml:space="preserve"> (įkainio)</w:t>
      </w:r>
      <w:r w:rsidRPr="005D7FB2">
        <w:rPr>
          <w:color w:val="000000"/>
          <w:szCs w:val="24"/>
        </w:rPr>
        <w:t>.</w:t>
      </w:r>
    </w:p>
    <w:p w14:paraId="54D1FC07"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16BE6BF1" w14:textId="106E071E" w:rsidR="00B64D14" w:rsidRPr="00C16430" w:rsidRDefault="001307B3" w:rsidP="00202303">
      <w:pPr>
        <w:pStyle w:val="Heading2"/>
        <w:numPr>
          <w:ilvl w:val="1"/>
          <w:numId w:val="15"/>
        </w:numPr>
        <w:tabs>
          <w:tab w:val="left" w:pos="993"/>
        </w:tabs>
        <w:ind w:left="0" w:firstLine="567"/>
      </w:pPr>
      <w:r w:rsidRPr="00C16430">
        <w:rPr>
          <w:color w:val="000000"/>
        </w:rPr>
        <w:t xml:space="preserve">Komisijos neatmesti pasiūlymai vertinami pagal atskiras pirkimo dalis. </w:t>
      </w:r>
      <w:r w:rsidRPr="00C16430">
        <w:rPr>
          <w:b/>
          <w:color w:val="000000"/>
        </w:rPr>
        <w:t xml:space="preserve">Pasiūlymų vertinimo kriterijus – </w:t>
      </w:r>
      <w:r w:rsidRPr="00C16430">
        <w:rPr>
          <w:b/>
        </w:rPr>
        <w:t>mažiausia pasiūlyta pirkimo dalies kaina</w:t>
      </w:r>
      <w:r w:rsidR="002B560E" w:rsidRPr="00C16430">
        <w:rPr>
          <w:b/>
        </w:rPr>
        <w:t xml:space="preserve"> (įkainis)</w:t>
      </w:r>
      <w:r w:rsidRPr="00C16430">
        <w:rPr>
          <w:b/>
        </w:rPr>
        <w:t xml:space="preserve"> </w:t>
      </w:r>
      <w:r w:rsidR="002B560E" w:rsidRPr="00C16430">
        <w:rPr>
          <w:b/>
        </w:rPr>
        <w:t>procentais</w:t>
      </w:r>
      <w:r w:rsidR="007C246D" w:rsidRPr="00C16430">
        <w:rPr>
          <w:b/>
        </w:rPr>
        <w:t xml:space="preserve"> (</w:t>
      </w:r>
      <w:r w:rsidR="00241D82" w:rsidRPr="00C16430">
        <w:rPr>
          <w:b/>
        </w:rPr>
        <w:t xml:space="preserve">pagal </w:t>
      </w:r>
      <w:r w:rsidR="007C246D" w:rsidRPr="00C16430">
        <w:rPr>
          <w:b/>
        </w:rPr>
        <w:t xml:space="preserve">pirkimo sąlygų 2 priedo Pasiūlymų lentelės </w:t>
      </w:r>
      <w:r w:rsidR="00BD6EDF" w:rsidRPr="00C16430">
        <w:rPr>
          <w:b/>
        </w:rPr>
        <w:t>3</w:t>
      </w:r>
      <w:r w:rsidR="007C246D" w:rsidRPr="00C16430">
        <w:rPr>
          <w:b/>
        </w:rPr>
        <w:t xml:space="preserve"> eilut</w:t>
      </w:r>
      <w:r w:rsidR="00241D82" w:rsidRPr="00C16430">
        <w:rPr>
          <w:b/>
        </w:rPr>
        <w:t>ę</w:t>
      </w:r>
      <w:r w:rsidR="007C246D" w:rsidRPr="00C16430">
        <w:rPr>
          <w:b/>
        </w:rPr>
        <w:t>)</w:t>
      </w:r>
      <w:r w:rsidR="00B64D14" w:rsidRPr="00C16430">
        <w:t xml:space="preserve">. </w:t>
      </w:r>
    </w:p>
    <w:p w14:paraId="223FB666"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0145233A"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r w:rsidR="00A01CDB">
        <w:t>.</w:t>
      </w:r>
    </w:p>
    <w:p w14:paraId="54651613" w14:textId="77777777" w:rsidR="001307B3" w:rsidRPr="00C16430" w:rsidRDefault="001307B3" w:rsidP="00202303">
      <w:pPr>
        <w:pStyle w:val="Heading2"/>
        <w:numPr>
          <w:ilvl w:val="1"/>
          <w:numId w:val="16"/>
        </w:numPr>
        <w:tabs>
          <w:tab w:val="left" w:pos="1134"/>
        </w:tabs>
        <w:ind w:left="0" w:firstLine="567"/>
        <w:rPr>
          <w:iCs/>
          <w:szCs w:val="24"/>
        </w:rPr>
      </w:pPr>
      <w:r w:rsidRPr="00C16430">
        <w:t>Pasiūlymai eilėse surašomi kainos</w:t>
      </w:r>
      <w:r w:rsidR="00CB6A87" w:rsidRPr="00C16430">
        <w:t xml:space="preserve"> (įkainio</w:t>
      </w:r>
      <w:r w:rsidR="002B560E" w:rsidRPr="00C16430">
        <w:t>)</w:t>
      </w:r>
      <w:r w:rsidRPr="00C16430">
        <w:t xml:space="preserve"> didėjimo tvarka. Jeigu kelių pateiktų pasiūlymų yra vienodos kainos</w:t>
      </w:r>
      <w:r w:rsidR="002B560E" w:rsidRPr="00C16430">
        <w:t xml:space="preserve"> (įkainiai)</w:t>
      </w:r>
      <w:r w:rsidRPr="00C16430">
        <w:t xml:space="preserve">, nustatant pasiūlymų eilę pirmesnis į šią eilę įrašomas tiekėjas, kurio pasiūlymas </w:t>
      </w:r>
      <w:r w:rsidR="00CB6A87" w:rsidRPr="00C16430">
        <w:t xml:space="preserve">el. paštu </w:t>
      </w:r>
      <w:r w:rsidRPr="00C16430">
        <w:t>pateiktas anksčiausiai.</w:t>
      </w:r>
    </w:p>
    <w:p w14:paraId="450CC4F9" w14:textId="77777777" w:rsidR="001307B3" w:rsidRPr="001307B3" w:rsidRDefault="001307B3" w:rsidP="00202303">
      <w:pPr>
        <w:pStyle w:val="Heading2"/>
        <w:numPr>
          <w:ilvl w:val="1"/>
          <w:numId w:val="16"/>
        </w:numPr>
        <w:tabs>
          <w:tab w:val="left" w:pos="1134"/>
        </w:tabs>
        <w:ind w:left="0" w:firstLine="567"/>
        <w:rPr>
          <w:iCs/>
          <w:szCs w:val="24"/>
        </w:rPr>
      </w:pPr>
      <w:r>
        <w:t xml:space="preserve">Laimėjusiu pasiūlymas pripažįstamas pasiūlymas esantis pasiūlymų eilės 1 vietoje Viešųjų pirkimų įstatymo, Taisyklių bei šių </w:t>
      </w:r>
      <w:r w:rsidR="0025231C">
        <w:rPr>
          <w:szCs w:val="24"/>
          <w:lang w:eastAsia="lt-LT"/>
        </w:rPr>
        <w:t>pirkimo</w:t>
      </w:r>
      <w:r w:rsidR="0025231C" w:rsidRPr="00AE4450">
        <w:rPr>
          <w:szCs w:val="24"/>
          <w:lang w:eastAsia="lt-LT"/>
        </w:rPr>
        <w:t xml:space="preserve"> </w:t>
      </w:r>
      <w:r>
        <w:t>sąlygų nustatyta tvarka.</w:t>
      </w:r>
    </w:p>
    <w:p w14:paraId="15ED633F" w14:textId="77777777" w:rsidR="001307B3" w:rsidRPr="001307B3" w:rsidRDefault="001307B3" w:rsidP="00202303">
      <w:pPr>
        <w:pStyle w:val="Heading2"/>
        <w:numPr>
          <w:ilvl w:val="1"/>
          <w:numId w:val="16"/>
        </w:numPr>
        <w:tabs>
          <w:tab w:val="left" w:pos="1134"/>
        </w:tabs>
        <w:ind w:left="0" w:firstLine="567"/>
        <w:rPr>
          <w:iCs/>
          <w:szCs w:val="24"/>
        </w:rPr>
      </w:pPr>
      <w:r>
        <w:t xml:space="preserve">Tais atvejais, kai pasiūlymą pateikė tik vienas tiekėjas, pasiūlymų eilė nenustatoma ir jo pasiūlymas laikomas laimėjusiu, jeigu nebuvo atmestas pagal šio </w:t>
      </w:r>
      <w:r w:rsidR="0025231C">
        <w:rPr>
          <w:szCs w:val="24"/>
          <w:lang w:eastAsia="lt-LT"/>
        </w:rPr>
        <w:t>pirkimo</w:t>
      </w:r>
      <w:r w:rsidR="0025231C" w:rsidRPr="00AE4450">
        <w:rPr>
          <w:szCs w:val="24"/>
          <w:lang w:eastAsia="lt-LT"/>
        </w:rPr>
        <w:t xml:space="preserve"> </w:t>
      </w:r>
      <w:r>
        <w:t>sąlygų nuostatas.</w:t>
      </w:r>
    </w:p>
    <w:p w14:paraId="4F0512BF" w14:textId="77777777" w:rsidR="00B64D14" w:rsidRDefault="001307B3" w:rsidP="00202303">
      <w:pPr>
        <w:pStyle w:val="Heading2"/>
        <w:numPr>
          <w:ilvl w:val="1"/>
          <w:numId w:val="16"/>
        </w:numPr>
        <w:tabs>
          <w:tab w:val="left" w:pos="1134"/>
        </w:tabs>
        <w:ind w:left="0" w:firstLine="567"/>
        <w:rPr>
          <w:iCs/>
          <w:szCs w:val="24"/>
        </w:rPr>
      </w:pPr>
      <w:r>
        <w:t xml:space="preserve">Apie pasiūlymų eilės sudarymą ir sprendimą dėl laimėjusio pasiūlymo nedelsiant, bet ne vėliau kaip per 3 darbo dienas nuo jos sudarymo ir sprendimo dėl laimėjusio pasiūlymo, </w:t>
      </w:r>
      <w:r w:rsidR="00182C57">
        <w:t>CVP IS priemonėmis</w:t>
      </w:r>
      <w:r>
        <w:t xml:space="preserve"> pranešama pasiūlymus pateikusiems tiekėjams. Tiekėjams, kurių pasiūlymai neįrašyti į šią eilę, kartu su pranešimu apie nustatytą eilę ir sprendimo dėl laimėjusio pasiūlymo, </w:t>
      </w:r>
      <w:r w:rsidR="00D24B60">
        <w:t>CVP IS priemonėmis</w:t>
      </w:r>
      <w:r>
        <w:t xml:space="preserve"> pranešama ir apie jų pasiūlymų atmetimo priežastis. Jei bus nuspręsta nesudaryti pirkimo sutarties, minėtame pranešime nurodomos tokio sprendimo priežastis</w:t>
      </w:r>
      <w:r>
        <w:rPr>
          <w:iCs/>
          <w:szCs w:val="24"/>
        </w:rPr>
        <w:t>.</w:t>
      </w:r>
    </w:p>
    <w:p w14:paraId="10ACFF55"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57CC2077" w14:textId="77777777" w:rsidR="001307B3" w:rsidRDefault="00B13652" w:rsidP="00202303">
      <w:pPr>
        <w:pStyle w:val="Heading2"/>
        <w:numPr>
          <w:ilvl w:val="1"/>
          <w:numId w:val="17"/>
        </w:numPr>
        <w:tabs>
          <w:tab w:val="left" w:pos="1134"/>
        </w:tabs>
        <w:ind w:left="0" w:firstLine="567"/>
        <w:rPr>
          <w:szCs w:val="24"/>
        </w:rPr>
      </w:pPr>
      <w:r>
        <w:rPr>
          <w:szCs w:val="24"/>
        </w:rPr>
        <w:t>Paslaugų</w:t>
      </w:r>
      <w:r w:rsidR="001307B3" w:rsidRPr="00CD04E7">
        <w:rPr>
          <w:szCs w:val="24"/>
        </w:rPr>
        <w:t xml:space="preserve"> </w:t>
      </w:r>
      <w:r w:rsidR="001307B3">
        <w:rPr>
          <w:szCs w:val="24"/>
        </w:rPr>
        <w:t xml:space="preserve">sutartis sudaroma </w:t>
      </w:r>
      <w:r w:rsidR="00105D76">
        <w:rPr>
          <w:szCs w:val="24"/>
        </w:rPr>
        <w:t>praėjus atidėjimo laikotarpiui</w:t>
      </w:r>
      <w:r w:rsidR="001307B3">
        <w:rPr>
          <w:szCs w:val="24"/>
        </w:rPr>
        <w:t xml:space="preserve">. </w:t>
      </w:r>
      <w:r w:rsidR="00477D88" w:rsidRPr="00276865">
        <w:rPr>
          <w:spacing w:val="-4"/>
          <w:szCs w:val="24"/>
        </w:rPr>
        <w:t>Perkančioji organizacija sudaryti pirkimo sutartį siūlo tam dalyviui, kurio pasiūlymas pripažintas laimėjusiu</w:t>
      </w:r>
      <w:r w:rsidR="00112A60">
        <w:rPr>
          <w:szCs w:val="24"/>
        </w:rPr>
        <w:t>.</w:t>
      </w:r>
    </w:p>
    <w:p w14:paraId="4D066519" w14:textId="77777777" w:rsidR="001307B3" w:rsidRPr="00CA29B8" w:rsidRDefault="00112A60" w:rsidP="00202303">
      <w:pPr>
        <w:pStyle w:val="Heading2"/>
        <w:numPr>
          <w:ilvl w:val="1"/>
          <w:numId w:val="17"/>
        </w:numPr>
        <w:tabs>
          <w:tab w:val="left" w:pos="1134"/>
        </w:tabs>
        <w:ind w:left="0" w:firstLine="567"/>
        <w:rPr>
          <w:szCs w:val="24"/>
        </w:rPr>
      </w:pPr>
      <w:r w:rsidRPr="00CA29B8">
        <w:rPr>
          <w:szCs w:val="24"/>
          <w:lang w:eastAsia="lt-LT"/>
        </w:rPr>
        <w:t>Sudarant pirkimo sutartį negali būti keičiama laimėjusio tiekėjo pasiūlymo kaina</w:t>
      </w:r>
      <w:r w:rsidR="002B560E" w:rsidRPr="00CA29B8">
        <w:rPr>
          <w:szCs w:val="24"/>
          <w:lang w:eastAsia="lt-LT"/>
        </w:rPr>
        <w:t xml:space="preserve"> (įkainis)</w:t>
      </w:r>
      <w:r w:rsidRPr="00CA29B8">
        <w:rPr>
          <w:szCs w:val="24"/>
          <w:lang w:eastAsia="lt-LT"/>
        </w:rPr>
        <w:t xml:space="preserve"> ir pirkimo dokumentuose bei pasiūlyme nustatytos pirkimo sąlygos.</w:t>
      </w:r>
    </w:p>
    <w:p w14:paraId="09615131" w14:textId="77777777" w:rsidR="001307B3" w:rsidRDefault="0025231C" w:rsidP="00202303">
      <w:pPr>
        <w:pStyle w:val="Heading2"/>
        <w:numPr>
          <w:ilvl w:val="1"/>
          <w:numId w:val="17"/>
        </w:numPr>
        <w:tabs>
          <w:tab w:val="left" w:pos="1134"/>
        </w:tabs>
        <w:ind w:left="0" w:firstLine="567"/>
        <w:rPr>
          <w:szCs w:val="24"/>
        </w:rPr>
      </w:pPr>
      <w:r>
        <w:rPr>
          <w:spacing w:val="-4"/>
          <w:szCs w:val="24"/>
        </w:rPr>
        <w:t>Pirkimą</w:t>
      </w:r>
      <w:r w:rsidR="00477D88" w:rsidRPr="00276865">
        <w:rPr>
          <w:spacing w:val="-4"/>
          <w:szCs w:val="24"/>
        </w:rPr>
        <w:t xml:space="preserve"> laimėjęs dalyvis privalo pasirašyti pirkimo sutartį per Perkančiosios organizacijos nurodytą terminą. Pirkimo sutarčiai pasirašyti laikas gali būti nustatomas atskiru pranešimu arba nurodomas pranešime apie laimėjusį pasiūlymą</w:t>
      </w:r>
      <w:r w:rsidR="00477D88">
        <w:rPr>
          <w:spacing w:val="-4"/>
          <w:szCs w:val="24"/>
        </w:rPr>
        <w:t>.</w:t>
      </w:r>
    </w:p>
    <w:p w14:paraId="757487DC" w14:textId="77777777" w:rsidR="001307B3" w:rsidRDefault="00477D88" w:rsidP="00202303">
      <w:pPr>
        <w:pStyle w:val="Heading2"/>
        <w:numPr>
          <w:ilvl w:val="1"/>
          <w:numId w:val="17"/>
        </w:numPr>
        <w:tabs>
          <w:tab w:val="left" w:pos="1134"/>
        </w:tabs>
        <w:ind w:left="0" w:firstLine="567"/>
        <w:rPr>
          <w:szCs w:val="24"/>
        </w:rPr>
      </w:pPr>
      <w:r w:rsidRPr="00276865">
        <w:rPr>
          <w:spacing w:val="-4"/>
          <w:szCs w:val="24"/>
        </w:rPr>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r>
        <w:rPr>
          <w:spacing w:val="-4"/>
          <w:szCs w:val="24"/>
        </w:rPr>
        <w:t>.</w:t>
      </w:r>
    </w:p>
    <w:p w14:paraId="128CF291" w14:textId="77777777" w:rsidR="005A28A9" w:rsidRPr="005A28A9" w:rsidRDefault="005A28A9" w:rsidP="005A28A9">
      <w:pPr>
        <w:rPr>
          <w:lang w:val="lt-LT"/>
        </w:rPr>
      </w:pPr>
    </w:p>
    <w:p w14:paraId="44427107" w14:textId="77777777" w:rsidR="005A28A9" w:rsidRPr="005A28A9" w:rsidRDefault="005A28A9" w:rsidP="005A28A9">
      <w:pPr>
        <w:rPr>
          <w:lang w:val="lt-LT"/>
        </w:rPr>
      </w:pPr>
    </w:p>
    <w:p w14:paraId="43F6F6E7" w14:textId="77777777" w:rsidR="007C6A12" w:rsidRDefault="007C6A12" w:rsidP="00300059">
      <w:pPr>
        <w:ind w:right="-178"/>
        <w:rPr>
          <w:sz w:val="16"/>
          <w:szCs w:val="16"/>
          <w:lang w:val="lt-LT"/>
        </w:rPr>
      </w:pPr>
    </w:p>
    <w:p w14:paraId="746AE231" w14:textId="77777777" w:rsidR="005A28A9" w:rsidRPr="00955A40" w:rsidRDefault="005A28A9">
      <w:pPr>
        <w:rPr>
          <w:lang w:val="lt-LT"/>
        </w:rPr>
      </w:pPr>
      <w:r w:rsidRPr="00955A40">
        <w:rPr>
          <w:lang w:val="lt-LT"/>
        </w:rPr>
        <w:br w:type="page"/>
      </w:r>
    </w:p>
    <w:tbl>
      <w:tblPr>
        <w:tblW w:w="2760" w:type="dxa"/>
        <w:tblInd w:w="6948" w:type="dxa"/>
        <w:tblLook w:val="01E0" w:firstRow="1" w:lastRow="1" w:firstColumn="1" w:lastColumn="1" w:noHBand="0" w:noVBand="0"/>
      </w:tblPr>
      <w:tblGrid>
        <w:gridCol w:w="2760"/>
      </w:tblGrid>
      <w:tr w:rsidR="005A28A9" w14:paraId="64ED460B" w14:textId="77777777" w:rsidTr="00115723">
        <w:tc>
          <w:tcPr>
            <w:tcW w:w="2760" w:type="dxa"/>
            <w:hideMark/>
          </w:tcPr>
          <w:p w14:paraId="43746FAE" w14:textId="77777777" w:rsidR="005A28A9" w:rsidRDefault="0025231C" w:rsidP="00115723">
            <w:proofErr w:type="spellStart"/>
            <w:r>
              <w:lastRenderedPageBreak/>
              <w:t>Pirkimo</w:t>
            </w:r>
            <w:proofErr w:type="spellEnd"/>
            <w:r w:rsidR="005A28A9">
              <w:t xml:space="preserve"> </w:t>
            </w:r>
            <w:proofErr w:type="spellStart"/>
            <w:r w:rsidR="005A28A9">
              <w:t>sąlygų</w:t>
            </w:r>
            <w:proofErr w:type="spellEnd"/>
          </w:p>
        </w:tc>
      </w:tr>
      <w:tr w:rsidR="005A28A9" w14:paraId="1769B427" w14:textId="77777777" w:rsidTr="00115723">
        <w:tc>
          <w:tcPr>
            <w:tcW w:w="2760" w:type="dxa"/>
          </w:tcPr>
          <w:p w14:paraId="7DA4FA0C" w14:textId="77777777" w:rsidR="005A28A9" w:rsidRDefault="005A28A9" w:rsidP="00115723">
            <w:r>
              <w:t xml:space="preserve">1 </w:t>
            </w:r>
            <w:proofErr w:type="spellStart"/>
            <w:r>
              <w:t>priedas</w:t>
            </w:r>
            <w:proofErr w:type="spellEnd"/>
          </w:p>
          <w:p w14:paraId="3D198756" w14:textId="77777777" w:rsidR="005A28A9" w:rsidRDefault="005A28A9" w:rsidP="00115723"/>
        </w:tc>
      </w:tr>
    </w:tbl>
    <w:p w14:paraId="49F9A972" w14:textId="77777777" w:rsidR="00EA07EE" w:rsidRPr="00B13652" w:rsidRDefault="00EA07EE" w:rsidP="00EA07EE">
      <w:pPr>
        <w:pStyle w:val="BodyText"/>
        <w:ind w:left="709"/>
        <w:jc w:val="center"/>
        <w:rPr>
          <w:sz w:val="24"/>
          <w:szCs w:val="24"/>
        </w:rPr>
      </w:pPr>
      <w:r>
        <w:rPr>
          <w:sz w:val="24"/>
          <w:szCs w:val="24"/>
        </w:rPr>
        <w:t xml:space="preserve">LIZINGO </w:t>
      </w:r>
      <w:r w:rsidRPr="00B13652">
        <w:rPr>
          <w:sz w:val="24"/>
          <w:szCs w:val="24"/>
        </w:rPr>
        <w:t>PASLAUGŲ PIRKIMO</w:t>
      </w:r>
    </w:p>
    <w:p w14:paraId="09E666D7" w14:textId="77777777" w:rsidR="00EA07EE" w:rsidRDefault="00EA07EE" w:rsidP="00EA07EE">
      <w:pPr>
        <w:pStyle w:val="BodyText"/>
        <w:ind w:left="709"/>
        <w:jc w:val="center"/>
        <w:rPr>
          <w:sz w:val="24"/>
          <w:szCs w:val="24"/>
        </w:rPr>
      </w:pPr>
    </w:p>
    <w:p w14:paraId="6703F336" w14:textId="77777777" w:rsidR="00EA07EE" w:rsidRPr="00B13652" w:rsidRDefault="00EA07EE" w:rsidP="00EA07EE">
      <w:pPr>
        <w:pStyle w:val="BodyText"/>
        <w:ind w:left="709"/>
        <w:jc w:val="center"/>
        <w:rPr>
          <w:sz w:val="24"/>
          <w:szCs w:val="24"/>
        </w:rPr>
      </w:pPr>
      <w:r w:rsidRPr="00B13652">
        <w:rPr>
          <w:sz w:val="24"/>
          <w:szCs w:val="24"/>
        </w:rPr>
        <w:t xml:space="preserve">TECHNINĖ SPECIFIKACIJA </w:t>
      </w:r>
    </w:p>
    <w:p w14:paraId="1D9645CC" w14:textId="77777777" w:rsidR="00EA07EE" w:rsidRPr="00B13652" w:rsidRDefault="00EA07EE" w:rsidP="00EA07EE">
      <w:pPr>
        <w:pStyle w:val="BodyText"/>
        <w:rPr>
          <w:sz w:val="24"/>
          <w:szCs w:val="24"/>
        </w:rPr>
      </w:pPr>
    </w:p>
    <w:p w14:paraId="29005B28" w14:textId="77777777" w:rsidR="00EA07EE" w:rsidRPr="005076B1" w:rsidRDefault="00EA07EE" w:rsidP="00EA07EE">
      <w:pPr>
        <w:pStyle w:val="BodyText"/>
        <w:ind w:left="709"/>
        <w:rPr>
          <w:b w:val="0"/>
          <w:sz w:val="24"/>
          <w:szCs w:val="24"/>
        </w:rPr>
      </w:pPr>
    </w:p>
    <w:p w14:paraId="0DB5E247" w14:textId="77777777" w:rsidR="00EA07EE" w:rsidRDefault="00EA07EE" w:rsidP="00EA07EE">
      <w:pPr>
        <w:ind w:firstLine="851"/>
        <w:jc w:val="both"/>
        <w:rPr>
          <w:lang w:val="lt-LT"/>
        </w:rPr>
      </w:pPr>
      <w:r>
        <w:rPr>
          <w:lang w:val="lt-LT"/>
        </w:rPr>
        <w:t>1. Lizingo suma – 217437,00 Eur (du šimtai septyniolika tūkstančių keturi šimtai trisdešimt septyni eur).</w:t>
      </w:r>
    </w:p>
    <w:p w14:paraId="15B681FB" w14:textId="77777777" w:rsidR="00EA07EE" w:rsidRDefault="00EA07EE" w:rsidP="00EA07EE">
      <w:pPr>
        <w:ind w:firstLine="851"/>
        <w:jc w:val="both"/>
        <w:rPr>
          <w:lang w:val="lt-LT"/>
        </w:rPr>
      </w:pPr>
      <w:r>
        <w:rPr>
          <w:lang w:val="lt-LT"/>
        </w:rPr>
        <w:t xml:space="preserve">2. Valiuta – eurai. </w:t>
      </w:r>
    </w:p>
    <w:p w14:paraId="15A538E7" w14:textId="04BB837E" w:rsidR="00EA07EE" w:rsidRDefault="00EA07EE" w:rsidP="00EA07EE">
      <w:pPr>
        <w:ind w:firstLine="851"/>
        <w:jc w:val="both"/>
        <w:rPr>
          <w:lang w:val="lt-LT"/>
        </w:rPr>
      </w:pPr>
      <w:r>
        <w:rPr>
          <w:lang w:val="lt-LT"/>
        </w:rPr>
        <w:t xml:space="preserve">3. Sutarties terminas – </w:t>
      </w:r>
      <w:r>
        <w:rPr>
          <w:b/>
          <w:u w:val="single"/>
          <w:lang w:val="lt-LT"/>
        </w:rPr>
        <w:t>nuo 2025-12-15 iki 2030-12-15,</w:t>
      </w:r>
      <w:r>
        <w:rPr>
          <w:lang w:val="lt-LT"/>
        </w:rPr>
        <w:t xml:space="preserve"> t. y. 60 mėn. nuo Lizingo sutarties sudarymo dienos iki visos paskolos grąžinimo dienos.</w:t>
      </w:r>
    </w:p>
    <w:p w14:paraId="7E84AAAA" w14:textId="77777777" w:rsidR="00EA07EE" w:rsidRDefault="00EA07EE" w:rsidP="00EA07EE">
      <w:pPr>
        <w:ind w:firstLine="851"/>
        <w:jc w:val="both"/>
        <w:rPr>
          <w:lang w:val="lt-LT"/>
        </w:rPr>
      </w:pPr>
      <w:r>
        <w:rPr>
          <w:lang w:val="lt-LT"/>
        </w:rPr>
        <w:t>4. Palūkanos: kintamos 6 mėnesių EURIBOR palūkanos plius fiksuota (nekintama) tiekėjo palūkanų marža. Pastaba: 6 mėnesių EURIBOR skaičiuojamas naudojant galiojusį 6 mėn. EURIBOR.</w:t>
      </w:r>
    </w:p>
    <w:p w14:paraId="4294372A" w14:textId="77777777" w:rsidR="00EA07EE" w:rsidRDefault="00EA07EE" w:rsidP="00EA07EE">
      <w:pPr>
        <w:ind w:firstLine="851"/>
        <w:jc w:val="both"/>
        <w:rPr>
          <w:highlight w:val="yellow"/>
          <w:lang w:val="lt-LT"/>
        </w:rPr>
      </w:pPr>
      <w:r>
        <w:rPr>
          <w:lang w:val="lt-LT"/>
        </w:rPr>
        <w:t>5. Lizingo paskirtis – perkamas turtas IVECO S-WAY AD260S36Y/FS-ZOELLER Medium X4, 2025 m.</w:t>
      </w:r>
    </w:p>
    <w:p w14:paraId="4B152664" w14:textId="77777777" w:rsidR="00EA07EE" w:rsidRDefault="00EA07EE" w:rsidP="00EA07EE">
      <w:pPr>
        <w:ind w:firstLine="851"/>
        <w:jc w:val="both"/>
        <w:rPr>
          <w:lang w:val="lt-LT"/>
        </w:rPr>
      </w:pPr>
      <w:r>
        <w:rPr>
          <w:lang w:val="lt-LT"/>
        </w:rPr>
        <w:t>6. Lizingo paėmimas – visą lizingo sumą perkančioji organizacija paima atsiskaityti su turto pardavėju.</w:t>
      </w:r>
    </w:p>
    <w:p w14:paraId="056EA5E5" w14:textId="77777777" w:rsidR="00EA07EE" w:rsidRDefault="00EA07EE" w:rsidP="00EA07EE">
      <w:pPr>
        <w:ind w:firstLine="851"/>
        <w:jc w:val="both"/>
        <w:rPr>
          <w:lang w:val="lt-LT"/>
        </w:rPr>
      </w:pPr>
      <w:r>
        <w:rPr>
          <w:lang w:val="lt-LT"/>
        </w:rPr>
        <w:t xml:space="preserve">7. Lizingo grąžinimo grafikas – lizingą perkančioji organizacija grąžina termino pabaigoje. </w:t>
      </w:r>
    </w:p>
    <w:p w14:paraId="00DEF453" w14:textId="77777777" w:rsidR="00EA07EE" w:rsidRDefault="00EA07EE" w:rsidP="00EA07EE">
      <w:pPr>
        <w:ind w:firstLine="851"/>
        <w:jc w:val="both"/>
        <w:rPr>
          <w:lang w:val="lt-LT"/>
        </w:rPr>
      </w:pPr>
      <w:r>
        <w:rPr>
          <w:lang w:val="lt-LT"/>
        </w:rPr>
        <w:t xml:space="preserve">8. Neturi būti su lizingo administravimo ir grąžinimu susijusių mokesčių (mokėjimų) tiekėjui: paskolos administravimo, dokumentų parengimo, išankstinio paskolos grąžinimo, valiutų konvertavimo, </w:t>
      </w:r>
      <w:r>
        <w:rPr>
          <w:b/>
          <w:u w:val="single"/>
          <w:lang w:val="lt-LT"/>
        </w:rPr>
        <w:t>išskyrus įsipareigojimo mokesčio ir palūkanos maržos</w:t>
      </w:r>
      <w:r>
        <w:rPr>
          <w:lang w:val="lt-LT"/>
        </w:rPr>
        <w:t>.</w:t>
      </w:r>
    </w:p>
    <w:p w14:paraId="044FB520" w14:textId="77777777" w:rsidR="00EA07EE" w:rsidRDefault="00EA07EE" w:rsidP="00EA07EE">
      <w:pPr>
        <w:ind w:firstLine="851"/>
        <w:jc w:val="both"/>
        <w:rPr>
          <w:lang w:val="lt-LT"/>
        </w:rPr>
      </w:pPr>
      <w:r>
        <w:rPr>
          <w:lang w:val="lt-LT"/>
        </w:rPr>
        <w:t>9. Perkančioji organizacija turi teisę grąžinti lizingą anksčiau sutartyje nurodyto termino be kreditoriaus sutikimo ir be papildomų mokesčių. Sutartyje negali būti numatytos minimalios ar maksimalios lizingo grąžinimo prieš terminą sumos.</w:t>
      </w:r>
    </w:p>
    <w:p w14:paraId="00E43D1C" w14:textId="77777777" w:rsidR="00EA07EE" w:rsidRDefault="00EA07EE" w:rsidP="00EA07EE">
      <w:pPr>
        <w:ind w:firstLine="851"/>
        <w:jc w:val="both"/>
        <w:rPr>
          <w:lang w:val="lt-LT"/>
        </w:rPr>
      </w:pPr>
      <w:r>
        <w:rPr>
          <w:lang w:val="lt-LT"/>
        </w:rPr>
        <w:t>10. Užtikrinimo priemonės – sąskaitos įkeitimas.</w:t>
      </w:r>
    </w:p>
    <w:p w14:paraId="5087EE74" w14:textId="1D6999F4" w:rsidR="00B13652" w:rsidRDefault="00EA07EE" w:rsidP="00EA07EE">
      <w:pPr>
        <w:ind w:firstLine="851"/>
        <w:jc w:val="both"/>
        <w:rPr>
          <w:lang w:val="lt-LT"/>
        </w:rPr>
      </w:pPr>
      <w:r>
        <w:rPr>
          <w:lang w:val="lt-LT"/>
        </w:rPr>
        <w:t xml:space="preserve">11. Sutartyje negali būti numatyti didesni kaip 0,03 procento dydžio delspinigiai, kuriuos moka </w:t>
      </w:r>
      <w:r w:rsidR="00CA29B8">
        <w:rPr>
          <w:lang w:val="lt-LT"/>
        </w:rPr>
        <w:t>lizingo</w:t>
      </w:r>
      <w:r>
        <w:rPr>
          <w:lang w:val="lt-LT"/>
        </w:rPr>
        <w:t xml:space="preserve"> gavėjas už kiekvieną pradelstą lizingo grąžinimo ir/ar palūkanų mokėjimo dieną.</w:t>
      </w:r>
    </w:p>
    <w:p w14:paraId="1C3F9AC0" w14:textId="79C05982" w:rsidR="00530D0C" w:rsidRDefault="00530D0C">
      <w:pPr>
        <w:rPr>
          <w:lang w:val="lt-LT"/>
        </w:rPr>
      </w:pPr>
      <w:r>
        <w:rPr>
          <w:lang w:val="lt-LT"/>
        </w:rPr>
        <w:br w:type="page"/>
      </w:r>
    </w:p>
    <w:p w14:paraId="4F207DF5" w14:textId="77777777" w:rsidR="005A28A9" w:rsidRPr="005F650D" w:rsidRDefault="0025231C" w:rsidP="005A28A9">
      <w:pPr>
        <w:ind w:left="5529"/>
        <w:rPr>
          <w:lang w:val="lt-LT"/>
        </w:rPr>
      </w:pPr>
      <w:r w:rsidRPr="005F650D">
        <w:rPr>
          <w:lang w:val="lt-LT"/>
        </w:rPr>
        <w:lastRenderedPageBreak/>
        <w:t>Pirkimo</w:t>
      </w:r>
      <w:r w:rsidR="005A28A9" w:rsidRPr="005F650D">
        <w:rPr>
          <w:lang w:val="lt-LT"/>
        </w:rPr>
        <w:t xml:space="preserve"> sąlygų</w:t>
      </w:r>
    </w:p>
    <w:p w14:paraId="2C8D016A" w14:textId="77777777" w:rsidR="005A28A9" w:rsidRPr="005F650D" w:rsidRDefault="002749A3" w:rsidP="005A28A9">
      <w:pPr>
        <w:ind w:left="5529"/>
        <w:rPr>
          <w:lang w:val="lt-LT"/>
        </w:rPr>
      </w:pPr>
      <w:r w:rsidRPr="005F650D">
        <w:rPr>
          <w:lang w:val="lt-LT"/>
        </w:rPr>
        <w:t xml:space="preserve">2 </w:t>
      </w:r>
      <w:r w:rsidR="005A28A9" w:rsidRPr="005F650D">
        <w:rPr>
          <w:lang w:val="lt-LT"/>
        </w:rPr>
        <w:t xml:space="preserve">priedas </w:t>
      </w:r>
    </w:p>
    <w:p w14:paraId="387BF814" w14:textId="77777777" w:rsidR="005A28A9" w:rsidRPr="005F650D" w:rsidRDefault="005A28A9" w:rsidP="005A28A9">
      <w:pPr>
        <w:ind w:left="5529"/>
        <w:jc w:val="both"/>
        <w:rPr>
          <w:lang w:val="lt-LT"/>
        </w:rPr>
      </w:pPr>
    </w:p>
    <w:p w14:paraId="06E8F66E" w14:textId="77777777" w:rsidR="005A28A9" w:rsidRDefault="005A28A9" w:rsidP="005A28A9">
      <w:pPr>
        <w:pStyle w:val="Standard"/>
        <w:tabs>
          <w:tab w:val="left" w:pos="12758"/>
        </w:tabs>
        <w:rPr>
          <w:lang w:val="lt-LT"/>
        </w:rPr>
      </w:pPr>
    </w:p>
    <w:p w14:paraId="3242814D" w14:textId="77777777" w:rsidR="00CB4CF8" w:rsidRDefault="00CB4CF8" w:rsidP="00CB4CF8">
      <w:pPr>
        <w:ind w:right="-178"/>
        <w:jc w:val="center"/>
        <w:rPr>
          <w:lang w:val="lt-LT"/>
        </w:rPr>
      </w:pPr>
      <w:r>
        <w:rPr>
          <w:lang w:val="lt-LT"/>
        </w:rPr>
        <w:t>Herbas arba prekių ženklas</w:t>
      </w:r>
    </w:p>
    <w:p w14:paraId="3C672850" w14:textId="77777777" w:rsidR="00CB4CF8" w:rsidRDefault="00CB4CF8" w:rsidP="00CB4CF8">
      <w:pPr>
        <w:ind w:right="-178"/>
        <w:jc w:val="center"/>
        <w:rPr>
          <w:lang w:val="lt-LT"/>
        </w:rPr>
      </w:pPr>
    </w:p>
    <w:p w14:paraId="5C824786" w14:textId="77777777" w:rsidR="00CB4CF8" w:rsidRDefault="00CB4CF8" w:rsidP="00CB4CF8">
      <w:pPr>
        <w:ind w:right="-178"/>
        <w:jc w:val="center"/>
        <w:rPr>
          <w:lang w:val="lt-LT"/>
        </w:rPr>
      </w:pPr>
      <w:r>
        <w:rPr>
          <w:lang w:val="lt-LT"/>
        </w:rPr>
        <w:t>(Tiekėjo pavadinimas)</w:t>
      </w:r>
    </w:p>
    <w:p w14:paraId="0CFEBDF1" w14:textId="77777777" w:rsidR="00CB4CF8" w:rsidRDefault="00CB4CF8" w:rsidP="00CB4CF8">
      <w:pPr>
        <w:ind w:right="-178"/>
        <w:jc w:val="center"/>
        <w:rPr>
          <w:lang w:val="lt-LT"/>
        </w:rPr>
      </w:pPr>
    </w:p>
    <w:p w14:paraId="23C98D5C" w14:textId="77777777" w:rsidR="00CB4CF8" w:rsidRDefault="00CB4CF8" w:rsidP="00CB4CF8">
      <w:pPr>
        <w:ind w:right="-178"/>
        <w:jc w:val="center"/>
        <w:rPr>
          <w:lang w:val="lt-LT"/>
        </w:rPr>
      </w:pPr>
      <w:r>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0CEDA" w14:textId="77777777" w:rsidR="00CB4CF8" w:rsidRDefault="00CB4CF8" w:rsidP="00CB4CF8">
      <w:pPr>
        <w:ind w:right="-178"/>
        <w:jc w:val="center"/>
        <w:rPr>
          <w:lang w:val="lt-LT"/>
        </w:rPr>
      </w:pPr>
    </w:p>
    <w:p w14:paraId="7F4C3F28" w14:textId="77777777" w:rsidR="00CB4CF8" w:rsidRDefault="00CB4CF8" w:rsidP="00CB4CF8">
      <w:pPr>
        <w:jc w:val="both"/>
        <w:rPr>
          <w:lang w:val="lt-LT"/>
        </w:rPr>
      </w:pPr>
      <w:r>
        <w:rPr>
          <w:lang w:val="lt-LT"/>
        </w:rPr>
        <w:t>__________________________</w:t>
      </w:r>
    </w:p>
    <w:p w14:paraId="2B1FEA0D" w14:textId="77777777" w:rsidR="00CB4CF8" w:rsidRDefault="00CB4CF8" w:rsidP="00CB4CF8">
      <w:pPr>
        <w:tabs>
          <w:tab w:val="center" w:pos="2520"/>
        </w:tabs>
        <w:jc w:val="both"/>
        <w:rPr>
          <w:lang w:val="lt-LT"/>
        </w:rPr>
      </w:pPr>
      <w:r>
        <w:rPr>
          <w:lang w:val="lt-LT"/>
        </w:rPr>
        <w:t>(Adresatas (perkančioji organizacija))</w:t>
      </w:r>
    </w:p>
    <w:p w14:paraId="0262CCC4" w14:textId="77777777" w:rsidR="00CB4CF8" w:rsidRDefault="00CB4CF8" w:rsidP="00CB4CF8">
      <w:pPr>
        <w:rPr>
          <w:lang w:val="lt-LT"/>
        </w:rPr>
      </w:pPr>
    </w:p>
    <w:p w14:paraId="23563F17" w14:textId="77777777" w:rsidR="00F5504E" w:rsidRDefault="00CB4CF8" w:rsidP="00CB4CF8">
      <w:pPr>
        <w:jc w:val="center"/>
        <w:rPr>
          <w:b/>
          <w:lang w:val="lt-LT"/>
        </w:rPr>
      </w:pPr>
      <w:r w:rsidRPr="00CF72AB">
        <w:rPr>
          <w:b/>
          <w:lang w:val="lt-LT"/>
        </w:rPr>
        <w:t>PA</w:t>
      </w:r>
      <w:r>
        <w:rPr>
          <w:b/>
          <w:lang w:val="lt-LT"/>
        </w:rPr>
        <w:t>SIŪLYMAS</w:t>
      </w:r>
    </w:p>
    <w:p w14:paraId="3EBF1E90" w14:textId="27228F38" w:rsidR="00CB4CF8" w:rsidRPr="00CF72AB" w:rsidRDefault="00CB4CF8" w:rsidP="00CB4CF8">
      <w:pPr>
        <w:jc w:val="center"/>
        <w:rPr>
          <w:b/>
          <w:lang w:val="lt-LT"/>
        </w:rPr>
      </w:pPr>
      <w:r>
        <w:rPr>
          <w:b/>
          <w:lang w:val="lt-LT"/>
        </w:rPr>
        <w:t xml:space="preserve">DĖL </w:t>
      </w:r>
      <w:r w:rsidR="001157EB">
        <w:rPr>
          <w:b/>
          <w:lang w:val="lt-LT"/>
        </w:rPr>
        <w:t>LIZINGO</w:t>
      </w:r>
      <w:r w:rsidRPr="00CF72AB">
        <w:rPr>
          <w:b/>
          <w:lang w:val="lt-LT"/>
        </w:rPr>
        <w:t xml:space="preserve"> PASLAUGŲ PIRKIMO</w:t>
      </w:r>
    </w:p>
    <w:p w14:paraId="4504568D" w14:textId="77777777" w:rsidR="00CB4CF8" w:rsidRDefault="00CB4CF8" w:rsidP="00CB4CF8">
      <w:pPr>
        <w:rPr>
          <w:lang w:val="pt-BR"/>
        </w:rPr>
      </w:pPr>
    </w:p>
    <w:p w14:paraId="527929B3" w14:textId="77777777" w:rsidR="00CB4CF8" w:rsidRDefault="00CB4CF8" w:rsidP="00CB4CF8">
      <w:pPr>
        <w:jc w:val="center"/>
        <w:rPr>
          <w:sz w:val="22"/>
          <w:szCs w:val="22"/>
          <w:lang w:val="pt-BR"/>
        </w:rPr>
      </w:pPr>
      <w:r>
        <w:rPr>
          <w:sz w:val="22"/>
          <w:szCs w:val="22"/>
          <w:lang w:val="pt-BR"/>
        </w:rPr>
        <w:t>____________________</w:t>
      </w:r>
    </w:p>
    <w:p w14:paraId="0D41A700" w14:textId="77777777" w:rsidR="00CB4CF8" w:rsidRDefault="00CB4CF8" w:rsidP="00CB4CF8">
      <w:pPr>
        <w:jc w:val="center"/>
        <w:rPr>
          <w:sz w:val="18"/>
          <w:szCs w:val="18"/>
          <w:lang w:val="pt-BR"/>
        </w:rPr>
      </w:pPr>
      <w:r>
        <w:rPr>
          <w:sz w:val="18"/>
          <w:szCs w:val="18"/>
          <w:lang w:val="pt-BR"/>
        </w:rPr>
        <w:t>(Data)</w:t>
      </w:r>
    </w:p>
    <w:p w14:paraId="2AB05EDA" w14:textId="77777777" w:rsidR="00CB4CF8" w:rsidRDefault="00CB4CF8" w:rsidP="00CB4CF8">
      <w:pPr>
        <w:jc w:val="center"/>
        <w:rPr>
          <w:sz w:val="22"/>
          <w:szCs w:val="22"/>
          <w:lang w:val="pt-BR"/>
        </w:rPr>
      </w:pPr>
      <w:r>
        <w:rPr>
          <w:sz w:val="22"/>
          <w:szCs w:val="22"/>
          <w:lang w:val="pt-BR"/>
        </w:rPr>
        <w:t>____________________</w:t>
      </w:r>
    </w:p>
    <w:p w14:paraId="4B339F58" w14:textId="77777777" w:rsidR="00CB4CF8" w:rsidRDefault="00CB4CF8" w:rsidP="00CB4CF8">
      <w:pPr>
        <w:jc w:val="center"/>
        <w:rPr>
          <w:sz w:val="18"/>
          <w:szCs w:val="18"/>
          <w:lang w:val="pt-BR"/>
        </w:rPr>
      </w:pPr>
      <w:r>
        <w:rPr>
          <w:sz w:val="18"/>
          <w:szCs w:val="18"/>
          <w:lang w:val="pt-BR"/>
        </w:rPr>
        <w:t>(Vieta)</w:t>
      </w:r>
    </w:p>
    <w:p w14:paraId="1674DE1E" w14:textId="77777777" w:rsidR="00CB4CF8" w:rsidRDefault="00CB4CF8" w:rsidP="00CB4CF8">
      <w:pPr>
        <w:jc w:val="center"/>
        <w:rPr>
          <w:sz w:val="18"/>
          <w:szCs w:val="18"/>
          <w:lang w:val="pt-BR"/>
        </w:rPr>
      </w:pPr>
    </w:p>
    <w:p w14:paraId="1C79F500" w14:textId="77777777" w:rsidR="00CB4CF8" w:rsidRDefault="00CB4CF8" w:rsidP="00CB4CF8">
      <w:pPr>
        <w:jc w:val="cente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B4CF8" w14:paraId="589922EE" w14:textId="77777777" w:rsidTr="008308B6">
        <w:tc>
          <w:tcPr>
            <w:tcW w:w="4644" w:type="dxa"/>
            <w:tcBorders>
              <w:top w:val="single" w:sz="4" w:space="0" w:color="auto"/>
              <w:left w:val="single" w:sz="4" w:space="0" w:color="auto"/>
              <w:bottom w:val="single" w:sz="4" w:space="0" w:color="auto"/>
              <w:right w:val="single" w:sz="4" w:space="0" w:color="auto"/>
            </w:tcBorders>
            <w:hideMark/>
          </w:tcPr>
          <w:p w14:paraId="0DB8BB26" w14:textId="77777777" w:rsidR="00CB4CF8" w:rsidRDefault="00CB4CF8" w:rsidP="008308B6">
            <w:pPr>
              <w:rPr>
                <w:sz w:val="22"/>
                <w:szCs w:val="22"/>
              </w:rPr>
            </w:pPr>
            <w:r>
              <w:rPr>
                <w:sz w:val="22"/>
                <w:szCs w:val="22"/>
                <w:lang w:val="pt-BR"/>
              </w:rPr>
              <w:t>Tiekėj</w:t>
            </w:r>
            <w:r>
              <w:rPr>
                <w:sz w:val="22"/>
                <w:szCs w:val="22"/>
              </w:rPr>
              <w:t xml:space="preserve">o </w:t>
            </w:r>
            <w:proofErr w:type="spellStart"/>
            <w:r>
              <w:rPr>
                <w:sz w:val="22"/>
                <w:szCs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02F0527C" w14:textId="77777777" w:rsidR="00CB4CF8" w:rsidRDefault="00CB4CF8" w:rsidP="008308B6">
            <w:pPr>
              <w:rPr>
                <w:sz w:val="22"/>
                <w:szCs w:val="22"/>
              </w:rPr>
            </w:pPr>
          </w:p>
        </w:tc>
      </w:tr>
      <w:tr w:rsidR="00CB4CF8" w14:paraId="09D05CEC" w14:textId="77777777" w:rsidTr="008308B6">
        <w:tc>
          <w:tcPr>
            <w:tcW w:w="4644" w:type="dxa"/>
            <w:tcBorders>
              <w:top w:val="single" w:sz="4" w:space="0" w:color="auto"/>
              <w:left w:val="single" w:sz="4" w:space="0" w:color="auto"/>
              <w:bottom w:val="single" w:sz="4" w:space="0" w:color="auto"/>
              <w:right w:val="single" w:sz="4" w:space="0" w:color="auto"/>
            </w:tcBorders>
            <w:hideMark/>
          </w:tcPr>
          <w:p w14:paraId="05DDF409" w14:textId="77777777" w:rsidR="00CB4CF8" w:rsidRDefault="00CB4CF8" w:rsidP="008308B6">
            <w:pPr>
              <w:rPr>
                <w:sz w:val="22"/>
                <w:szCs w:val="22"/>
              </w:rPr>
            </w:pPr>
            <w:proofErr w:type="spellStart"/>
            <w:r>
              <w:rPr>
                <w:sz w:val="22"/>
                <w:szCs w:val="22"/>
              </w:rPr>
              <w:t>Tiekėjo</w:t>
            </w:r>
            <w:proofErr w:type="spellEnd"/>
            <w:r>
              <w:rPr>
                <w:sz w:val="22"/>
                <w:szCs w:val="22"/>
              </w:rPr>
              <w:t xml:space="preserve"> </w:t>
            </w:r>
            <w:proofErr w:type="spellStart"/>
            <w:r>
              <w:rPr>
                <w:sz w:val="22"/>
                <w:szCs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2EE7B325" w14:textId="77777777" w:rsidR="00CB4CF8" w:rsidRDefault="00CB4CF8" w:rsidP="008308B6">
            <w:pPr>
              <w:rPr>
                <w:sz w:val="22"/>
                <w:szCs w:val="22"/>
              </w:rPr>
            </w:pPr>
          </w:p>
        </w:tc>
      </w:tr>
      <w:tr w:rsidR="00CB4CF8" w:rsidRPr="008F21CA" w14:paraId="57135F70" w14:textId="77777777" w:rsidTr="008308B6">
        <w:tc>
          <w:tcPr>
            <w:tcW w:w="4644" w:type="dxa"/>
            <w:tcBorders>
              <w:top w:val="single" w:sz="4" w:space="0" w:color="auto"/>
              <w:left w:val="single" w:sz="4" w:space="0" w:color="auto"/>
              <w:bottom w:val="single" w:sz="4" w:space="0" w:color="auto"/>
              <w:right w:val="single" w:sz="4" w:space="0" w:color="auto"/>
            </w:tcBorders>
            <w:hideMark/>
          </w:tcPr>
          <w:p w14:paraId="19899258" w14:textId="77777777" w:rsidR="00CB4CF8" w:rsidRDefault="00CB4CF8" w:rsidP="008308B6">
            <w:pPr>
              <w:rPr>
                <w:sz w:val="22"/>
                <w:szCs w:val="22"/>
                <w:lang w:val="pt-BR"/>
              </w:rPr>
            </w:pPr>
            <w:r>
              <w:rPr>
                <w:sz w:val="22"/>
                <w:szCs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4DBFEDD2" w14:textId="77777777" w:rsidR="00CB4CF8" w:rsidRDefault="00CB4CF8" w:rsidP="008308B6">
            <w:pPr>
              <w:rPr>
                <w:sz w:val="22"/>
                <w:szCs w:val="22"/>
                <w:lang w:val="pt-BR"/>
              </w:rPr>
            </w:pPr>
          </w:p>
        </w:tc>
      </w:tr>
      <w:tr w:rsidR="00CB4CF8" w14:paraId="0AF23B9E" w14:textId="77777777" w:rsidTr="008308B6">
        <w:tc>
          <w:tcPr>
            <w:tcW w:w="4644" w:type="dxa"/>
            <w:tcBorders>
              <w:top w:val="single" w:sz="4" w:space="0" w:color="auto"/>
              <w:left w:val="single" w:sz="4" w:space="0" w:color="auto"/>
              <w:bottom w:val="single" w:sz="4" w:space="0" w:color="auto"/>
              <w:right w:val="single" w:sz="4" w:space="0" w:color="auto"/>
            </w:tcBorders>
            <w:hideMark/>
          </w:tcPr>
          <w:p w14:paraId="1D4136D6" w14:textId="77777777" w:rsidR="00CB4CF8" w:rsidRDefault="00CB4CF8" w:rsidP="008308B6">
            <w:pPr>
              <w:rPr>
                <w:sz w:val="22"/>
                <w:szCs w:val="22"/>
              </w:rPr>
            </w:pPr>
            <w:proofErr w:type="spellStart"/>
            <w:r>
              <w:rPr>
                <w:sz w:val="22"/>
                <w:szCs w:val="22"/>
              </w:rPr>
              <w:t>Telefono</w:t>
            </w:r>
            <w:proofErr w:type="spellEnd"/>
            <w:r>
              <w:rPr>
                <w:sz w:val="22"/>
                <w:szCs w:val="22"/>
              </w:rPr>
              <w:t xml:space="preserve"> </w:t>
            </w:r>
            <w:proofErr w:type="spellStart"/>
            <w:r>
              <w:rPr>
                <w:sz w:val="22"/>
                <w:szCs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9E17FD7" w14:textId="77777777" w:rsidR="00CB4CF8" w:rsidRDefault="00CB4CF8" w:rsidP="008308B6">
            <w:pPr>
              <w:rPr>
                <w:sz w:val="22"/>
                <w:szCs w:val="22"/>
              </w:rPr>
            </w:pPr>
          </w:p>
        </w:tc>
      </w:tr>
      <w:tr w:rsidR="00CB4CF8" w14:paraId="6743365F" w14:textId="77777777" w:rsidTr="008308B6">
        <w:tc>
          <w:tcPr>
            <w:tcW w:w="4644" w:type="dxa"/>
            <w:tcBorders>
              <w:top w:val="single" w:sz="4" w:space="0" w:color="auto"/>
              <w:left w:val="single" w:sz="4" w:space="0" w:color="auto"/>
              <w:bottom w:val="single" w:sz="4" w:space="0" w:color="auto"/>
              <w:right w:val="single" w:sz="4" w:space="0" w:color="auto"/>
            </w:tcBorders>
            <w:hideMark/>
          </w:tcPr>
          <w:p w14:paraId="09E5CE14" w14:textId="77777777" w:rsidR="00CB4CF8" w:rsidRDefault="00CB4CF8" w:rsidP="008308B6">
            <w:pPr>
              <w:rPr>
                <w:sz w:val="22"/>
                <w:szCs w:val="22"/>
              </w:rPr>
            </w:pPr>
            <w:proofErr w:type="spellStart"/>
            <w:r>
              <w:rPr>
                <w:sz w:val="22"/>
                <w:szCs w:val="22"/>
              </w:rPr>
              <w:t>Fakso</w:t>
            </w:r>
            <w:proofErr w:type="spellEnd"/>
            <w:r>
              <w:rPr>
                <w:sz w:val="22"/>
                <w:szCs w:val="22"/>
              </w:rPr>
              <w:t xml:space="preserve"> </w:t>
            </w:r>
            <w:proofErr w:type="spellStart"/>
            <w:r>
              <w:rPr>
                <w:sz w:val="22"/>
                <w:szCs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501F9926" w14:textId="77777777" w:rsidR="00CB4CF8" w:rsidRDefault="00CB4CF8" w:rsidP="008308B6">
            <w:pPr>
              <w:rPr>
                <w:sz w:val="22"/>
                <w:szCs w:val="22"/>
              </w:rPr>
            </w:pPr>
          </w:p>
        </w:tc>
      </w:tr>
      <w:tr w:rsidR="00CB4CF8" w14:paraId="2C6FA1A0" w14:textId="77777777" w:rsidTr="008308B6">
        <w:tc>
          <w:tcPr>
            <w:tcW w:w="4644" w:type="dxa"/>
            <w:tcBorders>
              <w:top w:val="single" w:sz="4" w:space="0" w:color="auto"/>
              <w:left w:val="single" w:sz="4" w:space="0" w:color="auto"/>
              <w:bottom w:val="single" w:sz="4" w:space="0" w:color="auto"/>
              <w:right w:val="single" w:sz="4" w:space="0" w:color="auto"/>
            </w:tcBorders>
            <w:hideMark/>
          </w:tcPr>
          <w:p w14:paraId="1889C61D" w14:textId="77777777" w:rsidR="00CB4CF8" w:rsidRDefault="00CB4CF8" w:rsidP="008308B6">
            <w:pPr>
              <w:rPr>
                <w:sz w:val="22"/>
                <w:szCs w:val="22"/>
              </w:rPr>
            </w:pPr>
            <w:r>
              <w:rPr>
                <w:sz w:val="22"/>
                <w:szCs w:val="22"/>
              </w:rPr>
              <w:t xml:space="preserve">El. </w:t>
            </w:r>
            <w:proofErr w:type="spellStart"/>
            <w:r>
              <w:rPr>
                <w:sz w:val="22"/>
                <w:szCs w:val="22"/>
              </w:rPr>
              <w:t>pašto</w:t>
            </w:r>
            <w:proofErr w:type="spellEnd"/>
            <w:r>
              <w:rPr>
                <w:sz w:val="22"/>
                <w:szCs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7881F3B7" w14:textId="77777777" w:rsidR="00CB4CF8" w:rsidRDefault="00CB4CF8" w:rsidP="008308B6">
            <w:pPr>
              <w:rPr>
                <w:sz w:val="22"/>
                <w:szCs w:val="22"/>
              </w:rPr>
            </w:pPr>
          </w:p>
        </w:tc>
      </w:tr>
    </w:tbl>
    <w:p w14:paraId="51985190" w14:textId="77777777" w:rsidR="00CB4CF8" w:rsidRDefault="00CB4CF8" w:rsidP="00CB4CF8">
      <w:pPr>
        <w:rPr>
          <w:sz w:val="22"/>
          <w:szCs w:val="22"/>
        </w:rPr>
      </w:pPr>
      <w:r>
        <w:rPr>
          <w:sz w:val="22"/>
          <w:szCs w:val="22"/>
        </w:rPr>
        <w:t xml:space="preserve">            </w:t>
      </w:r>
    </w:p>
    <w:p w14:paraId="5B7DE45E" w14:textId="77777777" w:rsidR="00CB4CF8" w:rsidRDefault="00CB4CF8" w:rsidP="00CB4CF8">
      <w:pPr>
        <w:ind w:firstLine="720"/>
        <w:jc w:val="both"/>
        <w:rPr>
          <w:lang w:val="lt-LT"/>
        </w:rPr>
      </w:pPr>
      <w:r>
        <w:rPr>
          <w:lang w:val="lt-LT"/>
        </w:rPr>
        <w:t>Šiuo pasiūlymu pažymime, kad sutinkame su visomis pirkimo sąlygomis, nustatytomis kvietime pateikti pasiūlymą.</w:t>
      </w:r>
    </w:p>
    <w:p w14:paraId="07AEC8F0" w14:textId="77777777" w:rsidR="00CB4CF8" w:rsidRPr="00CF72AB" w:rsidRDefault="00CB4CF8" w:rsidP="00CB4CF8">
      <w:pPr>
        <w:rPr>
          <w:sz w:val="22"/>
          <w:szCs w:val="22"/>
          <w:lang w:val="lt-LT"/>
        </w:rPr>
      </w:pPr>
    </w:p>
    <w:p w14:paraId="575F4A0C" w14:textId="43BF0732" w:rsidR="00CB4CF8" w:rsidRPr="00C40AB0" w:rsidRDefault="00CB4CF8" w:rsidP="00CB4CF8">
      <w:pPr>
        <w:ind w:firstLine="720"/>
        <w:jc w:val="both"/>
        <w:rPr>
          <w:b/>
          <w:lang w:val="pt-BR"/>
        </w:rPr>
      </w:pPr>
      <w:r w:rsidRPr="008C7D72">
        <w:rPr>
          <w:b/>
          <w:lang w:val="pt-BR"/>
        </w:rPr>
        <w:t xml:space="preserve">Mes siūlome suteikti </w:t>
      </w:r>
      <w:r w:rsidR="008C7D72">
        <w:rPr>
          <w:b/>
          <w:lang w:val="pt-BR"/>
        </w:rPr>
        <w:t>lizingą</w:t>
      </w:r>
      <w:r w:rsidRPr="008C7D72">
        <w:rPr>
          <w:b/>
          <w:lang w:val="pt-BR"/>
        </w:rPr>
        <w:t xml:space="preserve"> </w:t>
      </w:r>
      <w:r w:rsidR="008C7D72">
        <w:rPr>
          <w:b/>
          <w:lang w:val="pt-BR"/>
        </w:rPr>
        <w:t>217 437</w:t>
      </w:r>
      <w:r w:rsidRPr="008C7D72">
        <w:rPr>
          <w:b/>
          <w:lang w:val="pt-BR"/>
        </w:rPr>
        <w:t xml:space="preserve"> sumai </w:t>
      </w:r>
      <w:r w:rsidR="008C7D72">
        <w:rPr>
          <w:b/>
          <w:lang w:val="pt-BR"/>
        </w:rPr>
        <w:t>60</w:t>
      </w:r>
      <w:r w:rsidRPr="008C7D72">
        <w:rPr>
          <w:b/>
          <w:lang w:val="pt-BR"/>
        </w:rPr>
        <w:t xml:space="preserve"> mėnesių laikotarpiui:</w:t>
      </w:r>
      <w:r w:rsidRPr="00C40AB0">
        <w:rPr>
          <w:b/>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972"/>
        <w:gridCol w:w="2072"/>
        <w:gridCol w:w="1779"/>
      </w:tblGrid>
      <w:tr w:rsidR="002749A3" w:rsidRPr="008F21CA" w14:paraId="4DE48991" w14:textId="77777777" w:rsidTr="002749A3">
        <w:tc>
          <w:tcPr>
            <w:tcW w:w="817" w:type="dxa"/>
          </w:tcPr>
          <w:p w14:paraId="7DA8844C"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Eil. Nr.</w:t>
            </w:r>
          </w:p>
        </w:tc>
        <w:tc>
          <w:tcPr>
            <w:tcW w:w="5103" w:type="dxa"/>
          </w:tcPr>
          <w:p w14:paraId="44E864ED"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Pavadinimas</w:t>
            </w:r>
          </w:p>
        </w:tc>
        <w:tc>
          <w:tcPr>
            <w:tcW w:w="2126" w:type="dxa"/>
          </w:tcPr>
          <w:p w14:paraId="2274A1C1"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Mato vnt.</w:t>
            </w:r>
          </w:p>
        </w:tc>
        <w:tc>
          <w:tcPr>
            <w:tcW w:w="1808" w:type="dxa"/>
          </w:tcPr>
          <w:p w14:paraId="6F6E31CB" w14:textId="77777777" w:rsidR="002749A3" w:rsidRPr="002749A3" w:rsidRDefault="002749A3" w:rsidP="002749A3">
            <w:pPr>
              <w:pStyle w:val="BodyTextIndent3"/>
              <w:widowControl w:val="0"/>
              <w:autoSpaceDE w:val="0"/>
              <w:autoSpaceDN w:val="0"/>
              <w:adjustRightInd w:val="0"/>
              <w:ind w:firstLine="0"/>
              <w:jc w:val="center"/>
              <w:rPr>
                <w:color w:val="auto"/>
                <w:sz w:val="22"/>
                <w:szCs w:val="20"/>
              </w:rPr>
            </w:pPr>
            <w:r w:rsidRPr="002749A3">
              <w:rPr>
                <w:color w:val="auto"/>
                <w:sz w:val="22"/>
                <w:szCs w:val="20"/>
              </w:rPr>
              <w:t>Įkainis (%)</w:t>
            </w:r>
          </w:p>
          <w:p w14:paraId="717919ED" w14:textId="77777777" w:rsidR="002749A3" w:rsidRPr="002749A3" w:rsidRDefault="002749A3" w:rsidP="002749A3">
            <w:pPr>
              <w:pStyle w:val="BodyTextIndent3"/>
              <w:widowControl w:val="0"/>
              <w:autoSpaceDE w:val="0"/>
              <w:autoSpaceDN w:val="0"/>
              <w:adjustRightInd w:val="0"/>
              <w:ind w:firstLine="0"/>
              <w:jc w:val="center"/>
              <w:rPr>
                <w:b/>
                <w:color w:val="auto"/>
                <w:szCs w:val="20"/>
              </w:rPr>
            </w:pPr>
            <w:r w:rsidRPr="002749A3">
              <w:rPr>
                <w:b/>
                <w:color w:val="auto"/>
                <w:sz w:val="22"/>
                <w:szCs w:val="20"/>
              </w:rPr>
              <w:t>(du skaičiai po kablelio)</w:t>
            </w:r>
          </w:p>
        </w:tc>
      </w:tr>
      <w:tr w:rsidR="002749A3" w:rsidRPr="008F6729" w14:paraId="3CA6624F" w14:textId="77777777" w:rsidTr="002749A3">
        <w:tc>
          <w:tcPr>
            <w:tcW w:w="817" w:type="dxa"/>
          </w:tcPr>
          <w:p w14:paraId="537E4BE1" w14:textId="77777777" w:rsidR="002749A3" w:rsidRPr="002749A3" w:rsidRDefault="002749A3" w:rsidP="002749A3">
            <w:pPr>
              <w:pStyle w:val="BodyTextIndent3"/>
              <w:widowControl w:val="0"/>
              <w:autoSpaceDE w:val="0"/>
              <w:autoSpaceDN w:val="0"/>
              <w:adjustRightInd w:val="0"/>
              <w:ind w:firstLine="0"/>
              <w:jc w:val="center"/>
              <w:rPr>
                <w:b/>
                <w:color w:val="auto"/>
                <w:szCs w:val="20"/>
              </w:rPr>
            </w:pPr>
            <w:r w:rsidRPr="002749A3">
              <w:rPr>
                <w:b/>
                <w:color w:val="auto"/>
                <w:sz w:val="22"/>
                <w:szCs w:val="20"/>
              </w:rPr>
              <w:t>I</w:t>
            </w:r>
          </w:p>
        </w:tc>
        <w:tc>
          <w:tcPr>
            <w:tcW w:w="5103" w:type="dxa"/>
          </w:tcPr>
          <w:p w14:paraId="2F31C62A" w14:textId="77777777" w:rsidR="002749A3" w:rsidRPr="002749A3" w:rsidRDefault="002749A3" w:rsidP="002749A3">
            <w:pPr>
              <w:pStyle w:val="BodyTextIndent3"/>
              <w:widowControl w:val="0"/>
              <w:autoSpaceDE w:val="0"/>
              <w:autoSpaceDN w:val="0"/>
              <w:adjustRightInd w:val="0"/>
              <w:ind w:firstLine="0"/>
              <w:jc w:val="center"/>
              <w:rPr>
                <w:b/>
                <w:color w:val="auto"/>
                <w:szCs w:val="20"/>
              </w:rPr>
            </w:pPr>
            <w:r w:rsidRPr="002749A3">
              <w:rPr>
                <w:b/>
                <w:color w:val="auto"/>
                <w:sz w:val="22"/>
                <w:szCs w:val="20"/>
              </w:rPr>
              <w:t>II</w:t>
            </w:r>
          </w:p>
        </w:tc>
        <w:tc>
          <w:tcPr>
            <w:tcW w:w="2126" w:type="dxa"/>
          </w:tcPr>
          <w:p w14:paraId="238C016A" w14:textId="77777777" w:rsidR="002749A3" w:rsidRPr="002749A3" w:rsidRDefault="002749A3" w:rsidP="002749A3">
            <w:pPr>
              <w:pStyle w:val="BodyTextIndent3"/>
              <w:widowControl w:val="0"/>
              <w:autoSpaceDE w:val="0"/>
              <w:autoSpaceDN w:val="0"/>
              <w:adjustRightInd w:val="0"/>
              <w:ind w:firstLine="0"/>
              <w:jc w:val="center"/>
              <w:rPr>
                <w:b/>
                <w:color w:val="auto"/>
                <w:szCs w:val="20"/>
              </w:rPr>
            </w:pPr>
            <w:r w:rsidRPr="002749A3">
              <w:rPr>
                <w:b/>
                <w:color w:val="auto"/>
                <w:sz w:val="22"/>
                <w:szCs w:val="20"/>
              </w:rPr>
              <w:t>III</w:t>
            </w:r>
          </w:p>
        </w:tc>
        <w:tc>
          <w:tcPr>
            <w:tcW w:w="1808" w:type="dxa"/>
          </w:tcPr>
          <w:p w14:paraId="4D1F1646" w14:textId="77777777" w:rsidR="002749A3" w:rsidRPr="002749A3" w:rsidRDefault="002749A3" w:rsidP="002749A3">
            <w:pPr>
              <w:pStyle w:val="BodyTextIndent3"/>
              <w:widowControl w:val="0"/>
              <w:autoSpaceDE w:val="0"/>
              <w:autoSpaceDN w:val="0"/>
              <w:adjustRightInd w:val="0"/>
              <w:ind w:firstLine="0"/>
              <w:jc w:val="center"/>
              <w:rPr>
                <w:b/>
                <w:color w:val="auto"/>
                <w:szCs w:val="20"/>
              </w:rPr>
            </w:pPr>
            <w:r w:rsidRPr="002749A3">
              <w:rPr>
                <w:b/>
                <w:color w:val="auto"/>
                <w:sz w:val="22"/>
                <w:szCs w:val="20"/>
              </w:rPr>
              <w:t>IV</w:t>
            </w:r>
          </w:p>
        </w:tc>
      </w:tr>
      <w:tr w:rsidR="002749A3" w:rsidRPr="008F6729" w14:paraId="2E4D06DC" w14:textId="77777777" w:rsidTr="002749A3">
        <w:tc>
          <w:tcPr>
            <w:tcW w:w="817" w:type="dxa"/>
          </w:tcPr>
          <w:p w14:paraId="5616333C"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1.</w:t>
            </w:r>
          </w:p>
        </w:tc>
        <w:tc>
          <w:tcPr>
            <w:tcW w:w="5103" w:type="dxa"/>
          </w:tcPr>
          <w:p w14:paraId="2CB86A07" w14:textId="77777777" w:rsidR="002749A3" w:rsidRPr="005F650D" w:rsidRDefault="002749A3" w:rsidP="002749A3">
            <w:pPr>
              <w:pStyle w:val="BodyTextIndent3"/>
              <w:widowControl w:val="0"/>
              <w:autoSpaceDE w:val="0"/>
              <w:autoSpaceDN w:val="0"/>
              <w:adjustRightInd w:val="0"/>
              <w:ind w:firstLine="0"/>
              <w:rPr>
                <w:color w:val="auto"/>
                <w:szCs w:val="20"/>
                <w:lang w:val="fi-FI"/>
              </w:rPr>
            </w:pPr>
            <w:r w:rsidRPr="002749A3">
              <w:rPr>
                <w:color w:val="auto"/>
                <w:sz w:val="22"/>
                <w:szCs w:val="20"/>
              </w:rPr>
              <w:t>Nekintama palūkanų normos dalis (banko marža)</w:t>
            </w:r>
            <w:r w:rsidRPr="005F650D">
              <w:rPr>
                <w:color w:val="auto"/>
                <w:sz w:val="22"/>
                <w:szCs w:val="20"/>
                <w:lang w:val="fi-FI"/>
              </w:rPr>
              <w:t>*</w:t>
            </w:r>
          </w:p>
        </w:tc>
        <w:tc>
          <w:tcPr>
            <w:tcW w:w="2126" w:type="dxa"/>
          </w:tcPr>
          <w:p w14:paraId="39C8513B" w14:textId="77777777" w:rsidR="002749A3" w:rsidRPr="002749A3" w:rsidRDefault="002749A3" w:rsidP="002749A3">
            <w:pPr>
              <w:pStyle w:val="Footer"/>
              <w:widowControl w:val="0"/>
              <w:autoSpaceDE w:val="0"/>
              <w:autoSpaceDN w:val="0"/>
              <w:adjustRightInd w:val="0"/>
              <w:jc w:val="center"/>
              <w:rPr>
                <w:szCs w:val="22"/>
              </w:rPr>
            </w:pPr>
            <w:r w:rsidRPr="002749A3">
              <w:rPr>
                <w:sz w:val="22"/>
                <w:szCs w:val="22"/>
              </w:rPr>
              <w:t>%</w:t>
            </w:r>
          </w:p>
        </w:tc>
        <w:tc>
          <w:tcPr>
            <w:tcW w:w="1808" w:type="dxa"/>
          </w:tcPr>
          <w:p w14:paraId="54E1113C" w14:textId="77777777" w:rsidR="002749A3" w:rsidRPr="002749A3" w:rsidRDefault="002749A3" w:rsidP="008308B6">
            <w:pPr>
              <w:pStyle w:val="BodyTextIndent3"/>
              <w:widowControl w:val="0"/>
              <w:autoSpaceDE w:val="0"/>
              <w:autoSpaceDN w:val="0"/>
              <w:adjustRightInd w:val="0"/>
              <w:jc w:val="center"/>
              <w:rPr>
                <w:color w:val="auto"/>
                <w:szCs w:val="20"/>
              </w:rPr>
            </w:pPr>
          </w:p>
          <w:p w14:paraId="595F0B9A" w14:textId="77777777" w:rsidR="002749A3" w:rsidRPr="002749A3" w:rsidRDefault="002749A3" w:rsidP="008308B6">
            <w:pPr>
              <w:pStyle w:val="BodyTextIndent3"/>
              <w:widowControl w:val="0"/>
              <w:autoSpaceDE w:val="0"/>
              <w:autoSpaceDN w:val="0"/>
              <w:adjustRightInd w:val="0"/>
              <w:jc w:val="center"/>
              <w:rPr>
                <w:color w:val="auto"/>
                <w:szCs w:val="20"/>
              </w:rPr>
            </w:pPr>
          </w:p>
        </w:tc>
      </w:tr>
      <w:tr w:rsidR="002749A3" w:rsidRPr="00751502" w14:paraId="1D17BA88" w14:textId="77777777" w:rsidTr="002749A3">
        <w:tc>
          <w:tcPr>
            <w:tcW w:w="817" w:type="dxa"/>
          </w:tcPr>
          <w:p w14:paraId="5C0CFFAF"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2.</w:t>
            </w:r>
          </w:p>
        </w:tc>
        <w:tc>
          <w:tcPr>
            <w:tcW w:w="5103" w:type="dxa"/>
          </w:tcPr>
          <w:p w14:paraId="79B9CDA3" w14:textId="73C348A4" w:rsidR="002749A3" w:rsidRPr="002749A3" w:rsidRDefault="002749A3" w:rsidP="00751502">
            <w:pPr>
              <w:pStyle w:val="BodyTextIndent3"/>
              <w:widowControl w:val="0"/>
              <w:autoSpaceDE w:val="0"/>
              <w:autoSpaceDN w:val="0"/>
              <w:adjustRightInd w:val="0"/>
              <w:ind w:firstLine="0"/>
              <w:rPr>
                <w:color w:val="auto"/>
                <w:szCs w:val="20"/>
              </w:rPr>
            </w:pPr>
            <w:r w:rsidRPr="002749A3">
              <w:rPr>
                <w:color w:val="auto"/>
                <w:sz w:val="22"/>
                <w:szCs w:val="20"/>
              </w:rPr>
              <w:t>6 mėnesių EURIBOR bazinė palūkanų norma (kintama) paskaičiuota</w:t>
            </w:r>
            <w:r w:rsidRPr="002749A3">
              <w:rPr>
                <w:color w:val="auto"/>
                <w:szCs w:val="20"/>
              </w:rPr>
              <w:t xml:space="preserve"> </w:t>
            </w:r>
            <w:r w:rsidR="008F21CA">
              <w:rPr>
                <w:color w:val="auto"/>
                <w:sz w:val="22"/>
                <w:szCs w:val="20"/>
              </w:rPr>
              <w:t>2025</w:t>
            </w:r>
            <w:r w:rsidRPr="00C37A43">
              <w:rPr>
                <w:color w:val="auto"/>
                <w:sz w:val="22"/>
                <w:szCs w:val="20"/>
              </w:rPr>
              <w:t xml:space="preserve"> m. </w:t>
            </w:r>
            <w:r w:rsidR="008F21CA">
              <w:rPr>
                <w:color w:val="auto"/>
                <w:sz w:val="22"/>
                <w:szCs w:val="20"/>
              </w:rPr>
              <w:t>lapkričio</w:t>
            </w:r>
            <w:r w:rsidR="0018190E">
              <w:rPr>
                <w:color w:val="auto"/>
                <w:sz w:val="22"/>
                <w:szCs w:val="20"/>
              </w:rPr>
              <w:t xml:space="preserve"> 30</w:t>
            </w:r>
            <w:r w:rsidR="00DD4180">
              <w:rPr>
                <w:color w:val="auto"/>
                <w:sz w:val="22"/>
                <w:szCs w:val="20"/>
              </w:rPr>
              <w:t xml:space="preserve"> </w:t>
            </w:r>
            <w:r w:rsidRPr="00C37A43">
              <w:rPr>
                <w:color w:val="auto"/>
                <w:sz w:val="22"/>
                <w:szCs w:val="20"/>
              </w:rPr>
              <w:t>d.</w:t>
            </w:r>
          </w:p>
        </w:tc>
        <w:tc>
          <w:tcPr>
            <w:tcW w:w="2126" w:type="dxa"/>
          </w:tcPr>
          <w:p w14:paraId="6812EA16"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w:t>
            </w:r>
          </w:p>
        </w:tc>
        <w:tc>
          <w:tcPr>
            <w:tcW w:w="1808" w:type="dxa"/>
          </w:tcPr>
          <w:p w14:paraId="38AB4235" w14:textId="77777777" w:rsidR="002749A3" w:rsidRPr="002749A3" w:rsidRDefault="002749A3" w:rsidP="008308B6">
            <w:pPr>
              <w:pStyle w:val="BodyTextIndent3"/>
              <w:widowControl w:val="0"/>
              <w:autoSpaceDE w:val="0"/>
              <w:autoSpaceDN w:val="0"/>
              <w:adjustRightInd w:val="0"/>
              <w:jc w:val="center"/>
              <w:rPr>
                <w:color w:val="auto"/>
                <w:szCs w:val="20"/>
              </w:rPr>
            </w:pPr>
          </w:p>
        </w:tc>
      </w:tr>
      <w:tr w:rsidR="002749A3" w:rsidRPr="00751502" w14:paraId="11C56A1C" w14:textId="77777777" w:rsidTr="002749A3">
        <w:trPr>
          <w:trHeight w:val="509"/>
        </w:trPr>
        <w:tc>
          <w:tcPr>
            <w:tcW w:w="817" w:type="dxa"/>
          </w:tcPr>
          <w:p w14:paraId="325BADA0"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3.</w:t>
            </w:r>
          </w:p>
        </w:tc>
        <w:tc>
          <w:tcPr>
            <w:tcW w:w="5103" w:type="dxa"/>
          </w:tcPr>
          <w:p w14:paraId="0220B223" w14:textId="77777777" w:rsidR="002749A3" w:rsidRPr="002749A3" w:rsidRDefault="002749A3" w:rsidP="002749A3">
            <w:pPr>
              <w:pStyle w:val="BodyTextIndent3"/>
              <w:widowControl w:val="0"/>
              <w:autoSpaceDE w:val="0"/>
              <w:autoSpaceDN w:val="0"/>
              <w:adjustRightInd w:val="0"/>
              <w:ind w:firstLine="0"/>
              <w:rPr>
                <w:b/>
                <w:color w:val="auto"/>
                <w:szCs w:val="20"/>
              </w:rPr>
            </w:pPr>
            <w:r w:rsidRPr="002749A3">
              <w:rPr>
                <w:b/>
                <w:color w:val="auto"/>
                <w:sz w:val="22"/>
                <w:szCs w:val="20"/>
              </w:rPr>
              <w:t>Bendra pasiūlymo kaina - Palūkanų norma:</w:t>
            </w:r>
          </w:p>
          <w:p w14:paraId="3B5EA87B" w14:textId="77777777" w:rsidR="002749A3" w:rsidRPr="002749A3" w:rsidRDefault="002749A3" w:rsidP="002749A3">
            <w:pPr>
              <w:pStyle w:val="BodyTextIndent3"/>
              <w:widowControl w:val="0"/>
              <w:autoSpaceDE w:val="0"/>
              <w:autoSpaceDN w:val="0"/>
              <w:adjustRightInd w:val="0"/>
              <w:ind w:firstLine="0"/>
              <w:rPr>
                <w:color w:val="auto"/>
                <w:szCs w:val="20"/>
              </w:rPr>
            </w:pPr>
            <w:r w:rsidRPr="002749A3">
              <w:rPr>
                <w:color w:val="auto"/>
                <w:sz w:val="22"/>
                <w:szCs w:val="20"/>
              </w:rPr>
              <w:t>(IV stulpelio 1 ir 2 eilučių suma)</w:t>
            </w:r>
          </w:p>
        </w:tc>
        <w:tc>
          <w:tcPr>
            <w:tcW w:w="2126" w:type="dxa"/>
          </w:tcPr>
          <w:p w14:paraId="39724044" w14:textId="77777777" w:rsidR="002749A3" w:rsidRPr="002749A3" w:rsidRDefault="002749A3" w:rsidP="002749A3">
            <w:pPr>
              <w:pStyle w:val="BodyTextIndent3"/>
              <w:widowControl w:val="0"/>
              <w:autoSpaceDE w:val="0"/>
              <w:autoSpaceDN w:val="0"/>
              <w:adjustRightInd w:val="0"/>
              <w:ind w:firstLine="0"/>
              <w:jc w:val="center"/>
              <w:rPr>
                <w:color w:val="auto"/>
                <w:szCs w:val="20"/>
              </w:rPr>
            </w:pPr>
            <w:r w:rsidRPr="002749A3">
              <w:rPr>
                <w:color w:val="auto"/>
                <w:sz w:val="22"/>
                <w:szCs w:val="20"/>
              </w:rPr>
              <w:t>%</w:t>
            </w:r>
          </w:p>
        </w:tc>
        <w:tc>
          <w:tcPr>
            <w:tcW w:w="1808" w:type="dxa"/>
          </w:tcPr>
          <w:p w14:paraId="6F18496A" w14:textId="77777777" w:rsidR="002749A3" w:rsidRPr="002749A3" w:rsidRDefault="002749A3" w:rsidP="008308B6">
            <w:pPr>
              <w:pStyle w:val="BodyTextIndent3"/>
              <w:widowControl w:val="0"/>
              <w:autoSpaceDE w:val="0"/>
              <w:autoSpaceDN w:val="0"/>
              <w:adjustRightInd w:val="0"/>
              <w:jc w:val="center"/>
              <w:rPr>
                <w:color w:val="auto"/>
                <w:szCs w:val="20"/>
              </w:rPr>
            </w:pPr>
          </w:p>
        </w:tc>
      </w:tr>
      <w:tr w:rsidR="00EA2AB0" w:rsidRPr="00751502" w14:paraId="1063D4E0" w14:textId="77777777" w:rsidTr="002749A3">
        <w:trPr>
          <w:trHeight w:val="509"/>
        </w:trPr>
        <w:tc>
          <w:tcPr>
            <w:tcW w:w="817" w:type="dxa"/>
          </w:tcPr>
          <w:p w14:paraId="5D847EB9" w14:textId="77777777" w:rsidR="00EA2AB0" w:rsidRPr="002749A3" w:rsidRDefault="00EA2AB0" w:rsidP="002749A3">
            <w:pPr>
              <w:pStyle w:val="BodyTextIndent3"/>
              <w:widowControl w:val="0"/>
              <w:autoSpaceDE w:val="0"/>
              <w:autoSpaceDN w:val="0"/>
              <w:adjustRightInd w:val="0"/>
              <w:ind w:firstLine="0"/>
              <w:jc w:val="center"/>
              <w:rPr>
                <w:color w:val="auto"/>
                <w:sz w:val="22"/>
                <w:szCs w:val="20"/>
              </w:rPr>
            </w:pPr>
            <w:r>
              <w:rPr>
                <w:color w:val="auto"/>
                <w:sz w:val="22"/>
                <w:szCs w:val="20"/>
              </w:rPr>
              <w:t>4.</w:t>
            </w:r>
          </w:p>
        </w:tc>
        <w:tc>
          <w:tcPr>
            <w:tcW w:w="5103" w:type="dxa"/>
          </w:tcPr>
          <w:p w14:paraId="3EFE7525" w14:textId="77777777" w:rsidR="00EA2AB0" w:rsidRPr="00EA2AB0" w:rsidRDefault="00EA2AB0" w:rsidP="002749A3">
            <w:pPr>
              <w:pStyle w:val="BodyTextIndent3"/>
              <w:widowControl w:val="0"/>
              <w:autoSpaceDE w:val="0"/>
              <w:autoSpaceDN w:val="0"/>
              <w:adjustRightInd w:val="0"/>
              <w:ind w:firstLine="0"/>
              <w:rPr>
                <w:b/>
                <w:color w:val="auto"/>
                <w:sz w:val="22"/>
                <w:szCs w:val="20"/>
              </w:rPr>
            </w:pPr>
            <w:r w:rsidRPr="00EA2AB0">
              <w:rPr>
                <w:b/>
                <w:color w:val="auto"/>
                <w:sz w:val="22"/>
                <w:szCs w:val="20"/>
              </w:rPr>
              <w:t>Įsipareigojimo mokestis</w:t>
            </w:r>
          </w:p>
        </w:tc>
        <w:tc>
          <w:tcPr>
            <w:tcW w:w="2126" w:type="dxa"/>
          </w:tcPr>
          <w:p w14:paraId="42E0E289" w14:textId="77777777" w:rsidR="00EA2AB0" w:rsidRPr="002749A3" w:rsidRDefault="00EA2AB0" w:rsidP="002749A3">
            <w:pPr>
              <w:pStyle w:val="BodyTextIndent3"/>
              <w:widowControl w:val="0"/>
              <w:autoSpaceDE w:val="0"/>
              <w:autoSpaceDN w:val="0"/>
              <w:adjustRightInd w:val="0"/>
              <w:ind w:firstLine="0"/>
              <w:jc w:val="center"/>
              <w:rPr>
                <w:color w:val="auto"/>
                <w:sz w:val="22"/>
                <w:szCs w:val="20"/>
              </w:rPr>
            </w:pPr>
            <w:r w:rsidRPr="002749A3">
              <w:rPr>
                <w:color w:val="auto"/>
                <w:sz w:val="22"/>
                <w:szCs w:val="20"/>
              </w:rPr>
              <w:t>%</w:t>
            </w:r>
          </w:p>
        </w:tc>
        <w:tc>
          <w:tcPr>
            <w:tcW w:w="1808" w:type="dxa"/>
          </w:tcPr>
          <w:p w14:paraId="485F704B" w14:textId="77777777" w:rsidR="00EA2AB0" w:rsidRPr="002749A3" w:rsidRDefault="00EA2AB0" w:rsidP="008308B6">
            <w:pPr>
              <w:pStyle w:val="BodyTextIndent3"/>
              <w:widowControl w:val="0"/>
              <w:autoSpaceDE w:val="0"/>
              <w:autoSpaceDN w:val="0"/>
              <w:adjustRightInd w:val="0"/>
              <w:jc w:val="center"/>
              <w:rPr>
                <w:color w:val="auto"/>
                <w:szCs w:val="20"/>
              </w:rPr>
            </w:pPr>
          </w:p>
        </w:tc>
      </w:tr>
    </w:tbl>
    <w:p w14:paraId="60EA50DE" w14:textId="77777777" w:rsidR="00CB4CF8" w:rsidRPr="00C40AB0" w:rsidRDefault="00CB4CF8" w:rsidP="00CB4CF8">
      <w:pPr>
        <w:ind w:firstLine="720"/>
        <w:jc w:val="both"/>
        <w:rPr>
          <w:b/>
          <w:lang w:val="lt-LT"/>
        </w:rPr>
      </w:pPr>
    </w:p>
    <w:p w14:paraId="182D3708" w14:textId="77777777" w:rsidR="00CB4CF8" w:rsidRPr="00C40AB0" w:rsidRDefault="00CB4CF8" w:rsidP="00CB4CF8">
      <w:pPr>
        <w:ind w:firstLine="1298"/>
        <w:jc w:val="both"/>
        <w:rPr>
          <w:b/>
          <w:lang w:val="lt-LT"/>
        </w:rPr>
      </w:pPr>
      <w:r w:rsidRPr="00C40AB0">
        <w:rPr>
          <w:b/>
          <w:lang w:val="lt-LT"/>
        </w:rPr>
        <w:t>Siūlomos paslaugos visišk</w:t>
      </w:r>
      <w:r>
        <w:rPr>
          <w:b/>
          <w:lang w:val="lt-LT"/>
        </w:rPr>
        <w:t>ai atitinka apklausos kvietime</w:t>
      </w:r>
      <w:r w:rsidRPr="00C40AB0">
        <w:rPr>
          <w:b/>
          <w:lang w:val="lt-LT"/>
        </w:rPr>
        <w:t xml:space="preserve"> ir techninėje specifikacijoje nurodytus reikalavimus.</w:t>
      </w:r>
    </w:p>
    <w:p w14:paraId="19A4F457" w14:textId="77777777" w:rsidR="00CB4CF8" w:rsidRDefault="00CB4CF8" w:rsidP="00CB4CF8">
      <w:pPr>
        <w:ind w:firstLine="1298"/>
        <w:jc w:val="both"/>
        <w:rPr>
          <w:b/>
          <w:lang w:val="lt-LT"/>
        </w:rPr>
      </w:pPr>
    </w:p>
    <w:p w14:paraId="683E7D8D" w14:textId="77777777" w:rsidR="002749A3" w:rsidRPr="00C40AB0" w:rsidRDefault="002749A3" w:rsidP="00CB4CF8">
      <w:pPr>
        <w:ind w:firstLine="1298"/>
        <w:jc w:val="both"/>
        <w:rPr>
          <w:b/>
          <w:lang w:val="lt-LT"/>
        </w:rPr>
      </w:pPr>
    </w:p>
    <w:p w14:paraId="40638328" w14:textId="77777777" w:rsidR="00CB4CF8" w:rsidRPr="00C40AB0" w:rsidRDefault="00CB4CF8" w:rsidP="00CB4CF8">
      <w:pPr>
        <w:tabs>
          <w:tab w:val="left" w:pos="993"/>
          <w:tab w:val="left" w:pos="1134"/>
        </w:tabs>
        <w:spacing w:line="360" w:lineRule="auto"/>
        <w:ind w:left="709"/>
        <w:jc w:val="both"/>
        <w:rPr>
          <w:lang w:val="lt-LT"/>
        </w:rPr>
      </w:pPr>
      <w:r w:rsidRPr="00C40AB0">
        <w:rPr>
          <w:bCs/>
          <w:lang w:val="lt-LT"/>
        </w:rPr>
        <w:lastRenderedPageBreak/>
        <w:t>Vykdant sutartį pasitelksime šiuos subtiekėjus (subteikėjus):</w:t>
      </w:r>
      <w:r w:rsidRPr="00C40AB0">
        <w:rPr>
          <w:rStyle w:val="FootnoteReference"/>
          <w:bCs/>
          <w:lang w:val="lt-L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CB4CF8" w:rsidRPr="00C40AB0" w14:paraId="5030B40F" w14:textId="77777777" w:rsidTr="008308B6">
        <w:tc>
          <w:tcPr>
            <w:tcW w:w="675" w:type="dxa"/>
            <w:tcBorders>
              <w:top w:val="single" w:sz="4" w:space="0" w:color="auto"/>
              <w:left w:val="single" w:sz="4" w:space="0" w:color="auto"/>
              <w:bottom w:val="single" w:sz="4" w:space="0" w:color="auto"/>
              <w:right w:val="single" w:sz="4" w:space="0" w:color="auto"/>
            </w:tcBorders>
            <w:vAlign w:val="center"/>
            <w:hideMark/>
          </w:tcPr>
          <w:p w14:paraId="44AB75D0" w14:textId="77777777" w:rsidR="00CB4CF8" w:rsidRPr="00C40AB0" w:rsidRDefault="00CB4CF8" w:rsidP="008308B6">
            <w:pPr>
              <w:jc w:val="center"/>
              <w:rPr>
                <w:b/>
                <w:lang w:val="lt-LT"/>
              </w:rPr>
            </w:pPr>
            <w:r w:rsidRPr="00C40AB0">
              <w:rPr>
                <w:b/>
                <w:lang w:val="lt-LT"/>
              </w:rPr>
              <w:t>Eil.Nr.</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0D39611" w14:textId="77777777" w:rsidR="00CB4CF8" w:rsidRPr="00C40AB0" w:rsidRDefault="00CB4CF8" w:rsidP="008308B6">
            <w:pPr>
              <w:jc w:val="center"/>
              <w:rPr>
                <w:b/>
                <w:lang w:val="lt-LT"/>
              </w:rPr>
            </w:pPr>
            <w:r w:rsidRPr="00C40AB0">
              <w:rPr>
                <w:b/>
                <w:lang w:val="lt-LT"/>
              </w:rPr>
              <w:t>Subtiekėjo (subteikėjo) pavadinimas</w:t>
            </w:r>
          </w:p>
        </w:tc>
      </w:tr>
      <w:tr w:rsidR="00CB4CF8" w:rsidRPr="00C40AB0" w14:paraId="7B801A44" w14:textId="77777777" w:rsidTr="008308B6">
        <w:tc>
          <w:tcPr>
            <w:tcW w:w="675" w:type="dxa"/>
            <w:tcBorders>
              <w:top w:val="single" w:sz="4" w:space="0" w:color="auto"/>
              <w:left w:val="single" w:sz="4" w:space="0" w:color="auto"/>
              <w:bottom w:val="single" w:sz="4" w:space="0" w:color="auto"/>
              <w:right w:val="single" w:sz="4" w:space="0" w:color="auto"/>
            </w:tcBorders>
          </w:tcPr>
          <w:p w14:paraId="777891E4" w14:textId="77777777" w:rsidR="00CB4CF8" w:rsidRPr="00C40AB0" w:rsidRDefault="00CB4CF8" w:rsidP="008308B6">
            <w:pPr>
              <w:jc w:val="both"/>
              <w:rPr>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6781D974" w14:textId="77777777" w:rsidR="00CB4CF8" w:rsidRPr="00C40AB0" w:rsidRDefault="00CB4CF8" w:rsidP="008308B6">
            <w:pPr>
              <w:tabs>
                <w:tab w:val="left" w:pos="6915"/>
              </w:tabs>
              <w:jc w:val="both"/>
              <w:rPr>
                <w:lang w:val="lt-LT"/>
              </w:rPr>
            </w:pPr>
            <w:r w:rsidRPr="00C40AB0">
              <w:rPr>
                <w:lang w:val="lt-LT"/>
              </w:rPr>
              <w:tab/>
            </w:r>
          </w:p>
        </w:tc>
      </w:tr>
      <w:tr w:rsidR="00CB4CF8" w:rsidRPr="00C40AB0" w14:paraId="28CF4177" w14:textId="77777777" w:rsidTr="008308B6">
        <w:tc>
          <w:tcPr>
            <w:tcW w:w="675" w:type="dxa"/>
            <w:tcBorders>
              <w:top w:val="single" w:sz="4" w:space="0" w:color="auto"/>
              <w:left w:val="single" w:sz="4" w:space="0" w:color="auto"/>
              <w:bottom w:val="single" w:sz="4" w:space="0" w:color="auto"/>
              <w:right w:val="single" w:sz="4" w:space="0" w:color="auto"/>
            </w:tcBorders>
          </w:tcPr>
          <w:p w14:paraId="7C7CAED1" w14:textId="77777777" w:rsidR="00CB4CF8" w:rsidRPr="00C40AB0" w:rsidRDefault="00CB4CF8" w:rsidP="008308B6">
            <w:pPr>
              <w:jc w:val="both"/>
              <w:rPr>
                <w:lang w:val="lt-LT"/>
              </w:rPr>
            </w:pPr>
          </w:p>
        </w:tc>
        <w:tc>
          <w:tcPr>
            <w:tcW w:w="9072" w:type="dxa"/>
            <w:tcBorders>
              <w:top w:val="single" w:sz="4" w:space="0" w:color="auto"/>
              <w:left w:val="single" w:sz="4" w:space="0" w:color="auto"/>
              <w:bottom w:val="single" w:sz="4" w:space="0" w:color="auto"/>
              <w:right w:val="single" w:sz="4" w:space="0" w:color="auto"/>
            </w:tcBorders>
          </w:tcPr>
          <w:p w14:paraId="564B7B8A" w14:textId="77777777" w:rsidR="00CB4CF8" w:rsidRPr="00C40AB0" w:rsidRDefault="00CB4CF8" w:rsidP="008308B6">
            <w:pPr>
              <w:jc w:val="both"/>
              <w:rPr>
                <w:lang w:val="lt-LT"/>
              </w:rPr>
            </w:pPr>
          </w:p>
        </w:tc>
      </w:tr>
    </w:tbl>
    <w:p w14:paraId="320F2E06" w14:textId="77777777" w:rsidR="00CB4CF8" w:rsidRPr="00C40AB0" w:rsidRDefault="00CB4CF8" w:rsidP="00CB4CF8">
      <w:pPr>
        <w:rPr>
          <w:lang w:val="lt-LT"/>
        </w:rPr>
      </w:pPr>
      <w:r w:rsidRPr="00C40AB0">
        <w:rPr>
          <w:lang w:val="lt-LT"/>
        </w:rPr>
        <w:t xml:space="preserve">          </w:t>
      </w:r>
    </w:p>
    <w:p w14:paraId="0B657413" w14:textId="77777777" w:rsidR="00CB4CF8" w:rsidRPr="00C40AB0" w:rsidRDefault="00CB4CF8" w:rsidP="00CB4CF8">
      <w:pPr>
        <w:rPr>
          <w:sz w:val="22"/>
          <w:szCs w:val="22"/>
          <w:lang w:val="lt-LT"/>
        </w:rPr>
      </w:pPr>
    </w:p>
    <w:p w14:paraId="4E22B2DA" w14:textId="77777777" w:rsidR="00CB4CF8" w:rsidRDefault="00CB4CF8" w:rsidP="00CB4CF8"/>
    <w:p w14:paraId="243426A5" w14:textId="77777777" w:rsidR="00CB4CF8" w:rsidRPr="000C4E0A" w:rsidRDefault="00CB4CF8" w:rsidP="00CB4CF8">
      <w:pPr>
        <w:ind w:firstLine="720"/>
        <w:jc w:val="both"/>
        <w:rPr>
          <w:lang w:val="lt-LT"/>
        </w:rPr>
      </w:pPr>
      <w:r w:rsidRPr="000C4E0A">
        <w:rPr>
          <w:lang w:val="lt-LT"/>
        </w:rPr>
        <w:t>Kartu su pasiūlymu pateikiami šie dokumentai:</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27"/>
      </w:tblGrid>
      <w:tr w:rsidR="00CB4CF8" w:rsidRPr="000C4E0A" w14:paraId="051FFA98" w14:textId="77777777" w:rsidTr="008308B6">
        <w:trPr>
          <w:jc w:val="center"/>
        </w:trPr>
        <w:tc>
          <w:tcPr>
            <w:tcW w:w="675" w:type="dxa"/>
            <w:vAlign w:val="center"/>
          </w:tcPr>
          <w:p w14:paraId="7FBB4C6C" w14:textId="77777777" w:rsidR="00CB4CF8" w:rsidRPr="000C4E0A" w:rsidRDefault="00CB4CF8" w:rsidP="008308B6">
            <w:pPr>
              <w:jc w:val="center"/>
              <w:rPr>
                <w:lang w:val="lt-LT"/>
              </w:rPr>
            </w:pPr>
            <w:r w:rsidRPr="000C4E0A">
              <w:rPr>
                <w:lang w:val="lt-LT"/>
              </w:rPr>
              <w:t>Eil.Nr.</w:t>
            </w:r>
          </w:p>
        </w:tc>
        <w:tc>
          <w:tcPr>
            <w:tcW w:w="6521" w:type="dxa"/>
            <w:vAlign w:val="center"/>
          </w:tcPr>
          <w:p w14:paraId="4F6FCC2F" w14:textId="77777777" w:rsidR="00CB4CF8" w:rsidRPr="000C4E0A" w:rsidRDefault="00CB4CF8" w:rsidP="008308B6">
            <w:pPr>
              <w:jc w:val="center"/>
              <w:rPr>
                <w:lang w:val="lt-LT"/>
              </w:rPr>
            </w:pPr>
            <w:r w:rsidRPr="000C4E0A">
              <w:rPr>
                <w:lang w:val="lt-LT"/>
              </w:rPr>
              <w:t>Pateiktų dokumentų pavadinimas</w:t>
            </w:r>
          </w:p>
        </w:tc>
        <w:tc>
          <w:tcPr>
            <w:tcW w:w="2427" w:type="dxa"/>
            <w:vAlign w:val="center"/>
          </w:tcPr>
          <w:p w14:paraId="0EF91825" w14:textId="77777777" w:rsidR="00CB4CF8" w:rsidRPr="000C4E0A" w:rsidRDefault="00CB4CF8" w:rsidP="008308B6">
            <w:pPr>
              <w:jc w:val="center"/>
              <w:rPr>
                <w:lang w:val="lt-LT"/>
              </w:rPr>
            </w:pPr>
            <w:r w:rsidRPr="000C4E0A">
              <w:rPr>
                <w:lang w:val="lt-LT"/>
              </w:rPr>
              <w:t>Dokumento puslapių skaičius</w:t>
            </w:r>
          </w:p>
        </w:tc>
      </w:tr>
      <w:tr w:rsidR="00CB4CF8" w:rsidRPr="000C4E0A" w14:paraId="4B6EAAA2" w14:textId="77777777" w:rsidTr="008308B6">
        <w:trPr>
          <w:jc w:val="center"/>
        </w:trPr>
        <w:tc>
          <w:tcPr>
            <w:tcW w:w="675" w:type="dxa"/>
            <w:vAlign w:val="center"/>
          </w:tcPr>
          <w:p w14:paraId="36DD40B5" w14:textId="77777777" w:rsidR="00CB4CF8" w:rsidRPr="000C4E0A" w:rsidRDefault="00CB4CF8" w:rsidP="008308B6">
            <w:pPr>
              <w:rPr>
                <w:lang w:val="lt-LT"/>
              </w:rPr>
            </w:pPr>
          </w:p>
        </w:tc>
        <w:tc>
          <w:tcPr>
            <w:tcW w:w="6521" w:type="dxa"/>
            <w:vAlign w:val="center"/>
          </w:tcPr>
          <w:p w14:paraId="61082F07" w14:textId="77777777" w:rsidR="00CB4CF8" w:rsidRPr="000C4E0A" w:rsidRDefault="00CB4CF8" w:rsidP="008308B6">
            <w:pPr>
              <w:rPr>
                <w:lang w:val="lt-LT"/>
              </w:rPr>
            </w:pPr>
          </w:p>
        </w:tc>
        <w:tc>
          <w:tcPr>
            <w:tcW w:w="2427" w:type="dxa"/>
            <w:vAlign w:val="center"/>
          </w:tcPr>
          <w:p w14:paraId="12010021" w14:textId="77777777" w:rsidR="00CB4CF8" w:rsidRPr="000C4E0A" w:rsidRDefault="00CB4CF8" w:rsidP="008308B6">
            <w:pPr>
              <w:rPr>
                <w:lang w:val="lt-LT"/>
              </w:rPr>
            </w:pPr>
          </w:p>
        </w:tc>
      </w:tr>
      <w:tr w:rsidR="00CB4CF8" w:rsidRPr="000C4E0A" w14:paraId="15FC120E" w14:textId="77777777" w:rsidTr="008308B6">
        <w:trPr>
          <w:jc w:val="center"/>
        </w:trPr>
        <w:tc>
          <w:tcPr>
            <w:tcW w:w="675" w:type="dxa"/>
            <w:vAlign w:val="center"/>
          </w:tcPr>
          <w:p w14:paraId="6F94EEFA" w14:textId="77777777" w:rsidR="00CB4CF8" w:rsidRPr="000C4E0A" w:rsidRDefault="00CB4CF8" w:rsidP="008308B6">
            <w:pPr>
              <w:rPr>
                <w:lang w:val="lt-LT"/>
              </w:rPr>
            </w:pPr>
          </w:p>
        </w:tc>
        <w:tc>
          <w:tcPr>
            <w:tcW w:w="6521" w:type="dxa"/>
            <w:vAlign w:val="center"/>
          </w:tcPr>
          <w:p w14:paraId="3FA0DCC3" w14:textId="77777777" w:rsidR="00CB4CF8" w:rsidRPr="000C4E0A" w:rsidRDefault="00CB4CF8" w:rsidP="008308B6">
            <w:pPr>
              <w:rPr>
                <w:lang w:val="lt-LT"/>
              </w:rPr>
            </w:pPr>
          </w:p>
        </w:tc>
        <w:tc>
          <w:tcPr>
            <w:tcW w:w="2427" w:type="dxa"/>
            <w:vAlign w:val="center"/>
          </w:tcPr>
          <w:p w14:paraId="19420D11" w14:textId="77777777" w:rsidR="00CB4CF8" w:rsidRPr="000C4E0A" w:rsidRDefault="00CB4CF8" w:rsidP="008308B6">
            <w:pPr>
              <w:rPr>
                <w:lang w:val="lt-LT"/>
              </w:rPr>
            </w:pPr>
          </w:p>
        </w:tc>
      </w:tr>
      <w:tr w:rsidR="00CB4CF8" w:rsidRPr="000C4E0A" w14:paraId="4B72C921" w14:textId="77777777" w:rsidTr="008308B6">
        <w:trPr>
          <w:jc w:val="center"/>
        </w:trPr>
        <w:tc>
          <w:tcPr>
            <w:tcW w:w="675" w:type="dxa"/>
            <w:vAlign w:val="center"/>
          </w:tcPr>
          <w:p w14:paraId="024D6481" w14:textId="77777777" w:rsidR="00CB4CF8" w:rsidRPr="000C4E0A" w:rsidRDefault="00CB4CF8" w:rsidP="008308B6">
            <w:pPr>
              <w:rPr>
                <w:lang w:val="lt-LT"/>
              </w:rPr>
            </w:pPr>
          </w:p>
        </w:tc>
        <w:tc>
          <w:tcPr>
            <w:tcW w:w="6521" w:type="dxa"/>
            <w:vAlign w:val="center"/>
          </w:tcPr>
          <w:p w14:paraId="6E154BED" w14:textId="77777777" w:rsidR="00CB4CF8" w:rsidRPr="000C4E0A" w:rsidRDefault="00CB4CF8" w:rsidP="008308B6">
            <w:pPr>
              <w:rPr>
                <w:lang w:val="lt-LT"/>
              </w:rPr>
            </w:pPr>
          </w:p>
        </w:tc>
        <w:tc>
          <w:tcPr>
            <w:tcW w:w="2427" w:type="dxa"/>
            <w:vAlign w:val="center"/>
          </w:tcPr>
          <w:p w14:paraId="420EC39A" w14:textId="77777777" w:rsidR="00CB4CF8" w:rsidRPr="000C4E0A" w:rsidRDefault="00CB4CF8" w:rsidP="008308B6">
            <w:pPr>
              <w:rPr>
                <w:lang w:val="lt-LT"/>
              </w:rPr>
            </w:pPr>
          </w:p>
        </w:tc>
      </w:tr>
      <w:tr w:rsidR="00CB4CF8" w:rsidRPr="000C4E0A" w14:paraId="3C44A133" w14:textId="77777777" w:rsidTr="008308B6">
        <w:trPr>
          <w:jc w:val="center"/>
        </w:trPr>
        <w:tc>
          <w:tcPr>
            <w:tcW w:w="675" w:type="dxa"/>
            <w:vAlign w:val="center"/>
          </w:tcPr>
          <w:p w14:paraId="0D9ADD32" w14:textId="77777777" w:rsidR="00CB4CF8" w:rsidRPr="000C4E0A" w:rsidRDefault="00CB4CF8" w:rsidP="008308B6">
            <w:pPr>
              <w:rPr>
                <w:lang w:val="lt-LT"/>
              </w:rPr>
            </w:pPr>
          </w:p>
        </w:tc>
        <w:tc>
          <w:tcPr>
            <w:tcW w:w="6521" w:type="dxa"/>
            <w:vAlign w:val="center"/>
          </w:tcPr>
          <w:p w14:paraId="0924715A" w14:textId="77777777" w:rsidR="00CB4CF8" w:rsidRPr="000C4E0A" w:rsidRDefault="00CB4CF8" w:rsidP="008308B6">
            <w:pPr>
              <w:rPr>
                <w:lang w:val="lt-LT"/>
              </w:rPr>
            </w:pPr>
          </w:p>
        </w:tc>
        <w:tc>
          <w:tcPr>
            <w:tcW w:w="2427" w:type="dxa"/>
            <w:vAlign w:val="center"/>
          </w:tcPr>
          <w:p w14:paraId="561D4749" w14:textId="77777777" w:rsidR="00CB4CF8" w:rsidRPr="000C4E0A" w:rsidRDefault="00CB4CF8" w:rsidP="008308B6">
            <w:pPr>
              <w:rPr>
                <w:lang w:val="lt-LT"/>
              </w:rPr>
            </w:pPr>
          </w:p>
        </w:tc>
      </w:tr>
    </w:tbl>
    <w:p w14:paraId="2FE8E7A9" w14:textId="77777777" w:rsidR="00CB4CF8" w:rsidRPr="000C4E0A" w:rsidRDefault="00CB4CF8" w:rsidP="00CB4CF8">
      <w:pPr>
        <w:jc w:val="both"/>
        <w:rPr>
          <w:lang w:val="lt-LT"/>
        </w:rPr>
      </w:pPr>
    </w:p>
    <w:p w14:paraId="150C18D6" w14:textId="77777777" w:rsidR="00CB4CF8" w:rsidRDefault="00CB4CF8" w:rsidP="00CB4CF8">
      <w:pPr>
        <w:jc w:val="both"/>
        <w:rPr>
          <w:lang w:val="lt-LT"/>
        </w:rPr>
      </w:pPr>
      <w:r>
        <w:rPr>
          <w:lang w:val="lt-LT"/>
        </w:rPr>
        <w:t>Pasiūlymas galioja  90 dienų nuo pasiūlymų pateikimo termino pabaigos.</w:t>
      </w:r>
    </w:p>
    <w:p w14:paraId="0C218670" w14:textId="77777777" w:rsidR="00CB4CF8" w:rsidRDefault="00CB4CF8" w:rsidP="00CB4CF8">
      <w:pPr>
        <w:jc w:val="both"/>
        <w:rPr>
          <w:lang w:val="lt-LT"/>
        </w:rPr>
      </w:pPr>
    </w:p>
    <w:p w14:paraId="7D2F2F1B" w14:textId="77777777" w:rsidR="00CB4CF8" w:rsidRPr="000C4E0A" w:rsidRDefault="00CB4CF8" w:rsidP="00CB4CF8">
      <w:pPr>
        <w:ind w:firstLine="720"/>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tblGrid>
      <w:tr w:rsidR="00CB4CF8" w:rsidRPr="008F21CA" w14:paraId="52DBD08A" w14:textId="77777777" w:rsidTr="008308B6">
        <w:trPr>
          <w:trHeight w:val="81"/>
        </w:trPr>
        <w:tc>
          <w:tcPr>
            <w:tcW w:w="3284" w:type="dxa"/>
            <w:tcBorders>
              <w:top w:val="nil"/>
              <w:left w:val="nil"/>
              <w:bottom w:val="single" w:sz="4" w:space="0" w:color="auto"/>
              <w:right w:val="nil"/>
            </w:tcBorders>
          </w:tcPr>
          <w:p w14:paraId="162F1666" w14:textId="77777777" w:rsidR="00CB4CF8" w:rsidRPr="005F650D" w:rsidRDefault="00CB4CF8" w:rsidP="008308B6">
            <w:pPr>
              <w:ind w:right="-1"/>
              <w:rPr>
                <w:sz w:val="22"/>
                <w:szCs w:val="22"/>
                <w:lang w:val="lt-LT"/>
              </w:rPr>
            </w:pPr>
          </w:p>
        </w:tc>
        <w:tc>
          <w:tcPr>
            <w:tcW w:w="604" w:type="dxa"/>
          </w:tcPr>
          <w:p w14:paraId="277AF6A3" w14:textId="77777777" w:rsidR="00CB4CF8" w:rsidRPr="005F650D" w:rsidRDefault="00CB4CF8" w:rsidP="008308B6">
            <w:pPr>
              <w:ind w:right="-1"/>
              <w:jc w:val="center"/>
              <w:rPr>
                <w:sz w:val="22"/>
                <w:szCs w:val="22"/>
                <w:lang w:val="lt-LT"/>
              </w:rPr>
            </w:pPr>
          </w:p>
        </w:tc>
        <w:tc>
          <w:tcPr>
            <w:tcW w:w="1980" w:type="dxa"/>
            <w:tcBorders>
              <w:top w:val="nil"/>
              <w:left w:val="nil"/>
              <w:bottom w:val="single" w:sz="4" w:space="0" w:color="auto"/>
              <w:right w:val="nil"/>
            </w:tcBorders>
          </w:tcPr>
          <w:p w14:paraId="33548BCE" w14:textId="77777777" w:rsidR="00CB4CF8" w:rsidRPr="005F650D" w:rsidRDefault="00CB4CF8" w:rsidP="008308B6">
            <w:pPr>
              <w:ind w:right="-1"/>
              <w:jc w:val="center"/>
              <w:rPr>
                <w:sz w:val="22"/>
                <w:szCs w:val="22"/>
                <w:lang w:val="lt-LT"/>
              </w:rPr>
            </w:pPr>
          </w:p>
        </w:tc>
        <w:tc>
          <w:tcPr>
            <w:tcW w:w="701" w:type="dxa"/>
          </w:tcPr>
          <w:p w14:paraId="4D842757" w14:textId="77777777" w:rsidR="00CB4CF8" w:rsidRPr="005F650D" w:rsidRDefault="00CB4CF8" w:rsidP="008308B6">
            <w:pPr>
              <w:ind w:right="-1"/>
              <w:jc w:val="center"/>
              <w:rPr>
                <w:sz w:val="22"/>
                <w:szCs w:val="22"/>
                <w:lang w:val="lt-LT"/>
              </w:rPr>
            </w:pPr>
          </w:p>
        </w:tc>
        <w:tc>
          <w:tcPr>
            <w:tcW w:w="2611" w:type="dxa"/>
            <w:tcBorders>
              <w:top w:val="nil"/>
              <w:left w:val="nil"/>
              <w:bottom w:val="single" w:sz="4" w:space="0" w:color="auto"/>
              <w:right w:val="nil"/>
            </w:tcBorders>
          </w:tcPr>
          <w:p w14:paraId="61E615B6" w14:textId="77777777" w:rsidR="00CB4CF8" w:rsidRPr="005F650D" w:rsidRDefault="00CB4CF8" w:rsidP="008308B6">
            <w:pPr>
              <w:ind w:right="-1"/>
              <w:jc w:val="right"/>
              <w:rPr>
                <w:sz w:val="22"/>
                <w:szCs w:val="22"/>
                <w:lang w:val="lt-LT"/>
              </w:rPr>
            </w:pPr>
          </w:p>
        </w:tc>
      </w:tr>
      <w:tr w:rsidR="00CB4CF8" w14:paraId="4C35104C" w14:textId="77777777" w:rsidTr="008308B6">
        <w:trPr>
          <w:trHeight w:val="186"/>
        </w:trPr>
        <w:tc>
          <w:tcPr>
            <w:tcW w:w="3284" w:type="dxa"/>
            <w:tcBorders>
              <w:top w:val="single" w:sz="4" w:space="0" w:color="auto"/>
              <w:left w:val="nil"/>
              <w:bottom w:val="nil"/>
              <w:right w:val="nil"/>
            </w:tcBorders>
            <w:hideMark/>
          </w:tcPr>
          <w:p w14:paraId="55DC2DC6" w14:textId="77777777" w:rsidR="00CB4CF8" w:rsidRPr="005076B1" w:rsidRDefault="00CB4CF8" w:rsidP="008308B6">
            <w:pPr>
              <w:pStyle w:val="BodyText1"/>
              <w:ind w:firstLine="0"/>
              <w:rPr>
                <w:rFonts w:ascii="Times New Roman" w:hAnsi="Times New Roman"/>
                <w:position w:val="6"/>
                <w:lang w:val="lt-LT"/>
              </w:rPr>
            </w:pPr>
            <w:r w:rsidRPr="005076B1">
              <w:rPr>
                <w:rFonts w:ascii="Times New Roman" w:hAnsi="Times New Roman"/>
                <w:position w:val="6"/>
                <w:lang w:val="lt-LT"/>
              </w:rPr>
              <w:t>(Tiekėjo arba jo įgalioto asmens pareigų pavadinimas)</w:t>
            </w:r>
          </w:p>
        </w:tc>
        <w:tc>
          <w:tcPr>
            <w:tcW w:w="604" w:type="dxa"/>
          </w:tcPr>
          <w:p w14:paraId="7AD4F77E" w14:textId="77777777" w:rsidR="00CB4CF8" w:rsidRPr="005F650D" w:rsidRDefault="00CB4CF8" w:rsidP="008308B6">
            <w:pPr>
              <w:ind w:right="-1"/>
              <w:jc w:val="center"/>
              <w:rPr>
                <w:lang w:val="fi-FI"/>
              </w:rPr>
            </w:pPr>
          </w:p>
        </w:tc>
        <w:tc>
          <w:tcPr>
            <w:tcW w:w="1980" w:type="dxa"/>
            <w:tcBorders>
              <w:top w:val="single" w:sz="4" w:space="0" w:color="auto"/>
              <w:left w:val="nil"/>
              <w:bottom w:val="nil"/>
              <w:right w:val="nil"/>
            </w:tcBorders>
            <w:hideMark/>
          </w:tcPr>
          <w:p w14:paraId="5727928F" w14:textId="77777777" w:rsidR="00CB4CF8" w:rsidRDefault="00CB4CF8" w:rsidP="008308B6">
            <w:pPr>
              <w:ind w:right="-1"/>
              <w:jc w:val="center"/>
            </w:pPr>
            <w:r>
              <w:rPr>
                <w:position w:val="6"/>
              </w:rPr>
              <w:t>(</w:t>
            </w:r>
            <w:proofErr w:type="spellStart"/>
            <w:r>
              <w:rPr>
                <w:position w:val="6"/>
              </w:rPr>
              <w:t>Parašas</w:t>
            </w:r>
            <w:proofErr w:type="spellEnd"/>
            <w:r>
              <w:rPr>
                <w:position w:val="6"/>
              </w:rPr>
              <w:t>)</w:t>
            </w:r>
            <w:r>
              <w:rPr>
                <w:i/>
                <w:iCs/>
              </w:rPr>
              <w:t xml:space="preserve"> </w:t>
            </w:r>
          </w:p>
        </w:tc>
        <w:tc>
          <w:tcPr>
            <w:tcW w:w="701" w:type="dxa"/>
          </w:tcPr>
          <w:p w14:paraId="242E6678" w14:textId="77777777" w:rsidR="00CB4CF8" w:rsidRDefault="00CB4CF8" w:rsidP="008308B6">
            <w:pPr>
              <w:ind w:right="-1"/>
              <w:jc w:val="center"/>
            </w:pPr>
          </w:p>
        </w:tc>
        <w:tc>
          <w:tcPr>
            <w:tcW w:w="2611" w:type="dxa"/>
            <w:tcBorders>
              <w:top w:val="single" w:sz="4" w:space="0" w:color="auto"/>
              <w:left w:val="nil"/>
              <w:bottom w:val="nil"/>
              <w:right w:val="nil"/>
            </w:tcBorders>
            <w:hideMark/>
          </w:tcPr>
          <w:p w14:paraId="231DE05D" w14:textId="77777777" w:rsidR="00CB4CF8" w:rsidRDefault="00CB4CF8" w:rsidP="008308B6">
            <w:pPr>
              <w:ind w:right="-1"/>
              <w:jc w:val="center"/>
            </w:pPr>
            <w:r>
              <w:rPr>
                <w:position w:val="6"/>
              </w:rPr>
              <w:t>(</w:t>
            </w:r>
            <w:proofErr w:type="spellStart"/>
            <w:r>
              <w:rPr>
                <w:position w:val="6"/>
              </w:rPr>
              <w:t>Vardas</w:t>
            </w:r>
            <w:proofErr w:type="spellEnd"/>
            <w:r>
              <w:rPr>
                <w:position w:val="6"/>
              </w:rPr>
              <w:t xml:space="preserve"> ir </w:t>
            </w:r>
            <w:proofErr w:type="spellStart"/>
            <w:r>
              <w:rPr>
                <w:position w:val="6"/>
              </w:rPr>
              <w:t>pavardė</w:t>
            </w:r>
            <w:proofErr w:type="spellEnd"/>
            <w:r>
              <w:rPr>
                <w:position w:val="6"/>
              </w:rPr>
              <w:t>)</w:t>
            </w:r>
            <w:r>
              <w:rPr>
                <w:i/>
                <w:iCs/>
              </w:rPr>
              <w:t xml:space="preserve"> </w:t>
            </w:r>
          </w:p>
        </w:tc>
      </w:tr>
    </w:tbl>
    <w:p w14:paraId="2ABF1C83" w14:textId="77777777" w:rsidR="00CB4CF8" w:rsidRDefault="00CB4CF8" w:rsidP="00CB4CF8">
      <w:pPr>
        <w:rPr>
          <w:lang w:val="lt-LT"/>
        </w:rPr>
      </w:pPr>
    </w:p>
    <w:p w14:paraId="00B58C75" w14:textId="77777777" w:rsidR="00CB4CF8" w:rsidRDefault="00CB4CF8" w:rsidP="00CB4CF8">
      <w:pPr>
        <w:rPr>
          <w:lang w:val="lt-LT"/>
        </w:rPr>
      </w:pPr>
    </w:p>
    <w:p w14:paraId="4FDA2730" w14:textId="77777777" w:rsidR="00CB4CF8" w:rsidRDefault="00CB4CF8" w:rsidP="00CB4CF8">
      <w:pPr>
        <w:ind w:firstLine="720"/>
        <w:rPr>
          <w:lang w:val="lt-LT"/>
        </w:rPr>
      </w:pPr>
    </w:p>
    <w:p w14:paraId="7F1E4F9A" w14:textId="77777777" w:rsidR="00CB4CF8" w:rsidRDefault="00CB4CF8" w:rsidP="00CB4CF8">
      <w:pPr>
        <w:jc w:val="both"/>
        <w:rPr>
          <w:lang w:val="lt-LT"/>
        </w:rPr>
      </w:pPr>
      <w:r>
        <w:rPr>
          <w:lang w:val="lt-LT"/>
        </w:rPr>
        <w:t>A.V.</w:t>
      </w:r>
    </w:p>
    <w:p w14:paraId="48E0B337" w14:textId="77777777" w:rsidR="00CB4CF8" w:rsidRPr="000C4E0A" w:rsidRDefault="00CB4CF8" w:rsidP="00CB4CF8">
      <w:pPr>
        <w:ind w:firstLine="720"/>
        <w:jc w:val="both"/>
        <w:rPr>
          <w:lang w:val="lt-LT"/>
        </w:rPr>
      </w:pPr>
    </w:p>
    <w:p w14:paraId="6F4830F3" w14:textId="77777777" w:rsidR="00CB4CF8" w:rsidRDefault="00CB4CF8" w:rsidP="00CB4CF8">
      <w:pPr>
        <w:jc w:val="both"/>
        <w:rPr>
          <w:lang w:val="lt-LT"/>
        </w:rPr>
      </w:pPr>
    </w:p>
    <w:p w14:paraId="3F8AD0AA" w14:textId="77777777" w:rsidR="00CB4CF8" w:rsidRDefault="00CB4CF8" w:rsidP="00CB4CF8">
      <w:pPr>
        <w:jc w:val="both"/>
        <w:rPr>
          <w:lang w:val="lt-LT"/>
        </w:rPr>
      </w:pPr>
    </w:p>
    <w:p w14:paraId="4B73E34C" w14:textId="77777777" w:rsidR="00CB4CF8" w:rsidRDefault="00CB4CF8" w:rsidP="00CB4CF8">
      <w:pPr>
        <w:jc w:val="both"/>
        <w:rPr>
          <w:lang w:val="lt-LT"/>
        </w:rPr>
      </w:pPr>
    </w:p>
    <w:p w14:paraId="37E3B6C6" w14:textId="77777777" w:rsidR="00CB4CF8" w:rsidRDefault="00CB4CF8" w:rsidP="00CB4CF8">
      <w:pPr>
        <w:pStyle w:val="BodyText"/>
        <w:ind w:left="709"/>
        <w:jc w:val="center"/>
        <w:rPr>
          <w:b w:val="0"/>
          <w:szCs w:val="24"/>
        </w:rPr>
      </w:pPr>
    </w:p>
    <w:p w14:paraId="35E78D71" w14:textId="77777777" w:rsidR="00CB4CF8" w:rsidRDefault="00CB4CF8" w:rsidP="00CB4CF8">
      <w:pPr>
        <w:pStyle w:val="BodyText"/>
        <w:ind w:left="709"/>
        <w:jc w:val="center"/>
        <w:rPr>
          <w:b w:val="0"/>
          <w:szCs w:val="24"/>
        </w:rPr>
      </w:pPr>
    </w:p>
    <w:p w14:paraId="0F29F4C8" w14:textId="77777777" w:rsidR="00CB4CF8" w:rsidRDefault="00CB4CF8" w:rsidP="00CB4CF8">
      <w:pPr>
        <w:pStyle w:val="BodyText"/>
        <w:ind w:left="709"/>
        <w:jc w:val="center"/>
        <w:rPr>
          <w:b w:val="0"/>
          <w:szCs w:val="24"/>
        </w:rPr>
      </w:pPr>
    </w:p>
    <w:p w14:paraId="57A05022" w14:textId="77777777" w:rsidR="00CB4CF8" w:rsidRDefault="00CB4CF8" w:rsidP="00CB4CF8">
      <w:pPr>
        <w:pStyle w:val="BodyText"/>
        <w:ind w:left="709"/>
        <w:jc w:val="center"/>
        <w:rPr>
          <w:b w:val="0"/>
          <w:szCs w:val="24"/>
        </w:rPr>
      </w:pPr>
    </w:p>
    <w:p w14:paraId="3C2EFA06" w14:textId="77777777" w:rsidR="00CB4CF8" w:rsidRPr="005076B1" w:rsidRDefault="00CB4CF8" w:rsidP="00CB4CF8">
      <w:pPr>
        <w:rPr>
          <w:lang w:val="lt-LT"/>
        </w:rPr>
      </w:pPr>
    </w:p>
    <w:p w14:paraId="713A9191" w14:textId="77777777" w:rsidR="005A28A9" w:rsidRDefault="005A28A9" w:rsidP="00CB4CF8">
      <w:pPr>
        <w:ind w:right="-178"/>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CCEC" w14:textId="77777777" w:rsidR="00647648" w:rsidRDefault="00647648">
      <w:r>
        <w:separator/>
      </w:r>
    </w:p>
  </w:endnote>
  <w:endnote w:type="continuationSeparator" w:id="0">
    <w:p w14:paraId="7FFC3B36" w14:textId="77777777" w:rsidR="00647648" w:rsidRDefault="0064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1C8E" w14:textId="77777777" w:rsidR="00647648" w:rsidRDefault="00647648">
      <w:r>
        <w:separator/>
      </w:r>
    </w:p>
  </w:footnote>
  <w:footnote w:type="continuationSeparator" w:id="0">
    <w:p w14:paraId="741A87F4" w14:textId="77777777" w:rsidR="00647648" w:rsidRDefault="00647648">
      <w:r>
        <w:continuationSeparator/>
      </w:r>
    </w:p>
  </w:footnote>
  <w:footnote w:id="1">
    <w:p w14:paraId="16D22E08" w14:textId="77777777" w:rsidR="00CB4CF8" w:rsidRPr="005F650D" w:rsidRDefault="00CB4CF8" w:rsidP="00CB4CF8">
      <w:pPr>
        <w:pStyle w:val="FootnoteText"/>
        <w:rPr>
          <w:lang w:val="fi-FI"/>
        </w:rPr>
      </w:pPr>
      <w:r>
        <w:rPr>
          <w:rStyle w:val="FootnoteReference"/>
        </w:rPr>
        <w:footnoteRef/>
      </w:r>
      <w:r w:rsidRPr="005F650D">
        <w:rPr>
          <w:lang w:val="fi-FI"/>
        </w:rPr>
        <w:t xml:space="preserve"> </w:t>
      </w:r>
      <w:r w:rsidRPr="005F650D">
        <w:rPr>
          <w:bCs/>
          <w:lang w:val="fi-FI"/>
        </w:rPr>
        <w:t>Pildyti tuomet, jei sutarties vykdymui bus pasitelkti subtiekėjai (subteikėjai). Jeigu teikiamas pasiūlymas daugiau kaip vienai pirkimo daliai, nurodyti, kurioje pirkimo dalyje bus pasitelkiamas subtiekėjas (subteikėjas).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FF69" w14:textId="77777777" w:rsidR="00202624" w:rsidRDefault="00202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8"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0"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24B735CA"/>
    <w:multiLevelType w:val="multilevel"/>
    <w:tmpl w:val="7126292A"/>
    <w:lvl w:ilvl="0">
      <w:start w:val="7"/>
      <w:numFmt w:val="decimal"/>
      <w:lvlText w:val="%1."/>
      <w:lvlJc w:val="left"/>
      <w:pPr>
        <w:ind w:left="360" w:hanging="360"/>
      </w:pPr>
      <w:rPr>
        <w:rFonts w:hint="default"/>
        <w:b w:val="0"/>
      </w:rPr>
    </w:lvl>
    <w:lvl w:ilvl="1">
      <w:start w:val="1"/>
      <w:numFmt w:val="decimal"/>
      <w:lvlText w:val="%1.%2."/>
      <w:lvlJc w:val="left"/>
      <w:pPr>
        <w:ind w:left="4140" w:hanging="360"/>
      </w:pPr>
      <w:rPr>
        <w:rFonts w:hint="default"/>
        <w:b w:val="0"/>
      </w:rPr>
    </w:lvl>
    <w:lvl w:ilvl="2">
      <w:start w:val="1"/>
      <w:numFmt w:val="decimal"/>
      <w:lvlText w:val="%1.%2.%3."/>
      <w:lvlJc w:val="left"/>
      <w:pPr>
        <w:ind w:left="8280" w:hanging="720"/>
      </w:pPr>
      <w:rPr>
        <w:rFonts w:hint="default"/>
        <w:b w:val="0"/>
      </w:rPr>
    </w:lvl>
    <w:lvl w:ilvl="3">
      <w:start w:val="1"/>
      <w:numFmt w:val="decimal"/>
      <w:lvlText w:val="%1.%2.%3.%4."/>
      <w:lvlJc w:val="left"/>
      <w:pPr>
        <w:ind w:left="12060" w:hanging="720"/>
      </w:pPr>
      <w:rPr>
        <w:rFonts w:hint="default"/>
        <w:b w:val="0"/>
      </w:rPr>
    </w:lvl>
    <w:lvl w:ilvl="4">
      <w:start w:val="1"/>
      <w:numFmt w:val="decimal"/>
      <w:lvlText w:val="%1.%2.%3.%4.%5."/>
      <w:lvlJc w:val="left"/>
      <w:pPr>
        <w:ind w:left="16200" w:hanging="1080"/>
      </w:pPr>
      <w:rPr>
        <w:rFonts w:hint="default"/>
        <w:b w:val="0"/>
      </w:rPr>
    </w:lvl>
    <w:lvl w:ilvl="5">
      <w:start w:val="1"/>
      <w:numFmt w:val="decimal"/>
      <w:lvlText w:val="%1.%2.%3.%4.%5.%6."/>
      <w:lvlJc w:val="left"/>
      <w:pPr>
        <w:ind w:left="19980" w:hanging="1080"/>
      </w:pPr>
      <w:rPr>
        <w:rFonts w:hint="default"/>
        <w:b w:val="0"/>
      </w:rPr>
    </w:lvl>
    <w:lvl w:ilvl="6">
      <w:start w:val="1"/>
      <w:numFmt w:val="decimal"/>
      <w:lvlText w:val="%1.%2.%3.%4.%5.%6.%7."/>
      <w:lvlJc w:val="left"/>
      <w:pPr>
        <w:ind w:left="24120" w:hanging="1440"/>
      </w:pPr>
      <w:rPr>
        <w:rFonts w:hint="default"/>
        <w:b w:val="0"/>
      </w:rPr>
    </w:lvl>
    <w:lvl w:ilvl="7">
      <w:start w:val="1"/>
      <w:numFmt w:val="decimal"/>
      <w:lvlText w:val="%1.%2.%3.%4.%5.%6.%7.%8."/>
      <w:lvlJc w:val="left"/>
      <w:pPr>
        <w:ind w:left="27900" w:hanging="1440"/>
      </w:pPr>
      <w:rPr>
        <w:rFonts w:hint="default"/>
        <w:b w:val="0"/>
      </w:rPr>
    </w:lvl>
    <w:lvl w:ilvl="8">
      <w:start w:val="1"/>
      <w:numFmt w:val="decimal"/>
      <w:lvlText w:val="%1.%2.%3.%4.%5.%6.%7.%8.%9."/>
      <w:lvlJc w:val="left"/>
      <w:pPr>
        <w:ind w:left="32040" w:hanging="1800"/>
      </w:pPr>
      <w:rPr>
        <w:rFonts w:hint="default"/>
        <w:b w:val="0"/>
      </w:rPr>
    </w:lvl>
  </w:abstractNum>
  <w:abstractNum w:abstractNumId="12"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3"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B0695E"/>
    <w:multiLevelType w:val="multilevel"/>
    <w:tmpl w:val="27A2FBD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7"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18"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9"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0"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1"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3"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25"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6"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1034232751">
    <w:abstractNumId w:val="25"/>
  </w:num>
  <w:num w:numId="2" w16cid:durableId="1233658884">
    <w:abstractNumId w:val="5"/>
  </w:num>
  <w:num w:numId="3" w16cid:durableId="2139715891">
    <w:abstractNumId w:val="10"/>
  </w:num>
  <w:num w:numId="4" w16cid:durableId="1037320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8135418">
    <w:abstractNumId w:val="9"/>
  </w:num>
  <w:num w:numId="6" w16cid:durableId="1625698794">
    <w:abstractNumId w:val="0"/>
  </w:num>
  <w:num w:numId="7" w16cid:durableId="2065372630">
    <w:abstractNumId w:val="23"/>
  </w:num>
  <w:num w:numId="8" w16cid:durableId="1357269756">
    <w:abstractNumId w:val="26"/>
  </w:num>
  <w:num w:numId="9" w16cid:durableId="1233344800">
    <w:abstractNumId w:val="24"/>
  </w:num>
  <w:num w:numId="10" w16cid:durableId="372270608">
    <w:abstractNumId w:val="22"/>
  </w:num>
  <w:num w:numId="11" w16cid:durableId="740952351">
    <w:abstractNumId w:val="16"/>
  </w:num>
  <w:num w:numId="12" w16cid:durableId="1644968748">
    <w:abstractNumId w:val="6"/>
  </w:num>
  <w:num w:numId="13" w16cid:durableId="422337999">
    <w:abstractNumId w:val="18"/>
  </w:num>
  <w:num w:numId="14" w16cid:durableId="1534148647">
    <w:abstractNumId w:val="7"/>
  </w:num>
  <w:num w:numId="15" w16cid:durableId="231741784">
    <w:abstractNumId w:val="19"/>
  </w:num>
  <w:num w:numId="16" w16cid:durableId="842162605">
    <w:abstractNumId w:val="12"/>
  </w:num>
  <w:num w:numId="17" w16cid:durableId="1598050836">
    <w:abstractNumId w:val="20"/>
  </w:num>
  <w:num w:numId="18" w16cid:durableId="1637182856">
    <w:abstractNumId w:val="21"/>
  </w:num>
  <w:num w:numId="19" w16cid:durableId="600451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1758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7689304">
    <w:abstractNumId w:val="13"/>
  </w:num>
  <w:num w:numId="22" w16cid:durableId="708139948">
    <w:abstractNumId w:val="4"/>
    <w:lvlOverride w:ilvl="0">
      <w:startOverride w:val="1"/>
    </w:lvlOverride>
  </w:num>
  <w:num w:numId="23" w16cid:durableId="1181889577">
    <w:abstractNumId w:val="11"/>
  </w:num>
  <w:num w:numId="24" w16cid:durableId="131891770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C2"/>
    <w:rsid w:val="00005297"/>
    <w:rsid w:val="000103D0"/>
    <w:rsid w:val="00011028"/>
    <w:rsid w:val="00013F95"/>
    <w:rsid w:val="0001691A"/>
    <w:rsid w:val="00017C9E"/>
    <w:rsid w:val="00020117"/>
    <w:rsid w:val="00021130"/>
    <w:rsid w:val="00022DA9"/>
    <w:rsid w:val="0002734C"/>
    <w:rsid w:val="0003196A"/>
    <w:rsid w:val="00032E31"/>
    <w:rsid w:val="00046B7D"/>
    <w:rsid w:val="0005314E"/>
    <w:rsid w:val="00053549"/>
    <w:rsid w:val="00053573"/>
    <w:rsid w:val="000564BD"/>
    <w:rsid w:val="00061958"/>
    <w:rsid w:val="000619EE"/>
    <w:rsid w:val="000631DE"/>
    <w:rsid w:val="00066F81"/>
    <w:rsid w:val="00074324"/>
    <w:rsid w:val="00074A02"/>
    <w:rsid w:val="00074BDE"/>
    <w:rsid w:val="00083734"/>
    <w:rsid w:val="00091E02"/>
    <w:rsid w:val="00093924"/>
    <w:rsid w:val="000A0B5C"/>
    <w:rsid w:val="000A41D3"/>
    <w:rsid w:val="000A59F3"/>
    <w:rsid w:val="000A69AE"/>
    <w:rsid w:val="000B2491"/>
    <w:rsid w:val="000B3C34"/>
    <w:rsid w:val="000B64CD"/>
    <w:rsid w:val="000B75A9"/>
    <w:rsid w:val="000C3301"/>
    <w:rsid w:val="000C493A"/>
    <w:rsid w:val="000C6818"/>
    <w:rsid w:val="000D1F1C"/>
    <w:rsid w:val="000D2C04"/>
    <w:rsid w:val="000D4690"/>
    <w:rsid w:val="000D58CF"/>
    <w:rsid w:val="000D5EAA"/>
    <w:rsid w:val="000E0181"/>
    <w:rsid w:val="000E0BA1"/>
    <w:rsid w:val="000E45A1"/>
    <w:rsid w:val="000E5FCA"/>
    <w:rsid w:val="000E643B"/>
    <w:rsid w:val="000E7D67"/>
    <w:rsid w:val="000F0D8E"/>
    <w:rsid w:val="000F0E1D"/>
    <w:rsid w:val="000F4F6D"/>
    <w:rsid w:val="000F51AA"/>
    <w:rsid w:val="00105D76"/>
    <w:rsid w:val="0010670B"/>
    <w:rsid w:val="00107D0D"/>
    <w:rsid w:val="00112A60"/>
    <w:rsid w:val="00112B98"/>
    <w:rsid w:val="00113FE1"/>
    <w:rsid w:val="001157EB"/>
    <w:rsid w:val="0012726F"/>
    <w:rsid w:val="001307B3"/>
    <w:rsid w:val="00131AF7"/>
    <w:rsid w:val="001322CD"/>
    <w:rsid w:val="0013396D"/>
    <w:rsid w:val="00137135"/>
    <w:rsid w:val="00140218"/>
    <w:rsid w:val="00146365"/>
    <w:rsid w:val="0015006C"/>
    <w:rsid w:val="001567CA"/>
    <w:rsid w:val="001660FF"/>
    <w:rsid w:val="0017049A"/>
    <w:rsid w:val="001712ED"/>
    <w:rsid w:val="001724D9"/>
    <w:rsid w:val="0017762D"/>
    <w:rsid w:val="0018190E"/>
    <w:rsid w:val="00181D6D"/>
    <w:rsid w:val="00181FEF"/>
    <w:rsid w:val="00182C57"/>
    <w:rsid w:val="00190B57"/>
    <w:rsid w:val="00192363"/>
    <w:rsid w:val="00192E01"/>
    <w:rsid w:val="00193091"/>
    <w:rsid w:val="00195FD2"/>
    <w:rsid w:val="001A3D52"/>
    <w:rsid w:val="001A7363"/>
    <w:rsid w:val="001B0DB3"/>
    <w:rsid w:val="001B1E81"/>
    <w:rsid w:val="001B6B74"/>
    <w:rsid w:val="001B7C1B"/>
    <w:rsid w:val="001C3BC4"/>
    <w:rsid w:val="001C4C49"/>
    <w:rsid w:val="001C631A"/>
    <w:rsid w:val="001C7F2A"/>
    <w:rsid w:val="001D0E50"/>
    <w:rsid w:val="001D1377"/>
    <w:rsid w:val="001D14EC"/>
    <w:rsid w:val="001D26EC"/>
    <w:rsid w:val="001D2FC0"/>
    <w:rsid w:val="001D3D37"/>
    <w:rsid w:val="001E302D"/>
    <w:rsid w:val="001F2407"/>
    <w:rsid w:val="001F433B"/>
    <w:rsid w:val="00201D82"/>
    <w:rsid w:val="00202303"/>
    <w:rsid w:val="00202624"/>
    <w:rsid w:val="00202910"/>
    <w:rsid w:val="0020348F"/>
    <w:rsid w:val="002047F1"/>
    <w:rsid w:val="00204DB1"/>
    <w:rsid w:val="00205379"/>
    <w:rsid w:val="00205F34"/>
    <w:rsid w:val="0021392B"/>
    <w:rsid w:val="00216394"/>
    <w:rsid w:val="00225D40"/>
    <w:rsid w:val="00225F61"/>
    <w:rsid w:val="002314FE"/>
    <w:rsid w:val="00231C5E"/>
    <w:rsid w:val="0023680D"/>
    <w:rsid w:val="002368F0"/>
    <w:rsid w:val="0023795D"/>
    <w:rsid w:val="00241230"/>
    <w:rsid w:val="00241D82"/>
    <w:rsid w:val="0024263C"/>
    <w:rsid w:val="00242C60"/>
    <w:rsid w:val="00250237"/>
    <w:rsid w:val="0025231C"/>
    <w:rsid w:val="00252C3B"/>
    <w:rsid w:val="0025478B"/>
    <w:rsid w:val="0025481C"/>
    <w:rsid w:val="002603B4"/>
    <w:rsid w:val="0026284D"/>
    <w:rsid w:val="00263EF9"/>
    <w:rsid w:val="00266B59"/>
    <w:rsid w:val="002726A2"/>
    <w:rsid w:val="002749A3"/>
    <w:rsid w:val="00277A51"/>
    <w:rsid w:val="00282F7F"/>
    <w:rsid w:val="00283925"/>
    <w:rsid w:val="00284B3F"/>
    <w:rsid w:val="00285AE9"/>
    <w:rsid w:val="002955A5"/>
    <w:rsid w:val="00296FF1"/>
    <w:rsid w:val="002A206E"/>
    <w:rsid w:val="002A234E"/>
    <w:rsid w:val="002A3339"/>
    <w:rsid w:val="002A3EEB"/>
    <w:rsid w:val="002A469B"/>
    <w:rsid w:val="002A6BC2"/>
    <w:rsid w:val="002A6E74"/>
    <w:rsid w:val="002A749A"/>
    <w:rsid w:val="002B05E5"/>
    <w:rsid w:val="002B14DD"/>
    <w:rsid w:val="002B3652"/>
    <w:rsid w:val="002B560E"/>
    <w:rsid w:val="002B5F26"/>
    <w:rsid w:val="002C77AB"/>
    <w:rsid w:val="002D0729"/>
    <w:rsid w:val="002D241E"/>
    <w:rsid w:val="002E1E8C"/>
    <w:rsid w:val="002E2BC5"/>
    <w:rsid w:val="002E4368"/>
    <w:rsid w:val="002E4B25"/>
    <w:rsid w:val="002E6913"/>
    <w:rsid w:val="002E7765"/>
    <w:rsid w:val="002E7D66"/>
    <w:rsid w:val="00300059"/>
    <w:rsid w:val="00301CF0"/>
    <w:rsid w:val="00302854"/>
    <w:rsid w:val="00302ACE"/>
    <w:rsid w:val="00303222"/>
    <w:rsid w:val="003053B6"/>
    <w:rsid w:val="0030579A"/>
    <w:rsid w:val="003173A8"/>
    <w:rsid w:val="00326437"/>
    <w:rsid w:val="0032794E"/>
    <w:rsid w:val="00340AC5"/>
    <w:rsid w:val="00340C88"/>
    <w:rsid w:val="00341183"/>
    <w:rsid w:val="00341EE5"/>
    <w:rsid w:val="003522DE"/>
    <w:rsid w:val="00353167"/>
    <w:rsid w:val="0036072B"/>
    <w:rsid w:val="00361024"/>
    <w:rsid w:val="00361A1B"/>
    <w:rsid w:val="00362020"/>
    <w:rsid w:val="00372348"/>
    <w:rsid w:val="003746F3"/>
    <w:rsid w:val="003753A0"/>
    <w:rsid w:val="00375F96"/>
    <w:rsid w:val="003826A3"/>
    <w:rsid w:val="003873D4"/>
    <w:rsid w:val="00391283"/>
    <w:rsid w:val="003940C2"/>
    <w:rsid w:val="003A1667"/>
    <w:rsid w:val="003A437F"/>
    <w:rsid w:val="003A6EE0"/>
    <w:rsid w:val="003A7893"/>
    <w:rsid w:val="003C0A51"/>
    <w:rsid w:val="003C25EA"/>
    <w:rsid w:val="003C2A0E"/>
    <w:rsid w:val="003C5159"/>
    <w:rsid w:val="003C6C50"/>
    <w:rsid w:val="003E0554"/>
    <w:rsid w:val="003E1FFA"/>
    <w:rsid w:val="003E2E1A"/>
    <w:rsid w:val="003F1CF1"/>
    <w:rsid w:val="003F3C80"/>
    <w:rsid w:val="003F5AEB"/>
    <w:rsid w:val="00401682"/>
    <w:rsid w:val="00405159"/>
    <w:rsid w:val="00411714"/>
    <w:rsid w:val="004127C7"/>
    <w:rsid w:val="004174D4"/>
    <w:rsid w:val="00421CC8"/>
    <w:rsid w:val="00424399"/>
    <w:rsid w:val="00425601"/>
    <w:rsid w:val="0042684F"/>
    <w:rsid w:val="00426D93"/>
    <w:rsid w:val="00430884"/>
    <w:rsid w:val="00437A3C"/>
    <w:rsid w:val="004407DB"/>
    <w:rsid w:val="00445744"/>
    <w:rsid w:val="00454CB8"/>
    <w:rsid w:val="004551F6"/>
    <w:rsid w:val="00460106"/>
    <w:rsid w:val="00460BCA"/>
    <w:rsid w:val="00464F57"/>
    <w:rsid w:val="00465A22"/>
    <w:rsid w:val="00471D54"/>
    <w:rsid w:val="00473F79"/>
    <w:rsid w:val="004758C9"/>
    <w:rsid w:val="004770D7"/>
    <w:rsid w:val="00477D88"/>
    <w:rsid w:val="0048164C"/>
    <w:rsid w:val="00485341"/>
    <w:rsid w:val="00491235"/>
    <w:rsid w:val="004928A8"/>
    <w:rsid w:val="004933CD"/>
    <w:rsid w:val="00493BD5"/>
    <w:rsid w:val="00493FBA"/>
    <w:rsid w:val="00494488"/>
    <w:rsid w:val="00497DDA"/>
    <w:rsid w:val="004A031C"/>
    <w:rsid w:val="004A0908"/>
    <w:rsid w:val="004A7CCF"/>
    <w:rsid w:val="004B2263"/>
    <w:rsid w:val="004B4573"/>
    <w:rsid w:val="004B5DCE"/>
    <w:rsid w:val="004B6FEA"/>
    <w:rsid w:val="004C30E0"/>
    <w:rsid w:val="004D1B02"/>
    <w:rsid w:val="004D2213"/>
    <w:rsid w:val="004D484B"/>
    <w:rsid w:val="004D65A3"/>
    <w:rsid w:val="004E149C"/>
    <w:rsid w:val="004E7493"/>
    <w:rsid w:val="004F43AA"/>
    <w:rsid w:val="0050026F"/>
    <w:rsid w:val="00501A16"/>
    <w:rsid w:val="005111CA"/>
    <w:rsid w:val="005113A1"/>
    <w:rsid w:val="005113D5"/>
    <w:rsid w:val="005121B3"/>
    <w:rsid w:val="0051475F"/>
    <w:rsid w:val="00522F41"/>
    <w:rsid w:val="0052353A"/>
    <w:rsid w:val="0052470A"/>
    <w:rsid w:val="00524C23"/>
    <w:rsid w:val="00526061"/>
    <w:rsid w:val="00530D0C"/>
    <w:rsid w:val="00533C60"/>
    <w:rsid w:val="00543F41"/>
    <w:rsid w:val="00553538"/>
    <w:rsid w:val="0055680E"/>
    <w:rsid w:val="005610AF"/>
    <w:rsid w:val="00564CCA"/>
    <w:rsid w:val="005670EA"/>
    <w:rsid w:val="00571DAE"/>
    <w:rsid w:val="00574760"/>
    <w:rsid w:val="005752D3"/>
    <w:rsid w:val="005758A5"/>
    <w:rsid w:val="00576167"/>
    <w:rsid w:val="0058065B"/>
    <w:rsid w:val="00582991"/>
    <w:rsid w:val="00585B35"/>
    <w:rsid w:val="00587EA8"/>
    <w:rsid w:val="00591168"/>
    <w:rsid w:val="00593AAB"/>
    <w:rsid w:val="0059540E"/>
    <w:rsid w:val="0059662D"/>
    <w:rsid w:val="00597B0B"/>
    <w:rsid w:val="005A16A6"/>
    <w:rsid w:val="005A1FE2"/>
    <w:rsid w:val="005A28A9"/>
    <w:rsid w:val="005A3536"/>
    <w:rsid w:val="005B082C"/>
    <w:rsid w:val="005B12E7"/>
    <w:rsid w:val="005B18B6"/>
    <w:rsid w:val="005C1FDE"/>
    <w:rsid w:val="005C35F9"/>
    <w:rsid w:val="005C3BAB"/>
    <w:rsid w:val="005C782F"/>
    <w:rsid w:val="005D16A4"/>
    <w:rsid w:val="005D22DA"/>
    <w:rsid w:val="005D5A27"/>
    <w:rsid w:val="005D7FB2"/>
    <w:rsid w:val="005E00AD"/>
    <w:rsid w:val="005E13E8"/>
    <w:rsid w:val="005E4B49"/>
    <w:rsid w:val="005E5A5D"/>
    <w:rsid w:val="005E5E61"/>
    <w:rsid w:val="005E64B6"/>
    <w:rsid w:val="005F062F"/>
    <w:rsid w:val="005F21AE"/>
    <w:rsid w:val="005F650D"/>
    <w:rsid w:val="00600101"/>
    <w:rsid w:val="0060283B"/>
    <w:rsid w:val="00605D53"/>
    <w:rsid w:val="006074F3"/>
    <w:rsid w:val="0061760D"/>
    <w:rsid w:val="006247D2"/>
    <w:rsid w:val="00625094"/>
    <w:rsid w:val="00625D3D"/>
    <w:rsid w:val="00636328"/>
    <w:rsid w:val="006407CC"/>
    <w:rsid w:val="00647648"/>
    <w:rsid w:val="00650FA8"/>
    <w:rsid w:val="00651B68"/>
    <w:rsid w:val="00652198"/>
    <w:rsid w:val="006529A1"/>
    <w:rsid w:val="00652A3F"/>
    <w:rsid w:val="00654A39"/>
    <w:rsid w:val="00654A58"/>
    <w:rsid w:val="00655BB6"/>
    <w:rsid w:val="00660C23"/>
    <w:rsid w:val="006611DA"/>
    <w:rsid w:val="006632D9"/>
    <w:rsid w:val="0066367B"/>
    <w:rsid w:val="00665BF3"/>
    <w:rsid w:val="00665C27"/>
    <w:rsid w:val="00675D93"/>
    <w:rsid w:val="00676893"/>
    <w:rsid w:val="006773F9"/>
    <w:rsid w:val="00677679"/>
    <w:rsid w:val="00680567"/>
    <w:rsid w:val="00684A67"/>
    <w:rsid w:val="0068572A"/>
    <w:rsid w:val="00685F1B"/>
    <w:rsid w:val="00691CCE"/>
    <w:rsid w:val="006938DE"/>
    <w:rsid w:val="0069593D"/>
    <w:rsid w:val="006A093B"/>
    <w:rsid w:val="006A10B1"/>
    <w:rsid w:val="006A2047"/>
    <w:rsid w:val="006A4616"/>
    <w:rsid w:val="006A47E3"/>
    <w:rsid w:val="006A4C2E"/>
    <w:rsid w:val="006A619F"/>
    <w:rsid w:val="006A6D9E"/>
    <w:rsid w:val="006A6EA0"/>
    <w:rsid w:val="006B0229"/>
    <w:rsid w:val="006B1326"/>
    <w:rsid w:val="006B2FA4"/>
    <w:rsid w:val="006B43C0"/>
    <w:rsid w:val="006C0C1B"/>
    <w:rsid w:val="006C20A0"/>
    <w:rsid w:val="006C48D7"/>
    <w:rsid w:val="006C73C7"/>
    <w:rsid w:val="006D3AED"/>
    <w:rsid w:val="006D3AF5"/>
    <w:rsid w:val="006F261A"/>
    <w:rsid w:val="006F2750"/>
    <w:rsid w:val="006F7618"/>
    <w:rsid w:val="00700703"/>
    <w:rsid w:val="00702C47"/>
    <w:rsid w:val="00704FB7"/>
    <w:rsid w:val="00706839"/>
    <w:rsid w:val="00715682"/>
    <w:rsid w:val="007162EF"/>
    <w:rsid w:val="00716722"/>
    <w:rsid w:val="00720AEA"/>
    <w:rsid w:val="007272D9"/>
    <w:rsid w:val="007321E2"/>
    <w:rsid w:val="007340B3"/>
    <w:rsid w:val="0073773A"/>
    <w:rsid w:val="00737A9F"/>
    <w:rsid w:val="007400DA"/>
    <w:rsid w:val="0074405B"/>
    <w:rsid w:val="00744E0D"/>
    <w:rsid w:val="00745E94"/>
    <w:rsid w:val="0074635F"/>
    <w:rsid w:val="0074734E"/>
    <w:rsid w:val="007474E4"/>
    <w:rsid w:val="00751502"/>
    <w:rsid w:val="00755003"/>
    <w:rsid w:val="0075573F"/>
    <w:rsid w:val="00761AD8"/>
    <w:rsid w:val="00761BDB"/>
    <w:rsid w:val="00770B75"/>
    <w:rsid w:val="007768B9"/>
    <w:rsid w:val="00784D2B"/>
    <w:rsid w:val="007871DA"/>
    <w:rsid w:val="00791507"/>
    <w:rsid w:val="0079706C"/>
    <w:rsid w:val="00797653"/>
    <w:rsid w:val="007A44B0"/>
    <w:rsid w:val="007A5022"/>
    <w:rsid w:val="007B62E0"/>
    <w:rsid w:val="007C03F6"/>
    <w:rsid w:val="007C0E10"/>
    <w:rsid w:val="007C246D"/>
    <w:rsid w:val="007C6A12"/>
    <w:rsid w:val="007C7EDF"/>
    <w:rsid w:val="007D0053"/>
    <w:rsid w:val="007D1AC3"/>
    <w:rsid w:val="007D2B48"/>
    <w:rsid w:val="007D2C75"/>
    <w:rsid w:val="007D6EC8"/>
    <w:rsid w:val="007E0533"/>
    <w:rsid w:val="007E16CE"/>
    <w:rsid w:val="007E4D46"/>
    <w:rsid w:val="007E78C7"/>
    <w:rsid w:val="007F2800"/>
    <w:rsid w:val="007F36B7"/>
    <w:rsid w:val="007F39C1"/>
    <w:rsid w:val="008002AC"/>
    <w:rsid w:val="00812436"/>
    <w:rsid w:val="0081492F"/>
    <w:rsid w:val="00817063"/>
    <w:rsid w:val="008175F6"/>
    <w:rsid w:val="00817C2A"/>
    <w:rsid w:val="00817DDD"/>
    <w:rsid w:val="008220AB"/>
    <w:rsid w:val="00827A74"/>
    <w:rsid w:val="008353B4"/>
    <w:rsid w:val="008354F0"/>
    <w:rsid w:val="0083640F"/>
    <w:rsid w:val="00843D19"/>
    <w:rsid w:val="00845C09"/>
    <w:rsid w:val="00847E77"/>
    <w:rsid w:val="00852E91"/>
    <w:rsid w:val="00855A4B"/>
    <w:rsid w:val="00857C62"/>
    <w:rsid w:val="00861C97"/>
    <w:rsid w:val="00861E2F"/>
    <w:rsid w:val="00863C9A"/>
    <w:rsid w:val="00864A7F"/>
    <w:rsid w:val="00870BA0"/>
    <w:rsid w:val="00870D36"/>
    <w:rsid w:val="00873064"/>
    <w:rsid w:val="00877BA8"/>
    <w:rsid w:val="008817BF"/>
    <w:rsid w:val="00885161"/>
    <w:rsid w:val="00893ED3"/>
    <w:rsid w:val="00895A1B"/>
    <w:rsid w:val="00896923"/>
    <w:rsid w:val="00897E92"/>
    <w:rsid w:val="008B067C"/>
    <w:rsid w:val="008B1192"/>
    <w:rsid w:val="008B22F7"/>
    <w:rsid w:val="008B3D50"/>
    <w:rsid w:val="008B6321"/>
    <w:rsid w:val="008C7D72"/>
    <w:rsid w:val="008C7EFC"/>
    <w:rsid w:val="008D7795"/>
    <w:rsid w:val="008E2CED"/>
    <w:rsid w:val="008E3942"/>
    <w:rsid w:val="008E4780"/>
    <w:rsid w:val="008E5E00"/>
    <w:rsid w:val="008E7560"/>
    <w:rsid w:val="008F21CA"/>
    <w:rsid w:val="008F25BC"/>
    <w:rsid w:val="008F39E4"/>
    <w:rsid w:val="008F5E66"/>
    <w:rsid w:val="00903628"/>
    <w:rsid w:val="00912064"/>
    <w:rsid w:val="00921413"/>
    <w:rsid w:val="00921844"/>
    <w:rsid w:val="00921CC4"/>
    <w:rsid w:val="0092236E"/>
    <w:rsid w:val="009248AD"/>
    <w:rsid w:val="00924A32"/>
    <w:rsid w:val="00925FCB"/>
    <w:rsid w:val="009316BB"/>
    <w:rsid w:val="0093403C"/>
    <w:rsid w:val="009367BA"/>
    <w:rsid w:val="00936941"/>
    <w:rsid w:val="00943113"/>
    <w:rsid w:val="00955A40"/>
    <w:rsid w:val="009604E0"/>
    <w:rsid w:val="00966651"/>
    <w:rsid w:val="00967653"/>
    <w:rsid w:val="0096777D"/>
    <w:rsid w:val="009717D1"/>
    <w:rsid w:val="00972D02"/>
    <w:rsid w:val="00972F1A"/>
    <w:rsid w:val="009739A6"/>
    <w:rsid w:val="009759A9"/>
    <w:rsid w:val="009823EE"/>
    <w:rsid w:val="00986F52"/>
    <w:rsid w:val="00991923"/>
    <w:rsid w:val="00995767"/>
    <w:rsid w:val="009A09EF"/>
    <w:rsid w:val="009A13FC"/>
    <w:rsid w:val="009A4C3E"/>
    <w:rsid w:val="009B05F9"/>
    <w:rsid w:val="009B62E1"/>
    <w:rsid w:val="009B6840"/>
    <w:rsid w:val="009C3CED"/>
    <w:rsid w:val="009C59B6"/>
    <w:rsid w:val="009D12FD"/>
    <w:rsid w:val="009D5CCC"/>
    <w:rsid w:val="009E5B68"/>
    <w:rsid w:val="009F086C"/>
    <w:rsid w:val="009F12BE"/>
    <w:rsid w:val="00A01CDB"/>
    <w:rsid w:val="00A12A8E"/>
    <w:rsid w:val="00A224A1"/>
    <w:rsid w:val="00A2567D"/>
    <w:rsid w:val="00A345F5"/>
    <w:rsid w:val="00A34F66"/>
    <w:rsid w:val="00A34FE4"/>
    <w:rsid w:val="00A37353"/>
    <w:rsid w:val="00A513B5"/>
    <w:rsid w:val="00A52550"/>
    <w:rsid w:val="00A53B75"/>
    <w:rsid w:val="00A55DC6"/>
    <w:rsid w:val="00A674C1"/>
    <w:rsid w:val="00A81C53"/>
    <w:rsid w:val="00A8219C"/>
    <w:rsid w:val="00A9056A"/>
    <w:rsid w:val="00A930C6"/>
    <w:rsid w:val="00A93C4B"/>
    <w:rsid w:val="00AA447F"/>
    <w:rsid w:val="00AA4ACD"/>
    <w:rsid w:val="00AA4BFA"/>
    <w:rsid w:val="00AA790B"/>
    <w:rsid w:val="00AB1139"/>
    <w:rsid w:val="00AB4F38"/>
    <w:rsid w:val="00AB6724"/>
    <w:rsid w:val="00AC0263"/>
    <w:rsid w:val="00AC1859"/>
    <w:rsid w:val="00AC53B2"/>
    <w:rsid w:val="00AD0D4A"/>
    <w:rsid w:val="00AD32D3"/>
    <w:rsid w:val="00AD45DE"/>
    <w:rsid w:val="00AE430C"/>
    <w:rsid w:val="00AE54D3"/>
    <w:rsid w:val="00AE7691"/>
    <w:rsid w:val="00AF103A"/>
    <w:rsid w:val="00AF1173"/>
    <w:rsid w:val="00AF2110"/>
    <w:rsid w:val="00B0249B"/>
    <w:rsid w:val="00B0250E"/>
    <w:rsid w:val="00B03D71"/>
    <w:rsid w:val="00B05222"/>
    <w:rsid w:val="00B13652"/>
    <w:rsid w:val="00B136D5"/>
    <w:rsid w:val="00B236DB"/>
    <w:rsid w:val="00B251AB"/>
    <w:rsid w:val="00B3014B"/>
    <w:rsid w:val="00B344B2"/>
    <w:rsid w:val="00B47CA7"/>
    <w:rsid w:val="00B52583"/>
    <w:rsid w:val="00B54BA8"/>
    <w:rsid w:val="00B5508F"/>
    <w:rsid w:val="00B6344F"/>
    <w:rsid w:val="00B63712"/>
    <w:rsid w:val="00B63B82"/>
    <w:rsid w:val="00B64B73"/>
    <w:rsid w:val="00B64D14"/>
    <w:rsid w:val="00B658FF"/>
    <w:rsid w:val="00B65D05"/>
    <w:rsid w:val="00B71CA3"/>
    <w:rsid w:val="00B740B3"/>
    <w:rsid w:val="00B7496F"/>
    <w:rsid w:val="00B76C04"/>
    <w:rsid w:val="00B82807"/>
    <w:rsid w:val="00B91C1F"/>
    <w:rsid w:val="00B92C4C"/>
    <w:rsid w:val="00BA1265"/>
    <w:rsid w:val="00BA46FF"/>
    <w:rsid w:val="00BA6EE9"/>
    <w:rsid w:val="00BB1ED3"/>
    <w:rsid w:val="00BB2875"/>
    <w:rsid w:val="00BB552C"/>
    <w:rsid w:val="00BB7F6F"/>
    <w:rsid w:val="00BC33E5"/>
    <w:rsid w:val="00BC422D"/>
    <w:rsid w:val="00BD68A7"/>
    <w:rsid w:val="00BD6EDF"/>
    <w:rsid w:val="00BE3064"/>
    <w:rsid w:val="00BE70D4"/>
    <w:rsid w:val="00BF2F69"/>
    <w:rsid w:val="00BF7B19"/>
    <w:rsid w:val="00C07A0D"/>
    <w:rsid w:val="00C11997"/>
    <w:rsid w:val="00C134FE"/>
    <w:rsid w:val="00C144AF"/>
    <w:rsid w:val="00C16430"/>
    <w:rsid w:val="00C16BE7"/>
    <w:rsid w:val="00C2591D"/>
    <w:rsid w:val="00C25B2F"/>
    <w:rsid w:val="00C25F2D"/>
    <w:rsid w:val="00C30A5B"/>
    <w:rsid w:val="00C33132"/>
    <w:rsid w:val="00C37A43"/>
    <w:rsid w:val="00C501A3"/>
    <w:rsid w:val="00C5167D"/>
    <w:rsid w:val="00C51F3D"/>
    <w:rsid w:val="00C52ACE"/>
    <w:rsid w:val="00C52DF4"/>
    <w:rsid w:val="00C53269"/>
    <w:rsid w:val="00C537E4"/>
    <w:rsid w:val="00C62AC8"/>
    <w:rsid w:val="00C7586E"/>
    <w:rsid w:val="00C75CE1"/>
    <w:rsid w:val="00C835C5"/>
    <w:rsid w:val="00C86124"/>
    <w:rsid w:val="00C879D8"/>
    <w:rsid w:val="00C90654"/>
    <w:rsid w:val="00CA29B8"/>
    <w:rsid w:val="00CA7EE4"/>
    <w:rsid w:val="00CB028C"/>
    <w:rsid w:val="00CB2A50"/>
    <w:rsid w:val="00CB4CF8"/>
    <w:rsid w:val="00CB6A87"/>
    <w:rsid w:val="00CC0443"/>
    <w:rsid w:val="00CC25EC"/>
    <w:rsid w:val="00CC7969"/>
    <w:rsid w:val="00CD0A6B"/>
    <w:rsid w:val="00CD0D48"/>
    <w:rsid w:val="00CD721C"/>
    <w:rsid w:val="00CE242A"/>
    <w:rsid w:val="00CE3B1E"/>
    <w:rsid w:val="00CF3EB6"/>
    <w:rsid w:val="00CF4F9E"/>
    <w:rsid w:val="00CF5765"/>
    <w:rsid w:val="00D000CB"/>
    <w:rsid w:val="00D00408"/>
    <w:rsid w:val="00D018BB"/>
    <w:rsid w:val="00D029B5"/>
    <w:rsid w:val="00D1152A"/>
    <w:rsid w:val="00D1407C"/>
    <w:rsid w:val="00D14D3B"/>
    <w:rsid w:val="00D168EF"/>
    <w:rsid w:val="00D200AC"/>
    <w:rsid w:val="00D20E87"/>
    <w:rsid w:val="00D216EC"/>
    <w:rsid w:val="00D24B60"/>
    <w:rsid w:val="00D33832"/>
    <w:rsid w:val="00D419BF"/>
    <w:rsid w:val="00D4585F"/>
    <w:rsid w:val="00D45D30"/>
    <w:rsid w:val="00D478F8"/>
    <w:rsid w:val="00D53B76"/>
    <w:rsid w:val="00D604BA"/>
    <w:rsid w:val="00D64ED5"/>
    <w:rsid w:val="00D65007"/>
    <w:rsid w:val="00D67A4E"/>
    <w:rsid w:val="00D75012"/>
    <w:rsid w:val="00D81053"/>
    <w:rsid w:val="00D820B1"/>
    <w:rsid w:val="00D82EE2"/>
    <w:rsid w:val="00D93482"/>
    <w:rsid w:val="00D9447A"/>
    <w:rsid w:val="00D97CCF"/>
    <w:rsid w:val="00DA0798"/>
    <w:rsid w:val="00DA274B"/>
    <w:rsid w:val="00DA2EC1"/>
    <w:rsid w:val="00DA55FA"/>
    <w:rsid w:val="00DA5A62"/>
    <w:rsid w:val="00DA7979"/>
    <w:rsid w:val="00DA7C4E"/>
    <w:rsid w:val="00DB0140"/>
    <w:rsid w:val="00DB2ED3"/>
    <w:rsid w:val="00DB557A"/>
    <w:rsid w:val="00DB6DB5"/>
    <w:rsid w:val="00DC4FAE"/>
    <w:rsid w:val="00DD11DF"/>
    <w:rsid w:val="00DD226D"/>
    <w:rsid w:val="00DD4180"/>
    <w:rsid w:val="00DD6B19"/>
    <w:rsid w:val="00DF578E"/>
    <w:rsid w:val="00DF6D0F"/>
    <w:rsid w:val="00E0057B"/>
    <w:rsid w:val="00E00B19"/>
    <w:rsid w:val="00E11FDC"/>
    <w:rsid w:val="00E14BFF"/>
    <w:rsid w:val="00E20939"/>
    <w:rsid w:val="00E215E6"/>
    <w:rsid w:val="00E32AE2"/>
    <w:rsid w:val="00E346E3"/>
    <w:rsid w:val="00E35A56"/>
    <w:rsid w:val="00E360B5"/>
    <w:rsid w:val="00E364D5"/>
    <w:rsid w:val="00E43893"/>
    <w:rsid w:val="00E43E2F"/>
    <w:rsid w:val="00E52DF7"/>
    <w:rsid w:val="00E531EF"/>
    <w:rsid w:val="00E5523B"/>
    <w:rsid w:val="00E63714"/>
    <w:rsid w:val="00E66CEE"/>
    <w:rsid w:val="00E70830"/>
    <w:rsid w:val="00E70B06"/>
    <w:rsid w:val="00E71E66"/>
    <w:rsid w:val="00E76A1D"/>
    <w:rsid w:val="00E83CC0"/>
    <w:rsid w:val="00E84CEF"/>
    <w:rsid w:val="00E859C1"/>
    <w:rsid w:val="00E87859"/>
    <w:rsid w:val="00E956C9"/>
    <w:rsid w:val="00E9601D"/>
    <w:rsid w:val="00EA07EE"/>
    <w:rsid w:val="00EA2AB0"/>
    <w:rsid w:val="00EA3BB8"/>
    <w:rsid w:val="00EA3D08"/>
    <w:rsid w:val="00EB6AF4"/>
    <w:rsid w:val="00EC0AFB"/>
    <w:rsid w:val="00ED4891"/>
    <w:rsid w:val="00EE1C5E"/>
    <w:rsid w:val="00EF2465"/>
    <w:rsid w:val="00EF4E63"/>
    <w:rsid w:val="00EF64CB"/>
    <w:rsid w:val="00F040C5"/>
    <w:rsid w:val="00F059DC"/>
    <w:rsid w:val="00F14760"/>
    <w:rsid w:val="00F17A72"/>
    <w:rsid w:val="00F25E6A"/>
    <w:rsid w:val="00F27BD6"/>
    <w:rsid w:val="00F32487"/>
    <w:rsid w:val="00F330B4"/>
    <w:rsid w:val="00F36C40"/>
    <w:rsid w:val="00F43790"/>
    <w:rsid w:val="00F46370"/>
    <w:rsid w:val="00F463B9"/>
    <w:rsid w:val="00F5504E"/>
    <w:rsid w:val="00F601C9"/>
    <w:rsid w:val="00F61C99"/>
    <w:rsid w:val="00F61F03"/>
    <w:rsid w:val="00F63F99"/>
    <w:rsid w:val="00F668EB"/>
    <w:rsid w:val="00F834FD"/>
    <w:rsid w:val="00F86671"/>
    <w:rsid w:val="00F87043"/>
    <w:rsid w:val="00F906F7"/>
    <w:rsid w:val="00F965DC"/>
    <w:rsid w:val="00F96B27"/>
    <w:rsid w:val="00F9769E"/>
    <w:rsid w:val="00F97879"/>
    <w:rsid w:val="00FB05EB"/>
    <w:rsid w:val="00FB0D71"/>
    <w:rsid w:val="00FC358E"/>
    <w:rsid w:val="00FC505F"/>
    <w:rsid w:val="00FD448F"/>
    <w:rsid w:val="00FD7824"/>
    <w:rsid w:val="00FE004F"/>
    <w:rsid w:val="00FE009C"/>
    <w:rsid w:val="00FE37CC"/>
    <w:rsid w:val="00FE432D"/>
    <w:rsid w:val="00FF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5426B"/>
  <w15:docId w15:val="{7BB25477-F7C9-4F5C-BBCB-31AF8ABA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semiHidden/>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
    <w:basedOn w:val="Normal"/>
    <w:semiHidden/>
    <w:rsid w:val="00CA7EE4"/>
    <w:rPr>
      <w:b/>
      <w:sz w:val="28"/>
      <w:szCs w:val="20"/>
      <w:lang w:val="lt-LT"/>
    </w:rPr>
  </w:style>
  <w:style w:type="character" w:styleId="FootnoteReference">
    <w:name w:val="footnote reference"/>
    <w:semiHidden/>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semiHidden/>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link w:val="BodyTextIndent3Char"/>
    <w:uiPriority w:val="99"/>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semiHidden/>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Indent3Char">
    <w:name w:val="Body Text Indent 3 Char"/>
    <w:basedOn w:val="DefaultParagraphFont"/>
    <w:link w:val="BodyTextIndent3"/>
    <w:uiPriority w:val="99"/>
    <w:rsid w:val="002749A3"/>
    <w:rPr>
      <w:color w:val="3366FF"/>
      <w:sz w:val="24"/>
      <w:szCs w:val="24"/>
      <w:lang w:eastAsia="en-US"/>
    </w:rPr>
  </w:style>
  <w:style w:type="character" w:styleId="UnresolvedMention">
    <w:name w:val="Unresolved Mention"/>
    <w:basedOn w:val="DefaultParagraphFont"/>
    <w:uiPriority w:val="99"/>
    <w:semiHidden/>
    <w:unhideWhenUsed/>
    <w:rsid w:val="0069593D"/>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29A1"/>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menkom.lt/" TargetMode="External"/><Relationship Id="rId12" Type="http://schemas.openxmlformats.org/officeDocument/2006/relationships/hyperlink" Target="http://www.vp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mailto:bozena@nemenko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2842</Words>
  <Characters>20757</Characters>
  <Application>Microsoft Office Word</Application>
  <DocSecurity>0</DocSecurity>
  <Lines>172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23552</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138</cp:revision>
  <cp:lastPrinted>2014-09-17T08:17:00Z</cp:lastPrinted>
  <dcterms:created xsi:type="dcterms:W3CDTF">2019-03-18T10:26:00Z</dcterms:created>
  <dcterms:modified xsi:type="dcterms:W3CDTF">2025-11-25T08:28:00Z</dcterms:modified>
</cp:coreProperties>
</file>