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1E1B656B" w:rsidR="0017029E" w:rsidRDefault="00D40EEB" w:rsidP="00E42F4A">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Pr>
          <w:rFonts w:ascii="Tahoma" w:eastAsia="Times New Roman" w:hAnsi="Tahoma" w:cs="Tahoma"/>
          <w:b/>
          <w:bCs/>
          <w:color w:val="000000"/>
          <w:sz w:val="22"/>
          <w:szCs w:val="22"/>
          <w:lang w:val="lt-LT" w:eastAsia="lt-LT"/>
        </w:rPr>
        <w:t xml:space="preserve"> </w:t>
      </w:r>
      <w:r w:rsidR="00E42F4A">
        <w:rPr>
          <w:rFonts w:ascii="Tahoma" w:eastAsia="Times New Roman" w:hAnsi="Tahoma" w:cs="Tahoma"/>
          <w:b/>
          <w:bCs/>
          <w:color w:val="000000"/>
          <w:sz w:val="22"/>
          <w:szCs w:val="22"/>
          <w:lang w:val="lt-LT" w:eastAsia="lt-LT"/>
        </w:rPr>
        <w:t>VAIRO KOLONĖLIŲ</w:t>
      </w:r>
      <w:r w:rsidR="00E201B3">
        <w:rPr>
          <w:rFonts w:ascii="Tahoma" w:eastAsia="Times New Roman" w:hAnsi="Tahoma" w:cs="Tahoma"/>
          <w:b/>
          <w:bCs/>
          <w:color w:val="000000"/>
          <w:sz w:val="22"/>
          <w:szCs w:val="22"/>
          <w:lang w:val="lt-LT" w:eastAsia="lt-LT"/>
        </w:rPr>
        <w:t xml:space="preserve"> HRP</w:t>
      </w:r>
      <w:r w:rsidR="00E42F4A">
        <w:rPr>
          <w:rFonts w:ascii="Tahoma" w:eastAsia="Times New Roman" w:hAnsi="Tahoma" w:cs="Tahoma"/>
          <w:b/>
          <w:bCs/>
          <w:color w:val="000000"/>
          <w:sz w:val="22"/>
          <w:szCs w:val="22"/>
          <w:lang w:val="lt-LT" w:eastAsia="lt-LT"/>
        </w:rPr>
        <w:t xml:space="preserve"> ATSARGINIŲ DALIŲ</w:t>
      </w:r>
      <w:r w:rsidR="00CF1CEB" w:rsidRPr="00CF1CEB">
        <w:rPr>
          <w:rFonts w:ascii="Tahoma" w:eastAsia="Times New Roman" w:hAnsi="Tahoma" w:cs="Tahoma"/>
          <w:b/>
          <w:bCs/>
          <w:color w:val="000000"/>
          <w:sz w:val="22"/>
          <w:szCs w:val="22"/>
          <w:lang w:val="lt-LT" w:eastAsia="lt-LT"/>
        </w:rPr>
        <w:t xml:space="preserve"> </w:t>
      </w:r>
      <w:r w:rsidRPr="00D40EEB">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093F96C2"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E201B3">
        <w:rPr>
          <w:rFonts w:ascii="Tahoma" w:eastAsia="Times New Roman" w:hAnsi="Tahoma" w:cs="Tahoma"/>
          <w:sz w:val="22"/>
          <w:szCs w:val="22"/>
          <w:lang w:eastAsia="lt-LT"/>
        </w:rPr>
        <w:t>lapkričio</w:t>
      </w:r>
      <w:proofErr w:type="spellEnd"/>
      <w:r w:rsidR="00E201B3">
        <w:rPr>
          <w:rFonts w:ascii="Tahoma" w:eastAsia="Times New Roman" w:hAnsi="Tahoma" w:cs="Tahoma"/>
          <w:sz w:val="22"/>
          <w:szCs w:val="22"/>
          <w:lang w:eastAsia="lt-LT"/>
        </w:rPr>
        <w:t xml:space="preserve"> 25</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35A15348"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F6CF1">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F1444A">
        <w:rPr>
          <w:rFonts w:ascii="Tahoma" w:eastAsia="Times New Roman" w:hAnsi="Tahoma" w:cs="Tahoma"/>
          <w:color w:val="000000"/>
          <w:sz w:val="22"/>
          <w:szCs w:val="22"/>
          <w:lang w:eastAsia="lt-LT"/>
        </w:rPr>
        <w:t>v</w:t>
      </w:r>
      <w:r w:rsidR="00412DF6">
        <w:rPr>
          <w:rFonts w:ascii="Tahoma" w:eastAsia="Times New Roman" w:hAnsi="Tahoma" w:cs="Tahoma"/>
          <w:color w:val="000000"/>
          <w:sz w:val="22"/>
          <w:szCs w:val="22"/>
          <w:lang w:eastAsia="lt-LT"/>
        </w:rPr>
        <w:t>airo</w:t>
      </w:r>
      <w:proofErr w:type="spellEnd"/>
      <w:r w:rsidR="00412DF6">
        <w:rPr>
          <w:rFonts w:ascii="Tahoma" w:eastAsia="Times New Roman" w:hAnsi="Tahoma" w:cs="Tahoma"/>
          <w:color w:val="000000"/>
          <w:sz w:val="22"/>
          <w:szCs w:val="22"/>
          <w:lang w:eastAsia="lt-LT"/>
        </w:rPr>
        <w:t xml:space="preserve"> </w:t>
      </w:r>
      <w:proofErr w:type="spellStart"/>
      <w:r w:rsidR="00412DF6">
        <w:rPr>
          <w:rFonts w:ascii="Tahoma" w:eastAsia="Times New Roman" w:hAnsi="Tahoma" w:cs="Tahoma"/>
          <w:color w:val="000000"/>
          <w:sz w:val="22"/>
          <w:szCs w:val="22"/>
          <w:lang w:eastAsia="lt-LT"/>
        </w:rPr>
        <w:t>kolonėlių</w:t>
      </w:r>
      <w:proofErr w:type="spellEnd"/>
      <w:r w:rsidR="00412DF6">
        <w:rPr>
          <w:rFonts w:ascii="Tahoma" w:eastAsia="Times New Roman" w:hAnsi="Tahoma" w:cs="Tahoma"/>
          <w:color w:val="000000"/>
          <w:sz w:val="22"/>
          <w:szCs w:val="22"/>
          <w:lang w:eastAsia="lt-LT"/>
        </w:rPr>
        <w:t xml:space="preserve"> </w:t>
      </w:r>
      <w:r w:rsidR="00F1444A">
        <w:rPr>
          <w:rFonts w:ascii="Tahoma" w:eastAsia="Times New Roman" w:hAnsi="Tahoma" w:cs="Tahoma"/>
          <w:color w:val="000000"/>
          <w:sz w:val="22"/>
          <w:szCs w:val="22"/>
          <w:lang w:eastAsia="lt-LT"/>
        </w:rPr>
        <w:t xml:space="preserve">HRP </w:t>
      </w:r>
      <w:proofErr w:type="spellStart"/>
      <w:r w:rsidR="00412DF6">
        <w:rPr>
          <w:rFonts w:ascii="Tahoma" w:eastAsia="Times New Roman" w:hAnsi="Tahoma" w:cs="Tahoma"/>
          <w:color w:val="000000"/>
          <w:sz w:val="22"/>
          <w:szCs w:val="22"/>
          <w:lang w:eastAsia="lt-LT"/>
        </w:rPr>
        <w:t>atsarginių</w:t>
      </w:r>
      <w:proofErr w:type="spellEnd"/>
      <w:r w:rsidR="00412DF6">
        <w:rPr>
          <w:rFonts w:ascii="Tahoma" w:eastAsia="Times New Roman" w:hAnsi="Tahoma" w:cs="Tahoma"/>
          <w:color w:val="000000"/>
          <w:sz w:val="22"/>
          <w:szCs w:val="22"/>
          <w:lang w:eastAsia="lt-LT"/>
        </w:rPr>
        <w:t xml:space="preserve"> </w:t>
      </w:r>
      <w:proofErr w:type="spellStart"/>
      <w:r w:rsidR="00412DF6">
        <w:rPr>
          <w:rFonts w:ascii="Tahoma" w:eastAsia="Times New Roman" w:hAnsi="Tahoma" w:cs="Tahoma"/>
          <w:color w:val="000000"/>
          <w:sz w:val="22"/>
          <w:szCs w:val="22"/>
          <w:lang w:eastAsia="lt-LT"/>
        </w:rPr>
        <w:t>dalių</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D40EEB">
        <w:rPr>
          <w:rFonts w:ascii="Tahoma" w:eastAsia="Times New Roman" w:hAnsi="Tahoma" w:cs="Tahoma"/>
          <w:color w:val="000000"/>
          <w:sz w:val="22"/>
          <w:szCs w:val="22"/>
          <w:lang w:eastAsia="lt-LT"/>
        </w:rPr>
        <w:t>pirkimo</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kurioje</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dalyvauti</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kviečia</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rinkos</w:t>
      </w:r>
      <w:proofErr w:type="spellEnd"/>
      <w:r w:rsidR="004B14D2"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16B0388A"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32060C03"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777CCF">
        <w:rPr>
          <w:rFonts w:ascii="Tahoma" w:eastAsia="Times New Roman" w:hAnsi="Tahoma" w:cs="Tahoma"/>
          <w:b/>
          <w:bCs/>
          <w:color w:val="000000"/>
          <w:sz w:val="22"/>
          <w:szCs w:val="22"/>
          <w:lang w:eastAsia="lt-LT"/>
        </w:rPr>
        <w:t>gruodžio</w:t>
      </w:r>
      <w:proofErr w:type="spellEnd"/>
      <w:r w:rsidR="00777CCF">
        <w:rPr>
          <w:rFonts w:ascii="Tahoma" w:eastAsia="Times New Roman" w:hAnsi="Tahoma" w:cs="Tahoma"/>
          <w:b/>
          <w:bCs/>
          <w:color w:val="000000"/>
          <w:sz w:val="22"/>
          <w:szCs w:val="22"/>
          <w:lang w:eastAsia="lt-LT"/>
        </w:rPr>
        <w:t xml:space="preserve"> 5</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D40EEB">
        <w:rPr>
          <w:rFonts w:ascii="Tahoma" w:eastAsia="Times New Roman" w:hAnsi="Tahoma" w:cs="Tahoma"/>
          <w:b/>
          <w:bCs/>
          <w:color w:val="000000"/>
          <w:sz w:val="22"/>
          <w:szCs w:val="22"/>
          <w:lang w:eastAsia="lt-LT"/>
        </w:rPr>
        <w:t>1</w:t>
      </w:r>
      <w:r w:rsidR="00CF1CEB">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proofErr w:type="gram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roofErr w:type="gramEnd"/>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B753" w14:textId="77777777" w:rsidR="00DD3008" w:rsidRDefault="00DD3008">
      <w:r>
        <w:separator/>
      </w:r>
    </w:p>
  </w:endnote>
  <w:endnote w:type="continuationSeparator" w:id="0">
    <w:p w14:paraId="0CFAB495" w14:textId="77777777" w:rsidR="00DD3008" w:rsidRDefault="00DD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055F" w14:textId="77777777" w:rsidR="00DD3008" w:rsidRDefault="00DD3008">
      <w:r>
        <w:separator/>
      </w:r>
    </w:p>
  </w:footnote>
  <w:footnote w:type="continuationSeparator" w:id="0">
    <w:p w14:paraId="43DD4C1A" w14:textId="77777777" w:rsidR="00DD3008" w:rsidRDefault="00DD3008">
      <w:r>
        <w:continuationSeparator/>
      </w:r>
    </w:p>
  </w:footnote>
  <w:footnote w:id="1">
    <w:p w14:paraId="4F6A9440" w14:textId="292D995C" w:rsidR="00EC317D" w:rsidRPr="003E4D33" w:rsidRDefault="00EC317D" w:rsidP="0017029E">
      <w:pPr>
        <w:pStyle w:val="Puslapioinaostekstas"/>
        <w:rPr>
          <w:rFonts w:ascii="Tahoma" w:hAnsi="Tahoma" w:cs="Tahoma"/>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w:t>
      </w:r>
      <w:r w:rsidRPr="003E4D33">
        <w:rPr>
          <w:rFonts w:ascii="Tahoma" w:hAnsi="Tahoma" w:cs="Tahoma"/>
        </w:rPr>
        <w:t>Visi iš tiekėjų gauti duomenys bus naudojami tik šios rinkos konsultacijos apimtyje ir šiame kvietime nustatytais tikslais</w:t>
      </w:r>
      <w:r w:rsidR="00BD4403" w:rsidRPr="003E4D33">
        <w:rPr>
          <w:rFonts w:ascii="Tahoma" w:hAnsi="Tahoma" w:cs="Tahoma"/>
        </w:rPr>
        <w:t xml:space="preserve"> bei bus laikomi konfidencialia informacija</w:t>
      </w:r>
      <w:r w:rsidRPr="003E4D33">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26A4B"/>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4D33"/>
    <w:rsid w:val="003E5877"/>
    <w:rsid w:val="003E5C38"/>
    <w:rsid w:val="003E6A7F"/>
    <w:rsid w:val="003F0060"/>
    <w:rsid w:val="003F7CC6"/>
    <w:rsid w:val="00403644"/>
    <w:rsid w:val="004073D3"/>
    <w:rsid w:val="00411770"/>
    <w:rsid w:val="004128EF"/>
    <w:rsid w:val="00412DF6"/>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14D2"/>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B551D"/>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3203"/>
    <w:rsid w:val="00645F6E"/>
    <w:rsid w:val="00652DB9"/>
    <w:rsid w:val="00652EE1"/>
    <w:rsid w:val="00654BC4"/>
    <w:rsid w:val="006602A9"/>
    <w:rsid w:val="00660B93"/>
    <w:rsid w:val="00662CEB"/>
    <w:rsid w:val="00664384"/>
    <w:rsid w:val="006677BA"/>
    <w:rsid w:val="00670F60"/>
    <w:rsid w:val="006731CB"/>
    <w:rsid w:val="00673A98"/>
    <w:rsid w:val="00677FFB"/>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CF1"/>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CCF"/>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4403"/>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3935"/>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1CEB"/>
    <w:rsid w:val="00CF3F6F"/>
    <w:rsid w:val="00D0258C"/>
    <w:rsid w:val="00D111B3"/>
    <w:rsid w:val="00D1185D"/>
    <w:rsid w:val="00D15396"/>
    <w:rsid w:val="00D1708E"/>
    <w:rsid w:val="00D20FB9"/>
    <w:rsid w:val="00D211B3"/>
    <w:rsid w:val="00D265EE"/>
    <w:rsid w:val="00D30623"/>
    <w:rsid w:val="00D310BC"/>
    <w:rsid w:val="00D36616"/>
    <w:rsid w:val="00D37A95"/>
    <w:rsid w:val="00D40EEB"/>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3008"/>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1B3"/>
    <w:rsid w:val="00E20468"/>
    <w:rsid w:val="00E2227C"/>
    <w:rsid w:val="00E22BD6"/>
    <w:rsid w:val="00E23562"/>
    <w:rsid w:val="00E26063"/>
    <w:rsid w:val="00E320BB"/>
    <w:rsid w:val="00E339D6"/>
    <w:rsid w:val="00E41B18"/>
    <w:rsid w:val="00E4224D"/>
    <w:rsid w:val="00E42F4A"/>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444A"/>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2128</Words>
  <Characters>1213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42</cp:revision>
  <cp:lastPrinted>2017-12-08T06:39:00Z</cp:lastPrinted>
  <dcterms:created xsi:type="dcterms:W3CDTF">2024-01-17T09:35:00Z</dcterms:created>
  <dcterms:modified xsi:type="dcterms:W3CDTF">2025-11-25T09:43:00Z</dcterms:modified>
</cp:coreProperties>
</file>