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1EA2FFD2" w14:textId="07981762" w:rsidR="001354BA" w:rsidRPr="005F2CDE" w:rsidRDefault="00AB0084">
      <w:pPr>
        <w:spacing w:after="0" w:line="240" w:lineRule="auto"/>
        <w:jc w:val="center"/>
        <w:rPr>
          <w:b/>
        </w:rPr>
      </w:pPr>
      <w:bookmarkStart w:id="0" w:name="_Hlk210652464"/>
      <w:r>
        <w:rPr>
          <w:rFonts w:eastAsia="Lucida Sans Unicode" w:cs="Mangal"/>
          <w:b/>
          <w:bCs/>
          <w:caps/>
          <w:kern w:val="24"/>
          <w:szCs w:val="24"/>
          <w:lang w:eastAsia="hi-IN" w:bidi="hi-IN"/>
        </w:rPr>
        <w:t>priedangos remonto darbai</w:t>
      </w:r>
      <w:r w:rsidR="00946768" w:rsidRPr="00946768">
        <w:rPr>
          <w:rFonts w:eastAsia="Lucida Sans Unicode" w:cs="Mangal"/>
          <w:b/>
          <w:bCs/>
          <w:caps/>
          <w:kern w:val="24"/>
          <w:szCs w:val="24"/>
          <w:lang w:eastAsia="hi-IN" w:bidi="hi-IN"/>
        </w:rPr>
        <w:t xml:space="preserve"> </w:t>
      </w:r>
      <w:r w:rsidR="00946768">
        <w:rPr>
          <w:rFonts w:eastAsia="Lucida Sans Unicode" w:cs="Mangal"/>
          <w:b/>
          <w:bCs/>
          <w:caps/>
          <w:kern w:val="24"/>
          <w:szCs w:val="24"/>
          <w:lang w:eastAsia="hi-IN" w:bidi="hi-IN"/>
        </w:rPr>
        <w:t>su projekto parengimu</w:t>
      </w:r>
      <w:r>
        <w:rPr>
          <w:rFonts w:eastAsia="Lucida Sans Unicode" w:cs="Mangal"/>
          <w:b/>
          <w:bCs/>
          <w:caps/>
          <w:kern w:val="24"/>
          <w:szCs w:val="24"/>
          <w:lang w:eastAsia="hi-IN" w:bidi="hi-IN"/>
        </w:rPr>
        <w:t>, pritaikant keliamiems reikalavimams</w:t>
      </w:r>
      <w:r w:rsidR="009C37FF">
        <w:rPr>
          <w:rFonts w:eastAsia="Lucida Sans Unicode" w:cs="Mangal"/>
          <w:b/>
          <w:bCs/>
          <w:caps/>
          <w:kern w:val="24"/>
          <w:szCs w:val="24"/>
          <w:lang w:eastAsia="hi-IN" w:bidi="hi-IN"/>
        </w:rPr>
        <w:t>,</w:t>
      </w:r>
      <w:r>
        <w:rPr>
          <w:rFonts w:eastAsia="Lucida Sans Unicode" w:cs="Mangal"/>
          <w:b/>
          <w:bCs/>
          <w:caps/>
          <w:kern w:val="24"/>
          <w:szCs w:val="24"/>
          <w:lang w:eastAsia="hi-IN" w:bidi="hi-IN"/>
        </w:rPr>
        <w:t xml:space="preserve"> V</w:t>
      </w:r>
      <w:r w:rsidR="003E774C">
        <w:rPr>
          <w:rFonts w:eastAsia="Lucida Sans Unicode" w:cs="Mangal"/>
          <w:b/>
          <w:bCs/>
          <w:caps/>
          <w:kern w:val="24"/>
          <w:szCs w:val="24"/>
          <w:lang w:eastAsia="hi-IN" w:bidi="hi-IN"/>
        </w:rPr>
        <w:t xml:space="preserve">. Kudirkos </w:t>
      </w:r>
      <w:r>
        <w:rPr>
          <w:rFonts w:eastAsia="Lucida Sans Unicode" w:cs="Mangal"/>
          <w:b/>
          <w:bCs/>
          <w:caps/>
          <w:kern w:val="24"/>
          <w:szCs w:val="24"/>
          <w:lang w:eastAsia="hi-IN" w:bidi="hi-IN"/>
        </w:rPr>
        <w:t xml:space="preserve">g. </w:t>
      </w:r>
      <w:r w:rsidR="003E774C">
        <w:rPr>
          <w:rFonts w:eastAsia="Lucida Sans Unicode" w:cs="Mangal"/>
          <w:b/>
          <w:bCs/>
          <w:caps/>
          <w:kern w:val="24"/>
          <w:szCs w:val="24"/>
          <w:lang w:eastAsia="hi-IN" w:bidi="hi-IN"/>
        </w:rPr>
        <w:t>33</w:t>
      </w:r>
      <w:r>
        <w:rPr>
          <w:rFonts w:eastAsia="Lucida Sans Unicode" w:cs="Mangal"/>
          <w:b/>
          <w:bCs/>
          <w:caps/>
          <w:kern w:val="24"/>
          <w:szCs w:val="24"/>
          <w:lang w:eastAsia="hi-IN" w:bidi="hi-IN"/>
        </w:rPr>
        <w:t>, kuršėn</w:t>
      </w:r>
      <w:r w:rsidR="009C37FF">
        <w:rPr>
          <w:rFonts w:eastAsia="Lucida Sans Unicode" w:cs="Mangal"/>
          <w:b/>
          <w:bCs/>
          <w:caps/>
          <w:kern w:val="24"/>
          <w:szCs w:val="24"/>
          <w:lang w:eastAsia="hi-IN" w:bidi="hi-IN"/>
        </w:rPr>
        <w:t>ai</w:t>
      </w:r>
      <w:r>
        <w:rPr>
          <w:rFonts w:eastAsia="Lucida Sans Unicode" w:cs="Mangal"/>
          <w:b/>
          <w:bCs/>
          <w:caps/>
          <w:kern w:val="24"/>
          <w:szCs w:val="24"/>
          <w:lang w:eastAsia="hi-IN" w:bidi="hi-IN"/>
        </w:rPr>
        <w:t xml:space="preserve">, Šiaulių r. sav. </w:t>
      </w:r>
    </w:p>
    <w:bookmarkEnd w:id="0"/>
    <w:p w14:paraId="2D53ACB2" w14:textId="77777777" w:rsidR="001354BA" w:rsidRPr="005F2CDE" w:rsidRDefault="001354BA">
      <w:pPr>
        <w:spacing w:after="0" w:line="240" w:lineRule="auto"/>
        <w:jc w:val="center"/>
        <w:rPr>
          <w:b/>
        </w:rP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tcPr>
          <w:p w14:paraId="2C88C2B8" w14:textId="77777777" w:rsidR="00D35D38" w:rsidRPr="004D2209" w:rsidRDefault="00D35D38">
            <w:pPr>
              <w:snapToGrid w:val="0"/>
              <w:spacing w:after="0" w:line="240" w:lineRule="auto"/>
              <w:jc w:val="both"/>
            </w:pPr>
            <w:r w:rsidRPr="004D2209">
              <w:t>I.</w:t>
            </w:r>
          </w:p>
        </w:tc>
        <w:tc>
          <w:tcPr>
            <w:tcW w:w="8794" w:type="dxa"/>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tcPr>
          <w:p w14:paraId="7203960E" w14:textId="77777777" w:rsidR="00D35D38" w:rsidRPr="004D2209" w:rsidRDefault="00D35D38">
            <w:pPr>
              <w:snapToGrid w:val="0"/>
              <w:spacing w:after="0" w:line="240" w:lineRule="auto"/>
              <w:jc w:val="both"/>
            </w:pPr>
            <w:r w:rsidRPr="004D2209">
              <w:t>II.</w:t>
            </w:r>
          </w:p>
        </w:tc>
        <w:tc>
          <w:tcPr>
            <w:tcW w:w="8794" w:type="dxa"/>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tcPr>
          <w:p w14:paraId="43896CC9" w14:textId="77777777" w:rsidR="00980215" w:rsidRPr="004D2209" w:rsidRDefault="00980215" w:rsidP="00980215">
            <w:pPr>
              <w:snapToGrid w:val="0"/>
              <w:spacing w:after="0" w:line="240" w:lineRule="auto"/>
              <w:jc w:val="both"/>
            </w:pPr>
            <w:r w:rsidRPr="004D2209">
              <w:t>III.</w:t>
            </w:r>
          </w:p>
        </w:tc>
        <w:tc>
          <w:tcPr>
            <w:tcW w:w="8794" w:type="dxa"/>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tcPr>
          <w:p w14:paraId="673E8542" w14:textId="77777777" w:rsidR="00980215" w:rsidRPr="004D2209" w:rsidRDefault="00980215" w:rsidP="00980215">
            <w:pPr>
              <w:snapToGrid w:val="0"/>
              <w:spacing w:after="0" w:line="240" w:lineRule="auto"/>
              <w:jc w:val="both"/>
            </w:pPr>
            <w:r w:rsidRPr="004D2209">
              <w:t>IV.</w:t>
            </w:r>
          </w:p>
        </w:tc>
        <w:tc>
          <w:tcPr>
            <w:tcW w:w="8794" w:type="dxa"/>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tcPr>
          <w:p w14:paraId="24A3293A" w14:textId="77777777" w:rsidR="00980215" w:rsidRPr="004D2209" w:rsidRDefault="00980215" w:rsidP="00980215">
            <w:pPr>
              <w:snapToGrid w:val="0"/>
              <w:spacing w:after="0" w:line="240" w:lineRule="auto"/>
              <w:jc w:val="both"/>
            </w:pPr>
            <w:r w:rsidRPr="004D2209">
              <w:t>V.</w:t>
            </w:r>
          </w:p>
        </w:tc>
        <w:tc>
          <w:tcPr>
            <w:tcW w:w="8794" w:type="dxa"/>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tcPr>
          <w:p w14:paraId="7B59CCEF" w14:textId="77777777" w:rsidR="00980215" w:rsidRPr="004D2209" w:rsidRDefault="00980215" w:rsidP="00980215">
            <w:pPr>
              <w:snapToGrid w:val="0"/>
              <w:spacing w:after="0" w:line="240" w:lineRule="auto"/>
              <w:jc w:val="both"/>
            </w:pPr>
            <w:r w:rsidRPr="004D2209">
              <w:t>VI.</w:t>
            </w:r>
          </w:p>
        </w:tc>
        <w:tc>
          <w:tcPr>
            <w:tcW w:w="8794" w:type="dxa"/>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tcPr>
          <w:p w14:paraId="464798B3" w14:textId="77777777" w:rsidR="00980215" w:rsidRPr="004D2209" w:rsidRDefault="00980215" w:rsidP="00980215">
            <w:pPr>
              <w:snapToGrid w:val="0"/>
              <w:spacing w:after="0" w:line="240" w:lineRule="auto"/>
              <w:jc w:val="both"/>
            </w:pPr>
            <w:r w:rsidRPr="004D2209">
              <w:t>VII.</w:t>
            </w:r>
          </w:p>
        </w:tc>
        <w:tc>
          <w:tcPr>
            <w:tcW w:w="8794" w:type="dxa"/>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tcPr>
          <w:p w14:paraId="504B207F" w14:textId="77777777" w:rsidR="00980215" w:rsidRPr="004D2209" w:rsidRDefault="00980215" w:rsidP="00980215">
            <w:pPr>
              <w:snapToGrid w:val="0"/>
              <w:spacing w:after="0" w:line="240" w:lineRule="auto"/>
              <w:jc w:val="both"/>
            </w:pPr>
            <w:r w:rsidRPr="004D2209">
              <w:t>VIII.</w:t>
            </w:r>
          </w:p>
        </w:tc>
        <w:tc>
          <w:tcPr>
            <w:tcW w:w="8794" w:type="dxa"/>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tcPr>
          <w:p w14:paraId="4FC22FC0" w14:textId="77777777" w:rsidR="00980215" w:rsidRPr="004A3435" w:rsidRDefault="00980215" w:rsidP="00980215">
            <w:pPr>
              <w:snapToGrid w:val="0"/>
              <w:spacing w:after="0" w:line="240" w:lineRule="auto"/>
              <w:jc w:val="both"/>
            </w:pPr>
            <w:r w:rsidRPr="004A3435">
              <w:t>IX.</w:t>
            </w:r>
          </w:p>
        </w:tc>
        <w:tc>
          <w:tcPr>
            <w:tcW w:w="8794" w:type="dxa"/>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tcPr>
          <w:p w14:paraId="5FA174CA" w14:textId="77777777" w:rsidR="00980215" w:rsidRPr="004A3435" w:rsidRDefault="00980215" w:rsidP="00980215">
            <w:pPr>
              <w:snapToGrid w:val="0"/>
              <w:spacing w:after="0" w:line="240" w:lineRule="auto"/>
              <w:jc w:val="both"/>
            </w:pPr>
            <w:r w:rsidRPr="004A3435">
              <w:t>X.</w:t>
            </w:r>
          </w:p>
        </w:tc>
        <w:tc>
          <w:tcPr>
            <w:tcW w:w="8794" w:type="dxa"/>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tcPr>
          <w:p w14:paraId="1CDE1A66" w14:textId="77777777" w:rsidR="00980215" w:rsidRPr="004A3435" w:rsidRDefault="00980215" w:rsidP="00980215">
            <w:pPr>
              <w:snapToGrid w:val="0"/>
              <w:spacing w:after="0" w:line="240" w:lineRule="auto"/>
              <w:jc w:val="both"/>
            </w:pPr>
            <w:r w:rsidRPr="004A3435">
              <w:t>XI.</w:t>
            </w:r>
          </w:p>
        </w:tc>
        <w:tc>
          <w:tcPr>
            <w:tcW w:w="8794" w:type="dxa"/>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tcPr>
          <w:p w14:paraId="5688F45B" w14:textId="77777777" w:rsidR="00980215" w:rsidRPr="004A3435" w:rsidRDefault="00980215" w:rsidP="00980215">
            <w:pPr>
              <w:snapToGrid w:val="0"/>
              <w:spacing w:after="0" w:line="240" w:lineRule="auto"/>
              <w:jc w:val="both"/>
            </w:pPr>
            <w:r w:rsidRPr="004A3435">
              <w:t>XII.</w:t>
            </w:r>
          </w:p>
        </w:tc>
        <w:tc>
          <w:tcPr>
            <w:tcW w:w="8794" w:type="dxa"/>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tcPr>
          <w:p w14:paraId="04B0C36E" w14:textId="3A4CF018" w:rsidR="00980215" w:rsidRPr="004A3435" w:rsidRDefault="00980215" w:rsidP="00980215">
            <w:pPr>
              <w:snapToGrid w:val="0"/>
              <w:spacing w:after="0" w:line="240" w:lineRule="auto"/>
              <w:jc w:val="both"/>
            </w:pPr>
            <w:r w:rsidRPr="004A3435">
              <w:t>XIII.</w:t>
            </w:r>
          </w:p>
        </w:tc>
        <w:tc>
          <w:tcPr>
            <w:tcW w:w="8794" w:type="dxa"/>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tcPr>
          <w:p w14:paraId="4FCBEBEF" w14:textId="77777777" w:rsidR="00980215" w:rsidRPr="004A3435" w:rsidRDefault="00980215" w:rsidP="00980215">
            <w:pPr>
              <w:snapToGrid w:val="0"/>
              <w:spacing w:after="0" w:line="240" w:lineRule="auto"/>
              <w:jc w:val="both"/>
              <w:rPr>
                <w:sz w:val="20"/>
                <w:szCs w:val="20"/>
              </w:rPr>
            </w:pPr>
          </w:p>
        </w:tc>
        <w:tc>
          <w:tcPr>
            <w:tcW w:w="8794" w:type="dxa"/>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Default="00BB5A51" w:rsidP="00BB5A51">
      <w:pPr>
        <w:spacing w:after="0" w:line="240" w:lineRule="auto"/>
        <w:ind w:firstLine="993"/>
        <w:jc w:val="both"/>
        <w:rPr>
          <w:color w:val="000000" w:themeColor="text1"/>
          <w:szCs w:val="24"/>
        </w:rPr>
      </w:pPr>
      <w:r w:rsidRPr="00692B3D">
        <w:rPr>
          <w:color w:val="000000" w:themeColor="text1"/>
          <w:szCs w:val="24"/>
        </w:rPr>
        <w:t>1 priedas. Pasiūlymo forma.</w:t>
      </w:r>
    </w:p>
    <w:p w14:paraId="4000FEB1" w14:textId="7C35802E"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 xml:space="preserve">2 priedas. Tiekėjo pašalinimo pagrindų nebuvimo, kvalifikacijos reikalavimų ir </w:t>
      </w:r>
      <w:r w:rsidRPr="00692B3D">
        <w:rPr>
          <w:color w:val="000000" w:themeColor="text1"/>
        </w:rPr>
        <w:t xml:space="preserve">aplinkos apsaugos vadybos sistemos standartų </w:t>
      </w:r>
      <w:r w:rsidRPr="00692B3D">
        <w:rPr>
          <w:color w:val="000000" w:themeColor="text1"/>
          <w:szCs w:val="24"/>
        </w:rPr>
        <w:t>atitikties deklaracijos (toliau – Deklaracija) forma.</w:t>
      </w:r>
    </w:p>
    <w:p w14:paraId="00DA2B12" w14:textId="3195ECF4" w:rsidR="00453636" w:rsidRPr="00692B3D" w:rsidRDefault="00453636" w:rsidP="00BB5A51">
      <w:pPr>
        <w:spacing w:after="0" w:line="240" w:lineRule="auto"/>
        <w:ind w:firstLine="993"/>
        <w:jc w:val="both"/>
        <w:rPr>
          <w:color w:val="000000" w:themeColor="text1"/>
          <w:szCs w:val="24"/>
        </w:rPr>
      </w:pPr>
      <w:r w:rsidRPr="00692B3D">
        <w:rPr>
          <w:color w:val="000000" w:themeColor="text1"/>
          <w:szCs w:val="24"/>
        </w:rPr>
        <w:t xml:space="preserve">3 priedas. </w:t>
      </w:r>
      <w:r w:rsidR="00692B3D" w:rsidRPr="00692B3D">
        <w:rPr>
          <w:color w:val="000000" w:themeColor="text1"/>
          <w:szCs w:val="24"/>
        </w:rPr>
        <w:t xml:space="preserve">Deklaracijos forma dėl Viešųjų pirkimų įstatymo. </w:t>
      </w:r>
    </w:p>
    <w:p w14:paraId="01379F7A" w14:textId="779B4052"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4 priedas. Pirkimo sutarties projektas</w:t>
      </w:r>
      <w:r w:rsidR="004D448B">
        <w:rPr>
          <w:color w:val="000000" w:themeColor="text1"/>
          <w:szCs w:val="24"/>
        </w:rPr>
        <w:t>.</w:t>
      </w:r>
    </w:p>
    <w:p w14:paraId="4DEDB042" w14:textId="768EB19B"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5 priedas. Pavyzdinės pasiūlymo galiojimo užtikrinimo (laidavimo</w:t>
      </w:r>
      <w:r w:rsidR="00C76A3C" w:rsidRPr="00692B3D">
        <w:rPr>
          <w:color w:val="000000" w:themeColor="text1"/>
          <w:szCs w:val="24"/>
        </w:rPr>
        <w:t xml:space="preserve"> </w:t>
      </w:r>
      <w:r w:rsidR="004D448B">
        <w:rPr>
          <w:color w:val="000000" w:themeColor="text1"/>
          <w:szCs w:val="24"/>
        </w:rPr>
        <w:t>ir garantijos) formos.</w:t>
      </w:r>
    </w:p>
    <w:p w14:paraId="5671F3BF" w14:textId="77777777" w:rsidR="007C05A9" w:rsidRDefault="00692B3D" w:rsidP="00682A72">
      <w:pPr>
        <w:spacing w:after="0" w:line="240" w:lineRule="auto"/>
        <w:ind w:firstLine="993"/>
        <w:jc w:val="both"/>
        <w:rPr>
          <w:color w:val="000000" w:themeColor="text1"/>
          <w:szCs w:val="24"/>
        </w:rPr>
      </w:pPr>
      <w:r w:rsidRPr="00692B3D">
        <w:rPr>
          <w:color w:val="000000" w:themeColor="text1"/>
          <w:szCs w:val="24"/>
        </w:rPr>
        <w:t>6</w:t>
      </w:r>
      <w:r w:rsidR="00BB5A51" w:rsidRPr="00692B3D">
        <w:rPr>
          <w:color w:val="000000" w:themeColor="text1"/>
          <w:szCs w:val="24"/>
        </w:rPr>
        <w:t xml:space="preserve"> priedas.</w:t>
      </w:r>
      <w:r w:rsidR="0066624D">
        <w:rPr>
          <w:color w:val="000000" w:themeColor="text1"/>
          <w:szCs w:val="24"/>
        </w:rPr>
        <w:t xml:space="preserve"> </w:t>
      </w:r>
      <w:r w:rsidR="007C05A9">
        <w:rPr>
          <w:color w:val="000000" w:themeColor="text1"/>
          <w:szCs w:val="24"/>
        </w:rPr>
        <w:t>Techninė specifikacija.</w:t>
      </w:r>
    </w:p>
    <w:p w14:paraId="174CC533" w14:textId="554EE756" w:rsidR="00692B3D" w:rsidRPr="00B01C3C" w:rsidRDefault="007C05A9" w:rsidP="00682A72">
      <w:pPr>
        <w:spacing w:after="0" w:line="240" w:lineRule="auto"/>
        <w:ind w:firstLine="993"/>
        <w:jc w:val="both"/>
        <w:rPr>
          <w:color w:val="000000" w:themeColor="text1"/>
          <w:highlight w:val="yellow"/>
        </w:rPr>
      </w:pPr>
      <w:r>
        <w:rPr>
          <w:color w:val="000000" w:themeColor="text1"/>
          <w:szCs w:val="24"/>
        </w:rPr>
        <w:t xml:space="preserve">6.1 priedas. </w:t>
      </w:r>
      <w:r w:rsidR="007504B1">
        <w:rPr>
          <w:color w:val="000000" w:themeColor="text1"/>
          <w:szCs w:val="24"/>
        </w:rPr>
        <w:t>Rūsio p</w:t>
      </w:r>
      <w:r w:rsidR="0066624D">
        <w:rPr>
          <w:color w:val="000000" w:themeColor="text1"/>
          <w:szCs w:val="24"/>
        </w:rPr>
        <w:t>lanas.</w:t>
      </w:r>
    </w:p>
    <w:p w14:paraId="28A2F9C0" w14:textId="01ED6262" w:rsidR="00153D06" w:rsidRDefault="00692B3D" w:rsidP="00682A72">
      <w:pPr>
        <w:spacing w:after="0" w:line="240" w:lineRule="auto"/>
        <w:ind w:firstLine="993"/>
        <w:jc w:val="both"/>
        <w:rPr>
          <w:szCs w:val="24"/>
        </w:rPr>
      </w:pPr>
      <w:r w:rsidRPr="00692B3D">
        <w:rPr>
          <w:color w:val="000000" w:themeColor="text1"/>
        </w:rPr>
        <w:t>7</w:t>
      </w:r>
      <w:r w:rsidR="006D4B5C" w:rsidRPr="00692B3D">
        <w:rPr>
          <w:color w:val="000000" w:themeColor="text1"/>
        </w:rPr>
        <w:t xml:space="preserve"> priedas. </w:t>
      </w:r>
      <w:r w:rsidR="00153D06" w:rsidRPr="00692B3D">
        <w:rPr>
          <w:szCs w:val="24"/>
        </w:rPr>
        <w:t>Specialistų sąrašo forma.</w:t>
      </w:r>
    </w:p>
    <w:p w14:paraId="0E6A8CEB" w14:textId="5BCA8A38" w:rsidR="007C05A9" w:rsidRDefault="007504B1" w:rsidP="00682A72">
      <w:pPr>
        <w:spacing w:after="0" w:line="240" w:lineRule="auto"/>
        <w:ind w:firstLine="993"/>
        <w:jc w:val="both"/>
        <w:rPr>
          <w:szCs w:val="24"/>
        </w:rPr>
      </w:pPr>
      <w:r>
        <w:rPr>
          <w:szCs w:val="24"/>
        </w:rPr>
        <w:t>8</w:t>
      </w:r>
      <w:r w:rsidR="007C05A9">
        <w:rPr>
          <w:szCs w:val="24"/>
        </w:rPr>
        <w:t xml:space="preserve"> priedas. Veiklų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01CAF5CB" w:rsidR="008549B5" w:rsidRPr="0058299B" w:rsidRDefault="00BA050B" w:rsidP="00FF17FA">
      <w:pPr>
        <w:numPr>
          <w:ilvl w:val="0"/>
          <w:numId w:val="2"/>
        </w:numPr>
        <w:tabs>
          <w:tab w:val="left" w:pos="284"/>
        </w:tabs>
        <w:suppressAutoHyphens w:val="0"/>
        <w:spacing w:after="0" w:line="240" w:lineRule="auto"/>
        <w:jc w:val="both"/>
        <w:rPr>
          <w:szCs w:val="24"/>
        </w:rPr>
      </w:pPr>
      <w:r w:rsidRPr="0058299B">
        <w:rPr>
          <w:rFonts w:eastAsia="SimSun"/>
          <w:szCs w:val="24"/>
          <w:lang w:eastAsia="zh-CN" w:bidi="hi-IN"/>
        </w:rPr>
        <w:t xml:space="preserve">Biudžetinė įstaiga Šiaulių rajono savivaldybės administracija, juridinio asmens kodas 188726051, Vilniaus g. 263, 76337, Šiauliai </w:t>
      </w:r>
      <w:r w:rsidR="00D35D38" w:rsidRPr="0058299B">
        <w:rPr>
          <w:szCs w:val="24"/>
        </w:rPr>
        <w:t xml:space="preserve">(toliau – </w:t>
      </w:r>
      <w:r w:rsidR="00FB2541" w:rsidRPr="0058299B">
        <w:rPr>
          <w:szCs w:val="24"/>
        </w:rPr>
        <w:t>P</w:t>
      </w:r>
      <w:r w:rsidR="00D35D38" w:rsidRPr="0058299B">
        <w:rPr>
          <w:szCs w:val="24"/>
        </w:rPr>
        <w:t>erkančioji organizacija)</w:t>
      </w:r>
      <w:r w:rsidR="00FC43B2" w:rsidRPr="0058299B">
        <w:rPr>
          <w:szCs w:val="24"/>
        </w:rPr>
        <w:t xml:space="preserve">, </w:t>
      </w:r>
      <w:r w:rsidR="00215013" w:rsidRPr="0058299B">
        <w:rPr>
          <w:szCs w:val="24"/>
        </w:rPr>
        <w:t xml:space="preserve">numato </w:t>
      </w:r>
      <w:r w:rsidR="00A475C8" w:rsidRPr="0058299B">
        <w:rPr>
          <w:szCs w:val="24"/>
        </w:rPr>
        <w:t>įsigyti</w:t>
      </w:r>
      <w:r w:rsidR="00946768">
        <w:rPr>
          <w:szCs w:val="24"/>
        </w:rPr>
        <w:t xml:space="preserve"> </w:t>
      </w:r>
      <w:r w:rsidR="00946768" w:rsidRPr="00946768">
        <w:rPr>
          <w:szCs w:val="24"/>
        </w:rPr>
        <w:t>priedangos remonto darb</w:t>
      </w:r>
      <w:r w:rsidR="00946768">
        <w:rPr>
          <w:szCs w:val="24"/>
        </w:rPr>
        <w:t>us</w:t>
      </w:r>
      <w:r w:rsidR="00946768" w:rsidRPr="00946768">
        <w:rPr>
          <w:szCs w:val="24"/>
        </w:rPr>
        <w:t xml:space="preserve"> su projekto parengimu, pritaikant keliamiems reikalavimams</w:t>
      </w:r>
      <w:r w:rsidR="009C37FF">
        <w:rPr>
          <w:szCs w:val="24"/>
        </w:rPr>
        <w:t>,</w:t>
      </w:r>
      <w:r w:rsidR="00946768" w:rsidRPr="00946768">
        <w:rPr>
          <w:szCs w:val="24"/>
        </w:rPr>
        <w:t xml:space="preserve"> V</w:t>
      </w:r>
      <w:r w:rsidR="003E774C">
        <w:rPr>
          <w:szCs w:val="24"/>
        </w:rPr>
        <w:t>. Kudirkos</w:t>
      </w:r>
      <w:r w:rsidR="00946768" w:rsidRPr="00946768">
        <w:rPr>
          <w:szCs w:val="24"/>
        </w:rPr>
        <w:t xml:space="preserve"> g. </w:t>
      </w:r>
      <w:r w:rsidR="003E774C">
        <w:rPr>
          <w:szCs w:val="24"/>
        </w:rPr>
        <w:t>33</w:t>
      </w:r>
      <w:r w:rsidR="00946768" w:rsidRPr="00946768">
        <w:rPr>
          <w:szCs w:val="24"/>
        </w:rPr>
        <w:t xml:space="preserve">, </w:t>
      </w:r>
      <w:r w:rsidR="00946768">
        <w:rPr>
          <w:szCs w:val="24"/>
        </w:rPr>
        <w:t>K</w:t>
      </w:r>
      <w:r w:rsidR="00946768" w:rsidRPr="00946768">
        <w:rPr>
          <w:szCs w:val="24"/>
        </w:rPr>
        <w:t>uršėn</w:t>
      </w:r>
      <w:r w:rsidR="009C37FF">
        <w:rPr>
          <w:szCs w:val="24"/>
        </w:rPr>
        <w:t>ai</w:t>
      </w:r>
      <w:r w:rsidR="00946768" w:rsidRPr="00946768">
        <w:rPr>
          <w:szCs w:val="24"/>
        </w:rPr>
        <w:t>, Šiaulių r. sav</w:t>
      </w:r>
      <w:r w:rsidR="005B4B78">
        <w:rPr>
          <w:szCs w:val="24"/>
        </w:rPr>
        <w:t>.</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645F3524" w:rsidR="008B345A" w:rsidRPr="0058299B" w:rsidRDefault="008B345A" w:rsidP="00FF17FA">
      <w:pPr>
        <w:pStyle w:val="Sraopastraipa"/>
        <w:numPr>
          <w:ilvl w:val="0"/>
          <w:numId w:val="2"/>
        </w:numPr>
        <w:spacing w:after="0" w:line="240" w:lineRule="auto"/>
        <w:jc w:val="both"/>
        <w:rPr>
          <w:rFonts w:cs="Times New Roman"/>
          <w:color w:val="000000"/>
          <w:szCs w:val="24"/>
        </w:rPr>
      </w:pPr>
      <w:r w:rsidRPr="001B2408">
        <w:t>Pirkimo objektas</w:t>
      </w:r>
      <w:r w:rsidR="00790DFE">
        <w:t>:</w:t>
      </w:r>
      <w:r w:rsidRPr="001B2408">
        <w:t xml:space="preserve"> </w:t>
      </w:r>
      <w:bookmarkStart w:id="1" w:name="_Hlk196481819"/>
      <w:r w:rsidR="00946768" w:rsidRPr="00946768">
        <w:rPr>
          <w:szCs w:val="24"/>
        </w:rPr>
        <w:t>priedangos remonto darb</w:t>
      </w:r>
      <w:r w:rsidR="00946768">
        <w:rPr>
          <w:szCs w:val="24"/>
        </w:rPr>
        <w:t>ai</w:t>
      </w:r>
      <w:r w:rsidR="00946768" w:rsidRPr="00946768">
        <w:rPr>
          <w:szCs w:val="24"/>
        </w:rPr>
        <w:t xml:space="preserve"> su projekto parengimu, pritaikant keliamiems reikalavimams</w:t>
      </w:r>
      <w:r w:rsidR="009C37FF">
        <w:rPr>
          <w:szCs w:val="24"/>
        </w:rPr>
        <w:t xml:space="preserve">, </w:t>
      </w:r>
      <w:r w:rsidR="00946768" w:rsidRPr="00946768">
        <w:rPr>
          <w:szCs w:val="24"/>
        </w:rPr>
        <w:t>V</w:t>
      </w:r>
      <w:r w:rsidR="003E774C">
        <w:rPr>
          <w:szCs w:val="24"/>
        </w:rPr>
        <w:t>. Kudirkos</w:t>
      </w:r>
      <w:r w:rsidR="00946768" w:rsidRPr="00946768">
        <w:rPr>
          <w:szCs w:val="24"/>
        </w:rPr>
        <w:t xml:space="preserve"> g. </w:t>
      </w:r>
      <w:r w:rsidR="003E774C">
        <w:rPr>
          <w:szCs w:val="24"/>
        </w:rPr>
        <w:t>33</w:t>
      </w:r>
      <w:r w:rsidR="00946768" w:rsidRPr="00946768">
        <w:rPr>
          <w:szCs w:val="24"/>
        </w:rPr>
        <w:t xml:space="preserve">, </w:t>
      </w:r>
      <w:r w:rsidR="00946768">
        <w:rPr>
          <w:szCs w:val="24"/>
        </w:rPr>
        <w:t>K</w:t>
      </w:r>
      <w:r w:rsidR="00946768" w:rsidRPr="00946768">
        <w:rPr>
          <w:szCs w:val="24"/>
        </w:rPr>
        <w:t>uršėn</w:t>
      </w:r>
      <w:r w:rsidR="009C37FF">
        <w:rPr>
          <w:szCs w:val="24"/>
        </w:rPr>
        <w:t>ai</w:t>
      </w:r>
      <w:r w:rsidR="00946768" w:rsidRPr="00946768">
        <w:rPr>
          <w:szCs w:val="24"/>
        </w:rPr>
        <w:t>, Šiaulių r. sav</w:t>
      </w:r>
      <w:r w:rsidR="00946768">
        <w:rPr>
          <w:szCs w:val="24"/>
        </w:rPr>
        <w:t>.</w:t>
      </w:r>
      <w:r w:rsidR="005B4B78" w:rsidRPr="005B4B78">
        <w:t xml:space="preserve"> </w:t>
      </w:r>
      <w:r w:rsidR="0094534F" w:rsidRPr="00D04883">
        <w:t>(</w:t>
      </w:r>
      <w:r w:rsidR="0094534F" w:rsidRPr="0058299B">
        <w:rPr>
          <w:rFonts w:cs="Times New Roman"/>
          <w:color w:val="000000"/>
          <w:szCs w:val="24"/>
        </w:rPr>
        <w:t>toliau – Darbai).</w:t>
      </w:r>
      <w:r w:rsidR="00E20087" w:rsidRPr="0058299B">
        <w:rPr>
          <w:szCs w:val="24"/>
        </w:rPr>
        <w:t xml:space="preserve"> </w:t>
      </w:r>
      <w:bookmarkEnd w:id="1"/>
    </w:p>
    <w:p w14:paraId="6E861159" w14:textId="6EC361BD" w:rsidR="00F7516B" w:rsidRPr="007504B1" w:rsidRDefault="005E64B0" w:rsidP="0025155E">
      <w:pPr>
        <w:widowControl w:val="0"/>
        <w:numPr>
          <w:ilvl w:val="0"/>
          <w:numId w:val="2"/>
        </w:numPr>
        <w:tabs>
          <w:tab w:val="left" w:pos="340"/>
          <w:tab w:val="left" w:pos="1210"/>
        </w:tabs>
        <w:spacing w:after="0" w:line="240" w:lineRule="auto"/>
        <w:jc w:val="both"/>
      </w:pPr>
      <w:r w:rsidRPr="007504B1">
        <w:t>D</w:t>
      </w:r>
      <w:r w:rsidR="00D0370E" w:rsidRPr="007504B1">
        <w:t xml:space="preserve">arbų sudėtis, </w:t>
      </w:r>
      <w:r w:rsidR="0094534F" w:rsidRPr="007504B1">
        <w:t>apimtys bei kiti reikalavimai yra nurodyti šių pirkimo sąlygų</w:t>
      </w:r>
      <w:r w:rsidR="00E441CF" w:rsidRPr="007504B1">
        <w:t xml:space="preserve"> 4 priede pateikiamame Pirkimo sutarties projekte, </w:t>
      </w:r>
      <w:r w:rsidR="001550D3" w:rsidRPr="007504B1">
        <w:t>6</w:t>
      </w:r>
      <w:r w:rsidR="00E441CF" w:rsidRPr="007504B1">
        <w:t xml:space="preserve"> priede pateikiam</w:t>
      </w:r>
      <w:r w:rsidR="001550D3" w:rsidRPr="007504B1">
        <w:t>o</w:t>
      </w:r>
      <w:r w:rsidR="00CD67EA" w:rsidRPr="007504B1">
        <w:t>s</w:t>
      </w:r>
      <w:r w:rsidR="001550D3" w:rsidRPr="007504B1">
        <w:t xml:space="preserve">e </w:t>
      </w:r>
      <w:r w:rsidR="00CD67EA" w:rsidRPr="007504B1">
        <w:t>Techniniuose specifikacijose</w:t>
      </w:r>
      <w:r w:rsidR="005F2CDE" w:rsidRPr="007504B1">
        <w:t xml:space="preserve">, </w:t>
      </w:r>
      <w:r w:rsidR="00F97F00" w:rsidRPr="007504B1">
        <w:t>8</w:t>
      </w:r>
      <w:r w:rsidR="00C5283F" w:rsidRPr="007504B1">
        <w:t xml:space="preserve"> priede pateiktame Veiklų sąraše</w:t>
      </w:r>
      <w:r w:rsidR="005F2CDE" w:rsidRPr="007504B1">
        <w:t>.</w:t>
      </w:r>
      <w:r w:rsidR="00CA14FC" w:rsidRPr="007504B1">
        <w:t xml:space="preserve"> </w:t>
      </w:r>
      <w:r w:rsidR="006F2C8E" w:rsidRPr="007504B1">
        <w:t>Tiekėjai turi įvertinti visus pirkimo objektą sudarančius darbus.</w:t>
      </w:r>
      <w:r w:rsidR="0025155E" w:rsidRPr="007504B1">
        <w:t xml:space="preserve"> </w:t>
      </w:r>
    </w:p>
    <w:p w14:paraId="27E8EE8F" w14:textId="2DA0A2CB" w:rsidR="00D75B15" w:rsidRPr="00E50141" w:rsidRDefault="00CB30EB" w:rsidP="00D75B15">
      <w:pPr>
        <w:widowControl w:val="0"/>
        <w:numPr>
          <w:ilvl w:val="0"/>
          <w:numId w:val="2"/>
        </w:numPr>
        <w:tabs>
          <w:tab w:val="left" w:pos="340"/>
          <w:tab w:val="left" w:pos="1210"/>
        </w:tabs>
        <w:spacing w:after="0" w:line="240" w:lineRule="auto"/>
        <w:jc w:val="both"/>
      </w:pPr>
      <w:r>
        <w:t>Darbų atlikimo terminai</w:t>
      </w:r>
      <w:r w:rsidRPr="00B01C3C">
        <w:t xml:space="preserve">: </w:t>
      </w:r>
      <w:r w:rsidR="00F97F00">
        <w:t>6</w:t>
      </w:r>
      <w:r w:rsidR="00617971" w:rsidRPr="00B01C3C">
        <w:t xml:space="preserve"> mėnesiai</w:t>
      </w:r>
      <w:r w:rsidR="00EC4579" w:rsidRPr="00B01C3C">
        <w:t>, šis</w:t>
      </w:r>
      <w:r w:rsidR="00EC4579">
        <w:t xml:space="preserve"> t</w:t>
      </w:r>
      <w:r w:rsidR="00B01C3C">
        <w:t>erminas gali būti pratęstas 1 mėn.</w:t>
      </w:r>
    </w:p>
    <w:p w14:paraId="706B71B4" w14:textId="6B320842" w:rsidR="00D75B15" w:rsidRPr="00C5283F"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3E774C">
        <w:rPr>
          <w:rFonts w:cs="Times New Roman"/>
          <w:szCs w:val="24"/>
        </w:rPr>
        <w:t>55 371,90</w:t>
      </w:r>
      <w:r w:rsidR="00617971" w:rsidRPr="00C5283F">
        <w:rPr>
          <w:rFonts w:cs="Times New Roman"/>
          <w:szCs w:val="24"/>
        </w:rPr>
        <w:t xml:space="preserve"> </w:t>
      </w:r>
      <w:r w:rsidR="005B045C" w:rsidRPr="00C5283F">
        <w:rPr>
          <w:rFonts w:cs="Times New Roman"/>
          <w:szCs w:val="24"/>
        </w:rPr>
        <w:t xml:space="preserve">Eur </w:t>
      </w:r>
      <w:r w:rsidR="006C7BEA" w:rsidRPr="00C5283F">
        <w:rPr>
          <w:rFonts w:cs="Times New Roman"/>
          <w:szCs w:val="24"/>
        </w:rPr>
        <w:t>be</w:t>
      </w:r>
      <w:r w:rsidR="005B045C" w:rsidRPr="00C5283F">
        <w:rPr>
          <w:rFonts w:cs="Times New Roman"/>
          <w:szCs w:val="24"/>
        </w:rPr>
        <w:t xml:space="preserve">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C5283F">
        <w:t>Tiekėjai, da</w:t>
      </w:r>
      <w:r w:rsidRPr="002117E5">
        <w:t>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xml:space="preserve">, ir visus išleistus paaiškinimus bei papildymus, </w:t>
      </w:r>
      <w:r w:rsidRPr="002117E5">
        <w:lastRenderedPageBreak/>
        <w:t>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59D153B0" w:rsidR="00D35D38" w:rsidRPr="00C5283F" w:rsidRDefault="00D35D38" w:rsidP="00C5283F">
      <w:pPr>
        <w:numPr>
          <w:ilvl w:val="0"/>
          <w:numId w:val="2"/>
        </w:numPr>
        <w:tabs>
          <w:tab w:val="left" w:pos="340"/>
          <w:tab w:val="left" w:pos="1210"/>
        </w:tabs>
        <w:rPr>
          <w:rFonts w:cs="Times New Roman"/>
        </w:rPr>
      </w:pPr>
      <w:r w:rsidRPr="00C5283F">
        <w:t>Darbų atlikimo vieta</w:t>
      </w:r>
      <w:r w:rsidRPr="00C5283F">
        <w:rPr>
          <w:rFonts w:cs="Times New Roman"/>
        </w:rPr>
        <w:t>:</w:t>
      </w:r>
      <w:r w:rsidR="00130A15" w:rsidRPr="00C5283F">
        <w:rPr>
          <w:rFonts w:cs="Times New Roman"/>
        </w:rPr>
        <w:t xml:space="preserve"> </w:t>
      </w:r>
      <w:bookmarkStart w:id="2" w:name="_Hlk166503847"/>
      <w:r w:rsidR="00F97F00">
        <w:rPr>
          <w:rFonts w:cs="Times New Roman"/>
        </w:rPr>
        <w:t>V</w:t>
      </w:r>
      <w:r w:rsidR="003E774C">
        <w:rPr>
          <w:rFonts w:cs="Times New Roman"/>
        </w:rPr>
        <w:t>. Kudirkos</w:t>
      </w:r>
      <w:r w:rsidR="00F97F00">
        <w:rPr>
          <w:rFonts w:cs="Times New Roman"/>
        </w:rPr>
        <w:t xml:space="preserve"> </w:t>
      </w:r>
      <w:r w:rsidR="00C5283F" w:rsidRPr="00C5283F">
        <w:rPr>
          <w:rFonts w:cs="Times New Roman"/>
        </w:rPr>
        <w:t xml:space="preserve">g. </w:t>
      </w:r>
      <w:r w:rsidR="003E774C">
        <w:rPr>
          <w:rFonts w:cs="Times New Roman"/>
        </w:rPr>
        <w:t>33</w:t>
      </w:r>
      <w:r w:rsidR="00C5283F" w:rsidRPr="00C5283F">
        <w:rPr>
          <w:rFonts w:cs="Times New Roman"/>
        </w:rPr>
        <w:t xml:space="preserve">, </w:t>
      </w:r>
      <w:r w:rsidR="00F97F00">
        <w:rPr>
          <w:rFonts w:cs="Times New Roman"/>
        </w:rPr>
        <w:t>Kuršėnai</w:t>
      </w:r>
      <w:r w:rsidR="00C5283F" w:rsidRPr="00C5283F">
        <w:rPr>
          <w:rFonts w:cs="Times New Roman"/>
        </w:rPr>
        <w:t>, Šiaulių r. sav.</w:t>
      </w:r>
      <w:bookmarkEnd w:id="2"/>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24D33C5" w14:textId="44594F3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087215">
              <w:rPr>
                <w:rFonts w:cs="Times New Roman"/>
                <w:sz w:val="22"/>
              </w:rPr>
              <w:t>2</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 xml:space="preserve">valstybės įmonės Registrų centro Lietuvos Respublikos Vyriausybės nustatyta tvarka išduoto dokumento, </w:t>
            </w:r>
            <w:r w:rsidRPr="002117E5">
              <w:rPr>
                <w:rFonts w:ascii="Times New Roman" w:hAnsi="Times New Roman" w:cs="Times New Roman"/>
                <w:i/>
                <w:iCs/>
                <w:sz w:val="22"/>
                <w:szCs w:val="22"/>
              </w:rPr>
              <w:lastRenderedPageBreak/>
              <w:t>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t>15.2.</w:t>
            </w:r>
          </w:p>
        </w:tc>
        <w:tc>
          <w:tcPr>
            <w:tcW w:w="3544" w:type="dxa"/>
            <w:tcBorders>
              <w:top w:val="single" w:sz="4" w:space="0" w:color="000000"/>
              <w:left w:val="single" w:sz="4" w:space="0" w:color="000000"/>
              <w:bottom w:val="single" w:sz="4" w:space="0" w:color="000000"/>
            </w:tcBorders>
          </w:tcPr>
          <w:p w14:paraId="49933EE5" w14:textId="40AD5BE4" w:rsidR="00E651FA" w:rsidRPr="00C5283F" w:rsidRDefault="00E651FA" w:rsidP="00E651FA">
            <w:pPr>
              <w:pStyle w:val="Betarp"/>
              <w:jc w:val="both"/>
              <w:rPr>
                <w:rFonts w:ascii="Times New Roman" w:hAnsi="Times New Roman" w:cs="Times New Roman"/>
                <w:sz w:val="22"/>
                <w:szCs w:val="22"/>
              </w:rPr>
            </w:pPr>
            <w:r w:rsidRPr="00C5283F">
              <w:rPr>
                <w:rFonts w:ascii="Times New Roman" w:eastAsia="Times New Roman" w:hAnsi="Times New Roman" w:cs="Times New Roman"/>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55AB13F7" w14:textId="21BD7DA1" w:rsidR="00E651FA" w:rsidRPr="00C5283F" w:rsidRDefault="00E651FA" w:rsidP="00E651FA">
            <w:pPr>
              <w:tabs>
                <w:tab w:val="left" w:pos="340"/>
                <w:tab w:val="left" w:pos="1210"/>
              </w:tabs>
              <w:spacing w:after="0" w:line="240" w:lineRule="auto"/>
              <w:jc w:val="both"/>
              <w:rPr>
                <w:color w:val="000000" w:themeColor="text1"/>
                <w:sz w:val="22"/>
              </w:rPr>
            </w:pPr>
            <w:r w:rsidRPr="00C5283F">
              <w:rPr>
                <w:color w:val="000000" w:themeColor="text1"/>
                <w:sz w:val="22"/>
              </w:rPr>
              <w:t xml:space="preserve">Su pasiūlymu turi būti pateikta Deklaracija (šių pirkimo sąlygų </w:t>
            </w:r>
            <w:r w:rsidR="00B52597" w:rsidRPr="00C5283F">
              <w:rPr>
                <w:color w:val="000000" w:themeColor="text1"/>
                <w:sz w:val="22"/>
              </w:rPr>
              <w:t>2</w:t>
            </w:r>
            <w:r w:rsidRPr="00C5283F">
              <w:rPr>
                <w:color w:val="000000" w:themeColor="text1"/>
                <w:sz w:val="22"/>
              </w:rPr>
              <w:t xml:space="preserve"> priedas).</w:t>
            </w:r>
          </w:p>
          <w:p w14:paraId="30E0AE69" w14:textId="77777777" w:rsidR="00E651FA" w:rsidRPr="00C5283F"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C5283F" w:rsidRDefault="00E651FA" w:rsidP="00E651FA">
            <w:pPr>
              <w:tabs>
                <w:tab w:val="left" w:pos="340"/>
                <w:tab w:val="left" w:pos="1210"/>
              </w:tabs>
              <w:spacing w:after="0" w:line="240" w:lineRule="auto"/>
              <w:jc w:val="both"/>
              <w:rPr>
                <w:sz w:val="22"/>
              </w:rPr>
            </w:pPr>
            <w:r w:rsidRPr="00C5283F">
              <w:rPr>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2117E5">
              <w:rPr>
                <w:rFonts w:cs="Times New Roman"/>
                <w:bCs/>
                <w:sz w:val="22"/>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5C10FC79" w14:textId="189DB73F"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 xml:space="preserve">Jei dokumentas išduotas anksčiau, tačiau jame nurodytas galiojimo </w:t>
            </w:r>
            <w:r w:rsidRPr="002117E5">
              <w:rPr>
                <w:rFonts w:ascii="Times New Roman" w:hAnsi="Times New Roman" w:cs="Times New Roman"/>
                <w:bCs/>
                <w:i/>
                <w:iCs/>
                <w:sz w:val="22"/>
                <w:szCs w:val="22"/>
              </w:rPr>
              <w:lastRenderedPageBreak/>
              <w:t>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7CEBCE6D" w14:textId="083F8688"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499DB57A" w14:textId="374FBCEA" w:rsidR="00E651FA" w:rsidRPr="002117E5" w:rsidRDefault="00E651FA" w:rsidP="00B52597">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5DB93EEC" w14:textId="07E3AA15" w:rsidR="00E651FA" w:rsidRPr="002117E5" w:rsidRDefault="00E651FA" w:rsidP="00B52597">
            <w:pPr>
              <w:spacing w:after="0" w:line="240" w:lineRule="auto"/>
              <w:jc w:val="both"/>
              <w:rPr>
                <w:sz w:val="22"/>
              </w:rPr>
            </w:pPr>
            <w:r w:rsidRPr="002117E5">
              <w:rPr>
                <w:sz w:val="22"/>
              </w:rPr>
              <w:t>Su pasiūlymu turi būti pateikta Deklaracija (šių pirkimo sąlygų</w:t>
            </w:r>
            <w:r w:rsidR="00B52597">
              <w:rPr>
                <w:sz w:val="22"/>
              </w:rPr>
              <w:t xml:space="preserve"> 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81040C6" w14:textId="660BEF53"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w:t>
            </w:r>
            <w:r w:rsidRPr="002117E5">
              <w:rPr>
                <w:sz w:val="22"/>
              </w:rPr>
              <w:lastRenderedPageBreak/>
              <w:t xml:space="preserve">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2F9498E" w14:textId="760F76AA" w:rsidR="00E651FA" w:rsidRPr="002117E5" w:rsidRDefault="00E651FA" w:rsidP="00B52597">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5A50A6E" w14:textId="526960E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jis yra padaręs finansinės atskaitomybės ir audito teisės aktų pažeidimą ir nuo jo </w:t>
            </w:r>
            <w:r w:rsidRPr="002117E5">
              <w:rPr>
                <w:rFonts w:cs="Times New Roman"/>
                <w:sz w:val="22"/>
              </w:rPr>
              <w:lastRenderedPageBreak/>
              <w:t>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C00A9B1" w14:textId="7FE0699B"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be kita ko, atsižvelgiama </w:t>
            </w:r>
            <w:r w:rsidRPr="002117E5">
              <w:rPr>
                <w:rFonts w:ascii="Times New Roman" w:hAnsi="Times New Roman" w:cs="Times New Roman"/>
                <w:i/>
                <w:iCs/>
                <w:sz w:val="22"/>
                <w:szCs w:val="22"/>
              </w:rPr>
              <w:lastRenderedPageBreak/>
              <w:t>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066257F" w14:textId="4274E395"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29CE3528" w14:textId="06522C47"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w:t>
            </w:r>
            <w:r w:rsidRPr="002117E5">
              <w:rPr>
                <w:rFonts w:cs="Times New Roman"/>
                <w:sz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52EE2DA6" w14:textId="5EFDA9EB"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 xml:space="preserve">Pažymų, patvirtinančių VPĮ 46 straipsnyje nurodytų tiekėjo </w:t>
            </w:r>
            <w:r w:rsidRPr="00A339CA">
              <w:rPr>
                <w:rFonts w:eastAsia="Yu Mincho" w:cs="Times New Roman"/>
                <w:color w:val="000000" w:themeColor="text1"/>
                <w:sz w:val="22"/>
                <w:lang w:eastAsia="lt-LT"/>
              </w:rPr>
              <w:lastRenderedPageBreak/>
              <w:t>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lastRenderedPageBreak/>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6B1F9F" w:rsidRPr="006B1F9F" w14:paraId="6060A289" w14:textId="4720B35E" w:rsidTr="008B2D87">
        <w:tc>
          <w:tcPr>
            <w:tcW w:w="738" w:type="dxa"/>
            <w:tcBorders>
              <w:top w:val="single" w:sz="4" w:space="0" w:color="000000"/>
              <w:left w:val="single" w:sz="4" w:space="0" w:color="000000"/>
              <w:bottom w:val="single" w:sz="4" w:space="0" w:color="000000"/>
            </w:tcBorders>
          </w:tcPr>
          <w:p w14:paraId="02CCF2E8" w14:textId="77777777" w:rsidR="004154F7" w:rsidRPr="006B1F9F" w:rsidRDefault="004154F7" w:rsidP="0031691D">
            <w:pPr>
              <w:snapToGrid w:val="0"/>
              <w:spacing w:after="0" w:line="240" w:lineRule="auto"/>
              <w:ind w:left="-959" w:firstLine="851"/>
              <w:jc w:val="center"/>
              <w:rPr>
                <w:sz w:val="22"/>
              </w:rPr>
            </w:pPr>
            <w:r w:rsidRPr="006B1F9F">
              <w:rPr>
                <w:sz w:val="22"/>
              </w:rPr>
              <w:t xml:space="preserve">Eil. </w:t>
            </w:r>
          </w:p>
          <w:p w14:paraId="0B8F626F" w14:textId="77777777" w:rsidR="004154F7" w:rsidRPr="006B1F9F" w:rsidRDefault="004154F7" w:rsidP="0031691D">
            <w:pPr>
              <w:spacing w:after="0" w:line="240" w:lineRule="auto"/>
              <w:ind w:left="-959" w:firstLine="851"/>
              <w:jc w:val="center"/>
              <w:rPr>
                <w:sz w:val="22"/>
              </w:rPr>
            </w:pPr>
            <w:r w:rsidRPr="006B1F9F">
              <w:rPr>
                <w:sz w:val="22"/>
              </w:rPr>
              <w:t>Nr.</w:t>
            </w:r>
          </w:p>
        </w:tc>
        <w:tc>
          <w:tcPr>
            <w:tcW w:w="2835" w:type="dxa"/>
            <w:tcBorders>
              <w:top w:val="single" w:sz="4" w:space="0" w:color="000000"/>
              <w:left w:val="single" w:sz="4" w:space="0" w:color="000000"/>
              <w:bottom w:val="single" w:sz="4" w:space="0" w:color="000000"/>
            </w:tcBorders>
          </w:tcPr>
          <w:p w14:paraId="16BFFFFD" w14:textId="77777777" w:rsidR="004154F7" w:rsidRPr="006B1F9F" w:rsidRDefault="004154F7" w:rsidP="0031691D">
            <w:pPr>
              <w:snapToGrid w:val="0"/>
              <w:spacing w:after="0" w:line="240" w:lineRule="auto"/>
              <w:jc w:val="center"/>
              <w:rPr>
                <w:sz w:val="22"/>
              </w:rPr>
            </w:pPr>
            <w:r w:rsidRPr="006B1F9F">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5ECC5834" w14:textId="77777777" w:rsidR="004154F7" w:rsidRPr="006B1F9F" w:rsidRDefault="004154F7" w:rsidP="0031691D">
            <w:pPr>
              <w:snapToGrid w:val="0"/>
              <w:spacing w:after="0" w:line="240" w:lineRule="auto"/>
              <w:ind w:right="-108"/>
              <w:jc w:val="center"/>
              <w:rPr>
                <w:sz w:val="22"/>
              </w:rPr>
            </w:pPr>
            <w:r w:rsidRPr="006B1F9F">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6B1F9F" w:rsidRDefault="00666FC0" w:rsidP="004154F7">
            <w:pPr>
              <w:snapToGrid w:val="0"/>
              <w:spacing w:after="0" w:line="240" w:lineRule="auto"/>
              <w:ind w:right="-108"/>
              <w:jc w:val="center"/>
              <w:rPr>
                <w:szCs w:val="24"/>
              </w:rPr>
            </w:pPr>
            <w:r w:rsidRPr="006B1F9F">
              <w:rPr>
                <w:sz w:val="22"/>
              </w:rPr>
              <w:t>Subjektas, kuris turi atitikti reikalavimą</w:t>
            </w:r>
          </w:p>
        </w:tc>
      </w:tr>
      <w:tr w:rsidR="006B1F9F" w:rsidRPr="006B1F9F" w14:paraId="3113B0DF" w14:textId="77777777" w:rsidTr="006F684B">
        <w:tc>
          <w:tcPr>
            <w:tcW w:w="738" w:type="dxa"/>
            <w:tcBorders>
              <w:top w:val="single" w:sz="4" w:space="0" w:color="000000"/>
              <w:left w:val="single" w:sz="4" w:space="0" w:color="000000"/>
              <w:bottom w:val="single" w:sz="4" w:space="0" w:color="000000"/>
            </w:tcBorders>
          </w:tcPr>
          <w:p w14:paraId="57FCAE92" w14:textId="2A53743C" w:rsidR="006F684B" w:rsidRPr="006B1F9F" w:rsidRDefault="00C7696A" w:rsidP="00FF17FA">
            <w:pPr>
              <w:snapToGrid w:val="0"/>
              <w:spacing w:after="0" w:line="240" w:lineRule="auto"/>
              <w:ind w:left="-959" w:firstLine="851"/>
              <w:jc w:val="center"/>
              <w:rPr>
                <w:sz w:val="22"/>
              </w:rPr>
            </w:pPr>
            <w:r w:rsidRPr="006B1F9F">
              <w:rPr>
                <w:sz w:val="22"/>
              </w:rPr>
              <w:t>16</w:t>
            </w:r>
            <w:r w:rsidR="006F684B" w:rsidRPr="006B1F9F">
              <w:rPr>
                <w:sz w:val="22"/>
              </w:rPr>
              <w:t>.</w:t>
            </w:r>
            <w:r w:rsidR="00C05DFC" w:rsidRPr="006B1F9F">
              <w:rPr>
                <w:sz w:val="22"/>
              </w:rPr>
              <w:t>1</w:t>
            </w:r>
            <w:r w:rsidR="006F684B" w:rsidRPr="006B1F9F">
              <w:rPr>
                <w:sz w:val="22"/>
              </w:rPr>
              <w:t>.</w:t>
            </w:r>
          </w:p>
        </w:tc>
        <w:tc>
          <w:tcPr>
            <w:tcW w:w="2835" w:type="dxa"/>
            <w:tcBorders>
              <w:top w:val="single" w:sz="4" w:space="0" w:color="000000"/>
              <w:left w:val="single" w:sz="4" w:space="0" w:color="000000"/>
              <w:bottom w:val="single" w:sz="4" w:space="0" w:color="000000"/>
            </w:tcBorders>
          </w:tcPr>
          <w:p w14:paraId="226EE133" w14:textId="77777777" w:rsidR="006B1F9F" w:rsidRPr="006B1F9F" w:rsidRDefault="006B1F9F" w:rsidP="006B1F9F">
            <w:pPr>
              <w:spacing w:after="0" w:line="100" w:lineRule="atLeast"/>
              <w:jc w:val="both"/>
              <w:rPr>
                <w:sz w:val="22"/>
              </w:rPr>
            </w:pPr>
            <w:r w:rsidRPr="006B1F9F">
              <w:rPr>
                <w:sz w:val="22"/>
                <w:lang w:eastAsia="lt-LT"/>
              </w:rPr>
              <w:t>Tiekėjas pirkimo sutarčiai vykdyti privalo turėti:</w:t>
            </w:r>
          </w:p>
          <w:p w14:paraId="12C217C7" w14:textId="1CDDBCDF" w:rsidR="006B1F9F" w:rsidRPr="006B1F9F" w:rsidRDefault="006B1F9F" w:rsidP="006B1F9F">
            <w:pPr>
              <w:pStyle w:val="Lentelsturinys"/>
              <w:snapToGrid w:val="0"/>
              <w:spacing w:after="0" w:line="240" w:lineRule="auto"/>
              <w:jc w:val="both"/>
              <w:rPr>
                <w:rFonts w:cs="Times New Roman"/>
                <w:sz w:val="22"/>
                <w:shd w:val="clear" w:color="auto" w:fill="FFFFFF"/>
              </w:rPr>
            </w:pPr>
            <w:r w:rsidRPr="006B1F9F">
              <w:rPr>
                <w:sz w:val="22"/>
              </w:rPr>
              <w:t xml:space="preserve">– bent 1 specialistą, Lietuvos Respublikos statybos įstatymo nustatyta tvarka turintį teisę būti ypatingojo statinio projekto vadovu. </w:t>
            </w:r>
            <w:r w:rsidRPr="006B1F9F">
              <w:rPr>
                <w:rFonts w:cs="Times New Roman"/>
                <w:sz w:val="22"/>
                <w:shd w:val="clear" w:color="auto" w:fill="FFFFFF"/>
              </w:rPr>
              <w:t xml:space="preserve">Statiniai: </w:t>
            </w:r>
            <w:r w:rsidRPr="006B1F9F">
              <w:rPr>
                <w:sz w:val="22"/>
              </w:rPr>
              <w:t>negyvenamieji (mokslo paskirties) pastatai</w:t>
            </w:r>
            <w:r w:rsidRPr="006B1F9F">
              <w:rPr>
                <w:rFonts w:cs="Times New Roman"/>
                <w:sz w:val="22"/>
                <w:shd w:val="clear" w:color="auto" w:fill="FFFFFF"/>
              </w:rPr>
              <w:t>.</w:t>
            </w:r>
          </w:p>
          <w:p w14:paraId="3B16F440" w14:textId="0D505C9A" w:rsidR="006B1F9F" w:rsidRPr="006B1F9F" w:rsidRDefault="006B1F9F" w:rsidP="006B1F9F">
            <w:pPr>
              <w:snapToGrid w:val="0"/>
              <w:spacing w:after="0" w:line="240" w:lineRule="auto"/>
              <w:jc w:val="both"/>
              <w:rPr>
                <w:sz w:val="22"/>
              </w:rPr>
            </w:pPr>
            <w:r w:rsidRPr="006B1F9F">
              <w:rPr>
                <w:sz w:val="22"/>
              </w:rPr>
              <w:t xml:space="preserve"> – bent 1 specialistą, Lietuvos Respublikos statybos įstatymo nustatyta tvarka turintį teisę būti ypatingojo statinio statybos vadovu. </w:t>
            </w:r>
          </w:p>
          <w:p w14:paraId="06681202" w14:textId="0BFA500D" w:rsidR="006B1F9F" w:rsidRPr="006B1F9F" w:rsidRDefault="006B1F9F" w:rsidP="006B1F9F">
            <w:pPr>
              <w:spacing w:after="0" w:line="240" w:lineRule="auto"/>
              <w:jc w:val="both"/>
              <w:rPr>
                <w:sz w:val="22"/>
              </w:rPr>
            </w:pPr>
            <w:r w:rsidRPr="006B1F9F">
              <w:rPr>
                <w:rFonts w:cs="Times New Roman"/>
                <w:sz w:val="22"/>
                <w:shd w:val="clear" w:color="auto" w:fill="FFFFFF"/>
              </w:rPr>
              <w:t xml:space="preserve">Statiniai: </w:t>
            </w:r>
            <w:r w:rsidRPr="006B1F9F">
              <w:rPr>
                <w:sz w:val="22"/>
              </w:rPr>
              <w:t>negyvenamieji (mokslo paskirties) pastatai</w:t>
            </w:r>
            <w:r w:rsidRPr="006B1F9F">
              <w:rPr>
                <w:rFonts w:cs="Times New Roman"/>
                <w:sz w:val="22"/>
                <w:shd w:val="clear" w:color="auto" w:fill="FFFFFF"/>
              </w:rPr>
              <w:t>.</w:t>
            </w:r>
          </w:p>
        </w:tc>
        <w:tc>
          <w:tcPr>
            <w:tcW w:w="2977" w:type="dxa"/>
            <w:tcBorders>
              <w:top w:val="single" w:sz="4" w:space="0" w:color="000000"/>
              <w:left w:val="single" w:sz="4" w:space="0" w:color="000000"/>
              <w:bottom w:val="single" w:sz="4" w:space="0" w:color="000000"/>
              <w:right w:val="single" w:sz="4" w:space="0" w:color="000000"/>
            </w:tcBorders>
          </w:tcPr>
          <w:p w14:paraId="61878F12" w14:textId="42D7B29B" w:rsidR="006F684B" w:rsidRPr="006B1F9F" w:rsidRDefault="006F684B" w:rsidP="00FF17FA">
            <w:pPr>
              <w:snapToGrid w:val="0"/>
              <w:spacing w:after="0" w:line="240" w:lineRule="auto"/>
              <w:jc w:val="both"/>
              <w:rPr>
                <w:sz w:val="22"/>
              </w:rPr>
            </w:pPr>
            <w:r w:rsidRPr="006B1F9F">
              <w:rPr>
                <w:sz w:val="22"/>
              </w:rPr>
              <w:t xml:space="preserve">Su pasiūlymu turi būti pateikta Deklaracija (šių pirkimo sąlygų </w:t>
            </w:r>
            <w:r w:rsidR="004763B3" w:rsidRPr="006B1F9F">
              <w:rPr>
                <w:sz w:val="22"/>
              </w:rPr>
              <w:t>2</w:t>
            </w:r>
            <w:r w:rsidRPr="006B1F9F">
              <w:rPr>
                <w:sz w:val="22"/>
              </w:rPr>
              <w:t xml:space="preserve"> priedas).</w:t>
            </w:r>
          </w:p>
          <w:p w14:paraId="28889628" w14:textId="77777777" w:rsidR="006F684B" w:rsidRPr="006B1F9F" w:rsidRDefault="006F684B" w:rsidP="006F684B">
            <w:pPr>
              <w:snapToGrid w:val="0"/>
              <w:spacing w:after="0" w:line="240" w:lineRule="auto"/>
              <w:jc w:val="both"/>
              <w:rPr>
                <w:sz w:val="22"/>
              </w:rPr>
            </w:pPr>
          </w:p>
          <w:p w14:paraId="1AF55699" w14:textId="77777777" w:rsidR="006F684B" w:rsidRPr="006B1F9F" w:rsidRDefault="006F684B" w:rsidP="00FF17FA">
            <w:pPr>
              <w:snapToGrid w:val="0"/>
              <w:spacing w:after="0" w:line="240" w:lineRule="auto"/>
              <w:jc w:val="both"/>
              <w:rPr>
                <w:sz w:val="22"/>
              </w:rPr>
            </w:pPr>
            <w:r w:rsidRPr="006B1F9F">
              <w:rPr>
                <w:sz w:val="22"/>
              </w:rPr>
              <w:t>Perkančiajai organizacijai atlikus Deklaracijos patikrinimo procedūrą, patikrinus pasiūlymus ir išrinkus galimą laimėtoją, tik jo yra prašomi dokumentai, patvirtinantys kvalifikacijos reikalavimų atitiktį.</w:t>
            </w:r>
          </w:p>
          <w:p w14:paraId="5107EBCB" w14:textId="77777777" w:rsidR="006F684B" w:rsidRPr="006B1F9F" w:rsidRDefault="006F684B" w:rsidP="00FF17FA">
            <w:pPr>
              <w:snapToGrid w:val="0"/>
              <w:spacing w:after="0" w:line="240" w:lineRule="auto"/>
              <w:jc w:val="both"/>
              <w:rPr>
                <w:sz w:val="22"/>
              </w:rPr>
            </w:pPr>
          </w:p>
          <w:p w14:paraId="37EDBE23" w14:textId="54283E6C" w:rsidR="006F684B" w:rsidRPr="006B1F9F" w:rsidRDefault="006F684B" w:rsidP="00FF17FA">
            <w:pPr>
              <w:snapToGrid w:val="0"/>
              <w:spacing w:after="0" w:line="240" w:lineRule="auto"/>
              <w:jc w:val="both"/>
              <w:rPr>
                <w:sz w:val="22"/>
              </w:rPr>
            </w:pPr>
            <w:r w:rsidRPr="006B1F9F">
              <w:rPr>
                <w:sz w:val="22"/>
              </w:rPr>
              <w:t>Reikalavimo atitikčiai pagrįsti pateikiamas specialistų sąrašas elektroninėje for</w:t>
            </w:r>
            <w:r w:rsidR="009C1B6E" w:rsidRPr="006B1F9F">
              <w:rPr>
                <w:sz w:val="22"/>
              </w:rPr>
              <w:t>moje (pagal šių pirkimo sąlygų 7</w:t>
            </w:r>
            <w:r w:rsidRPr="006B1F9F">
              <w:rPr>
                <w:sz w:val="22"/>
              </w:rPr>
              <w:t xml:space="preserve"> priedą).</w:t>
            </w:r>
          </w:p>
          <w:p w14:paraId="36A41411" w14:textId="77777777" w:rsidR="006F684B" w:rsidRPr="006B1F9F" w:rsidRDefault="006F684B" w:rsidP="00FF17FA">
            <w:pPr>
              <w:snapToGrid w:val="0"/>
              <w:spacing w:after="0" w:line="240" w:lineRule="auto"/>
              <w:jc w:val="both"/>
              <w:rPr>
                <w:sz w:val="22"/>
              </w:rPr>
            </w:pPr>
            <w:r w:rsidRPr="006B1F9F">
              <w:rPr>
                <w:sz w:val="22"/>
              </w:rPr>
              <w:t>Siūlomų specialistų sąraše turi būti nurodyta:</w:t>
            </w:r>
          </w:p>
          <w:p w14:paraId="4FA2915D" w14:textId="77777777" w:rsidR="006F684B" w:rsidRPr="006B1F9F" w:rsidRDefault="006F684B" w:rsidP="00FF17FA">
            <w:pPr>
              <w:snapToGrid w:val="0"/>
              <w:spacing w:after="0" w:line="240" w:lineRule="auto"/>
              <w:jc w:val="both"/>
              <w:rPr>
                <w:sz w:val="22"/>
              </w:rPr>
            </w:pPr>
            <w:r w:rsidRPr="006B1F9F">
              <w:rPr>
                <w:sz w:val="22"/>
              </w:rPr>
              <w:lastRenderedPageBreak/>
              <w:t>–</w:t>
            </w:r>
            <w:r w:rsidRPr="006B1F9F">
              <w:rPr>
                <w:sz w:val="22"/>
              </w:rPr>
              <w:tab/>
              <w:t>specialisto vardas, pavardė,</w:t>
            </w:r>
          </w:p>
          <w:p w14:paraId="2AAF77AD"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numatytos specialisto funkcijos,</w:t>
            </w:r>
          </w:p>
          <w:p w14:paraId="288EE7FD"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dabartinė specialisto darbovietė,</w:t>
            </w:r>
          </w:p>
          <w:p w14:paraId="0D669AF9"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duomenys apie specialisto turimą LR Aplinkos ministerijos ar VĮ Statybos produkcijos sertifikavimo centro išduotą kvalifikacijos atestatą, ar (specialistui iš užsienio) VĮ Statybos produkcijos sertifikavimo centro išduotą teisės pripažinimo dokumentą;</w:t>
            </w:r>
          </w:p>
          <w:p w14:paraId="3453EF91" w14:textId="77777777" w:rsidR="006F684B" w:rsidRPr="006B1F9F" w:rsidRDefault="006F684B" w:rsidP="00FF17FA">
            <w:pPr>
              <w:snapToGrid w:val="0"/>
              <w:spacing w:after="0" w:line="240" w:lineRule="auto"/>
              <w:jc w:val="both"/>
              <w:rPr>
                <w:sz w:val="22"/>
              </w:rPr>
            </w:pPr>
            <w:r w:rsidRPr="006B1F9F">
              <w:rPr>
                <w:sz w:val="22"/>
              </w:rPr>
              <w:t>Prie sąrašo pridedami:</w:t>
            </w:r>
          </w:p>
          <w:p w14:paraId="131A4E7E"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specialistui LR Aplinkos ministerijos ar VĮ Statybos produkcijos sertifikavimo centro išduotas kvalifikacijos atestatas, ar (specialistui iš užsienio) VĮ Statybos produkcijos sertifikavimo centro išduotas teisės pripažinimo dokumentas.</w:t>
            </w:r>
          </w:p>
          <w:p w14:paraId="7341EFD1" w14:textId="77777777" w:rsidR="006F684B" w:rsidRPr="006B1F9F" w:rsidRDefault="006F684B" w:rsidP="00FF17FA">
            <w:pPr>
              <w:snapToGrid w:val="0"/>
              <w:spacing w:after="0" w:line="240" w:lineRule="auto"/>
              <w:jc w:val="both"/>
              <w:rPr>
                <w:sz w:val="22"/>
              </w:rPr>
            </w:pPr>
            <w:r w:rsidRPr="006B1F9F">
              <w:rPr>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439A2008" w14:textId="77777777" w:rsidR="006F684B" w:rsidRPr="006B1F9F" w:rsidRDefault="006F684B" w:rsidP="006F684B">
            <w:pPr>
              <w:snapToGrid w:val="0"/>
              <w:spacing w:after="0" w:line="240" w:lineRule="auto"/>
              <w:jc w:val="both"/>
              <w:rPr>
                <w:sz w:val="22"/>
              </w:rPr>
            </w:pPr>
            <w:r w:rsidRPr="006B1F9F">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0ACBBD88" w14:textId="77777777" w:rsidR="006F684B" w:rsidRPr="006B1F9F" w:rsidRDefault="006F684B" w:rsidP="00FF17FA">
            <w:pPr>
              <w:pStyle w:val="Sraopastraipa"/>
              <w:numPr>
                <w:ilvl w:val="0"/>
                <w:numId w:val="21"/>
              </w:numPr>
              <w:spacing w:after="0" w:line="240" w:lineRule="auto"/>
              <w:ind w:left="314" w:hanging="314"/>
              <w:jc w:val="both"/>
              <w:rPr>
                <w:sz w:val="22"/>
              </w:rPr>
            </w:pPr>
            <w:r w:rsidRPr="006B1F9F">
              <w:rPr>
                <w:sz w:val="22"/>
              </w:rPr>
              <w:lastRenderedPageBreak/>
              <w:t>tiekėjas;</w:t>
            </w:r>
          </w:p>
          <w:p w14:paraId="4532D017" w14:textId="78CE0B8E" w:rsidR="006F684B" w:rsidRPr="006B1F9F" w:rsidRDefault="006F684B" w:rsidP="00FF17FA">
            <w:pPr>
              <w:pStyle w:val="Sraopastraipa"/>
              <w:numPr>
                <w:ilvl w:val="0"/>
                <w:numId w:val="21"/>
              </w:numPr>
              <w:spacing w:after="0" w:line="240" w:lineRule="auto"/>
              <w:ind w:left="314" w:hanging="314"/>
              <w:jc w:val="both"/>
              <w:rPr>
                <w:sz w:val="22"/>
              </w:rPr>
            </w:pPr>
            <w:r w:rsidRPr="006B1F9F">
              <w:rPr>
                <w:sz w:val="22"/>
              </w:rPr>
              <w:t>bent vienas ūkio subjektų grupės narys (jei pasiūlymą teikia ūkio subjektų grupė)</w:t>
            </w:r>
            <w:r w:rsidR="00CC7E42" w:rsidRPr="006B1F9F">
              <w:rPr>
                <w:sz w:val="22"/>
              </w:rPr>
              <w:t>.</w:t>
            </w:r>
          </w:p>
          <w:p w14:paraId="635000C0" w14:textId="77777777" w:rsidR="006F684B" w:rsidRPr="006B1F9F" w:rsidRDefault="006F684B" w:rsidP="006F684B">
            <w:pPr>
              <w:rPr>
                <w:sz w:val="22"/>
              </w:rPr>
            </w:pPr>
          </w:p>
          <w:p w14:paraId="0F39A24A" w14:textId="77777777" w:rsidR="006F684B" w:rsidRPr="006B1F9F" w:rsidRDefault="006F684B" w:rsidP="006F684B">
            <w:pPr>
              <w:spacing w:after="0" w:line="240" w:lineRule="auto"/>
              <w:jc w:val="both"/>
              <w:rPr>
                <w:sz w:val="22"/>
              </w:rPr>
            </w:pPr>
          </w:p>
        </w:tc>
      </w:tr>
    </w:tbl>
    <w:p w14:paraId="7A54DCD3" w14:textId="437176B5" w:rsidR="00C474BF" w:rsidRPr="002117E5" w:rsidRDefault="00863D3E" w:rsidP="00D75B15">
      <w:pPr>
        <w:pStyle w:val="Porat"/>
        <w:numPr>
          <w:ilvl w:val="0"/>
          <w:numId w:val="2"/>
        </w:numPr>
        <w:spacing w:before="120"/>
        <w:jc w:val="both"/>
        <w:rPr>
          <w:szCs w:val="24"/>
        </w:rPr>
      </w:pPr>
      <w:r w:rsidRPr="002117E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tcPr>
          <w:p w14:paraId="0E67ACDD" w14:textId="3A2E23C8"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statybos d</w:t>
            </w:r>
            <w:r w:rsidRPr="002117E5">
              <w:rPr>
                <w:sz w:val="22"/>
                <w:lang w:eastAsia="lt-LT"/>
              </w:rPr>
              <w:t>arbams</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w:t>
            </w:r>
            <w:r w:rsidRPr="002117E5">
              <w:rPr>
                <w:sz w:val="22"/>
                <w:lang w:eastAsia="lt-LT"/>
              </w:rPr>
              <w:lastRenderedPageBreak/>
              <w:t>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22DC1735" w14:textId="5A26E6C2"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4763B3">
              <w:rPr>
                <w:rFonts w:cs="Times New Roman"/>
                <w:sz w:val="22"/>
              </w:rPr>
              <w:t>2</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w:t>
            </w:r>
            <w:r w:rsidRPr="002117E5">
              <w:rPr>
                <w:i/>
                <w:iCs/>
                <w:sz w:val="22"/>
              </w:rPr>
              <w:lastRenderedPageBreak/>
              <w:t>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30E4B38F"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w:t>
            </w:r>
            <w:r w:rsidRPr="002117E5">
              <w:rPr>
                <w:sz w:val="22"/>
                <w:lang w:eastAsia="lt-LT"/>
              </w:rPr>
              <w:lastRenderedPageBreak/>
              <w:t xml:space="preserve">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D30529">
        <w:rPr>
          <w:b/>
          <w:sz w:val="22"/>
          <w:szCs w:val="22"/>
        </w:rPr>
        <w:lastRenderedPageBreak/>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2975C0E7" w14:textId="77777777" w:rsidR="003E1B31" w:rsidRPr="00722800" w:rsidRDefault="003E1B31" w:rsidP="003E1B31">
      <w:pPr>
        <w:numPr>
          <w:ilvl w:val="0"/>
          <w:numId w:val="2"/>
        </w:numPr>
        <w:tabs>
          <w:tab w:val="left" w:pos="0"/>
          <w:tab w:val="num" w:pos="142"/>
          <w:tab w:val="left" w:pos="340"/>
          <w:tab w:val="left" w:pos="1134"/>
        </w:tabs>
        <w:spacing w:before="120" w:after="0" w:line="240" w:lineRule="auto"/>
        <w:ind w:left="142" w:firstLine="567"/>
        <w:contextualSpacing/>
        <w:jc w:val="both"/>
        <w:rPr>
          <w:szCs w:val="24"/>
        </w:rPr>
      </w:pPr>
      <w:r w:rsidRPr="00722800">
        <w:rPr>
          <w:szCs w:val="24"/>
        </w:rPr>
        <w:t>Šiam pirkimui yra taikomos Perkančiosios organizacijos pasirinktos sąlygos pagal Viešųjų pirkimų įstatymo 45 straipsnio 21 dalies nuostatas:</w:t>
      </w:r>
    </w:p>
    <w:p w14:paraId="25761B23" w14:textId="77777777" w:rsidR="003E1B31" w:rsidRPr="00722800" w:rsidRDefault="003E1B31" w:rsidP="003E1B31">
      <w:pPr>
        <w:tabs>
          <w:tab w:val="left" w:pos="0"/>
          <w:tab w:val="left" w:pos="340"/>
          <w:tab w:val="left" w:pos="1134"/>
        </w:tabs>
        <w:spacing w:before="120" w:after="0" w:line="240" w:lineRule="auto"/>
        <w:ind w:left="786"/>
        <w:contextualSpacing/>
        <w:jc w:val="right"/>
        <w:rPr>
          <w:b/>
          <w:bCs/>
          <w:szCs w:val="24"/>
        </w:rPr>
      </w:pPr>
      <w:r w:rsidRPr="00722800">
        <w:rPr>
          <w:b/>
          <w:bCs/>
          <w:szCs w:val="24"/>
        </w:rPr>
        <w:t>3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3E1B31" w:rsidRPr="00722800" w14:paraId="487F5F30" w14:textId="77777777" w:rsidTr="00FF17FA">
        <w:trPr>
          <w:trHeight w:val="741"/>
        </w:trPr>
        <w:tc>
          <w:tcPr>
            <w:tcW w:w="738" w:type="dxa"/>
            <w:tcBorders>
              <w:top w:val="single" w:sz="4" w:space="0" w:color="000000"/>
              <w:left w:val="single" w:sz="4" w:space="0" w:color="000000"/>
              <w:bottom w:val="single" w:sz="4" w:space="0" w:color="000000"/>
            </w:tcBorders>
            <w:vAlign w:val="center"/>
          </w:tcPr>
          <w:p w14:paraId="3EFBD08D" w14:textId="77777777" w:rsidR="003E1B31" w:rsidRPr="00722800" w:rsidRDefault="003E1B31" w:rsidP="00FF17FA">
            <w:pPr>
              <w:snapToGrid w:val="0"/>
              <w:spacing w:after="0" w:line="240" w:lineRule="auto"/>
              <w:ind w:left="-959" w:right="-397" w:firstLine="832"/>
              <w:jc w:val="center"/>
              <w:rPr>
                <w:sz w:val="22"/>
              </w:rPr>
            </w:pPr>
            <w:r w:rsidRPr="00722800">
              <w:rPr>
                <w:b/>
                <w:bCs/>
                <w:szCs w:val="24"/>
              </w:rPr>
              <w:tab/>
            </w:r>
            <w:r w:rsidRPr="00722800">
              <w:rPr>
                <w:b/>
                <w:bCs/>
                <w:szCs w:val="24"/>
              </w:rPr>
              <w:tab/>
            </w:r>
            <w:r w:rsidRPr="00722800">
              <w:rPr>
                <w:sz w:val="22"/>
              </w:rPr>
              <w:t>Eil.</w:t>
            </w:r>
          </w:p>
          <w:p w14:paraId="5D7C8BF6" w14:textId="77777777" w:rsidR="003E1B31" w:rsidRPr="00722800" w:rsidRDefault="003E1B31" w:rsidP="00FF17FA">
            <w:pPr>
              <w:snapToGrid w:val="0"/>
              <w:spacing w:after="0" w:line="240" w:lineRule="auto"/>
              <w:ind w:left="-959" w:firstLine="851"/>
              <w:jc w:val="center"/>
              <w:rPr>
                <w:sz w:val="22"/>
              </w:rPr>
            </w:pPr>
            <w:r w:rsidRPr="00722800">
              <w:rPr>
                <w:sz w:val="22"/>
              </w:rPr>
              <w:t>Nr.</w:t>
            </w:r>
          </w:p>
        </w:tc>
        <w:tc>
          <w:tcPr>
            <w:tcW w:w="3260" w:type="dxa"/>
            <w:tcBorders>
              <w:top w:val="single" w:sz="4" w:space="0" w:color="000000"/>
              <w:left w:val="single" w:sz="4" w:space="0" w:color="000000"/>
              <w:bottom w:val="single" w:sz="4" w:space="0" w:color="000000"/>
            </w:tcBorders>
            <w:vAlign w:val="center"/>
          </w:tcPr>
          <w:p w14:paraId="0E1234F0" w14:textId="77777777" w:rsidR="003E1B31" w:rsidRPr="00722800" w:rsidRDefault="003E1B31" w:rsidP="00FF17FA">
            <w:pPr>
              <w:spacing w:after="0" w:line="100" w:lineRule="atLeast"/>
              <w:jc w:val="center"/>
              <w:rPr>
                <w:sz w:val="22"/>
                <w:lang w:eastAsia="lt-LT"/>
              </w:rPr>
            </w:pPr>
            <w:r w:rsidRPr="00722800">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6B85831F" w14:textId="77777777" w:rsidR="003E1B31" w:rsidRPr="00722800" w:rsidRDefault="003E1B31" w:rsidP="00FF17FA">
            <w:pPr>
              <w:suppressAutoHyphens w:val="0"/>
              <w:spacing w:after="0" w:line="240" w:lineRule="auto"/>
              <w:jc w:val="center"/>
              <w:rPr>
                <w:sz w:val="22"/>
              </w:rPr>
            </w:pPr>
            <w:r w:rsidRPr="00722800">
              <w:rPr>
                <w:sz w:val="22"/>
                <w:lang w:eastAsia="lt-LT"/>
              </w:rPr>
              <w:t>Reikalavimo atitiktį</w:t>
            </w:r>
            <w:r w:rsidRPr="00722800">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7C043558" w14:textId="77777777" w:rsidR="003E1B31" w:rsidRPr="00722800" w:rsidRDefault="003E1B31" w:rsidP="00FF17FA">
            <w:pPr>
              <w:spacing w:after="0" w:line="240" w:lineRule="auto"/>
              <w:ind w:left="-114"/>
              <w:contextualSpacing/>
              <w:jc w:val="center"/>
              <w:rPr>
                <w:sz w:val="22"/>
                <w:lang w:eastAsia="lt-LT"/>
              </w:rPr>
            </w:pPr>
            <w:r w:rsidRPr="00722800">
              <w:rPr>
                <w:sz w:val="22"/>
                <w:lang w:eastAsia="lt-LT"/>
              </w:rPr>
              <w:t>Subjektas, kuris turi atitikti reikalavimą</w:t>
            </w:r>
          </w:p>
        </w:tc>
      </w:tr>
      <w:tr w:rsidR="003E1B31" w:rsidRPr="00722800" w14:paraId="2DE1689B" w14:textId="77777777" w:rsidTr="00FF17FA">
        <w:tc>
          <w:tcPr>
            <w:tcW w:w="738" w:type="dxa"/>
            <w:tcBorders>
              <w:top w:val="single" w:sz="4" w:space="0" w:color="000000"/>
              <w:left w:val="single" w:sz="4" w:space="0" w:color="000000"/>
              <w:bottom w:val="single" w:sz="4" w:space="0" w:color="000000"/>
            </w:tcBorders>
          </w:tcPr>
          <w:p w14:paraId="597395C5" w14:textId="7D20005E" w:rsidR="003E1B31" w:rsidRPr="00722800" w:rsidRDefault="003E1B31" w:rsidP="00FF17FA">
            <w:pPr>
              <w:snapToGrid w:val="0"/>
              <w:spacing w:after="0" w:line="240" w:lineRule="auto"/>
              <w:ind w:left="-959" w:firstLine="851"/>
              <w:jc w:val="center"/>
              <w:rPr>
                <w:sz w:val="22"/>
              </w:rPr>
            </w:pPr>
            <w:r w:rsidRPr="00722800">
              <w:rPr>
                <w:sz w:val="22"/>
              </w:rPr>
              <w:t>1</w:t>
            </w:r>
            <w:r>
              <w:rPr>
                <w:sz w:val="22"/>
              </w:rPr>
              <w:t>8</w:t>
            </w:r>
            <w:r w:rsidRPr="00722800">
              <w:rPr>
                <w:sz w:val="22"/>
              </w:rPr>
              <w:t>.1.</w:t>
            </w:r>
          </w:p>
        </w:tc>
        <w:tc>
          <w:tcPr>
            <w:tcW w:w="3260" w:type="dxa"/>
            <w:tcBorders>
              <w:top w:val="single" w:sz="4" w:space="0" w:color="000000"/>
              <w:left w:val="single" w:sz="4" w:space="0" w:color="000000"/>
              <w:bottom w:val="single" w:sz="4" w:space="0" w:color="000000"/>
            </w:tcBorders>
          </w:tcPr>
          <w:p w14:paraId="42457E88" w14:textId="77777777" w:rsidR="003E1B31" w:rsidRPr="00722800" w:rsidRDefault="003E1B31" w:rsidP="00FF17FA">
            <w:pPr>
              <w:spacing w:after="0" w:line="240" w:lineRule="auto"/>
              <w:jc w:val="both"/>
              <w:rPr>
                <w:sz w:val="22"/>
              </w:rPr>
            </w:pPr>
            <w:r w:rsidRPr="00722800">
              <w:rPr>
                <w:sz w:val="22"/>
              </w:rPr>
              <w:t xml:space="preserve">Tiekėjas (įskaitant kiekvieną tiekėjų grupės narį), jo subtiekėjas, ūkio subjektas, kurio pajėgumais remiamasi ar juos kontroliuojantys asmenys </w:t>
            </w:r>
            <w:r w:rsidRPr="00722800">
              <w:rPr>
                <w:b/>
                <w:bCs/>
                <w:sz w:val="22"/>
              </w:rPr>
              <w:t>nepatenka</w:t>
            </w:r>
            <w:r w:rsidRPr="00722800">
              <w:rPr>
                <w:sz w:val="22"/>
              </w:rPr>
              <w:t xml:space="preserve"> į žemiau nurodytas sąlygas (pagal Viešųjų pirkimų įstatymo 45 straipsnio 2¹ dalies nuostatas):</w:t>
            </w:r>
          </w:p>
          <w:p w14:paraId="7F140AAF" w14:textId="77777777" w:rsidR="003E1B31" w:rsidRPr="00722800" w:rsidRDefault="003E1B31" w:rsidP="00FF17FA">
            <w:pPr>
              <w:spacing w:before="60" w:after="0" w:line="240" w:lineRule="auto"/>
              <w:jc w:val="both"/>
              <w:rPr>
                <w:sz w:val="22"/>
              </w:rPr>
            </w:pPr>
            <w:r w:rsidRPr="00722800">
              <w:rPr>
                <w:sz w:val="22"/>
              </w:rPr>
              <w:t xml:space="preserve">1) </w:t>
            </w:r>
            <w:bookmarkStart w:id="3" w:name="_Hlk125060468"/>
            <w:r w:rsidRPr="00722800">
              <w:rPr>
                <w:sz w:val="22"/>
              </w:rPr>
              <w:t>tiekėjas, jo subtiekėjas, ūkio subjektai, kurių pajėgumais remiamasi, ar juos kontroliuojantys asmenys yra juridiniai asmenys</w:t>
            </w:r>
            <w:bookmarkEnd w:id="3"/>
            <w:r w:rsidRPr="00722800">
              <w:rPr>
                <w:sz w:val="22"/>
              </w:rPr>
              <w:t xml:space="preserve">, registruoti </w:t>
            </w:r>
            <w:r w:rsidRPr="00722800">
              <w:rPr>
                <w:sz w:val="22"/>
              </w:rPr>
              <w:lastRenderedPageBreak/>
              <w:t>Viešųjų pirkimų įstatymo 92 straipsnio 15 dalyje numatytame sąraše nurodytose valstybėse ar teritorijose;</w:t>
            </w:r>
          </w:p>
          <w:p w14:paraId="3EEACF44" w14:textId="77777777" w:rsidR="003E1B31" w:rsidRPr="00722800" w:rsidRDefault="003E1B31" w:rsidP="00FF17FA">
            <w:pPr>
              <w:spacing w:before="60" w:after="0" w:line="240" w:lineRule="auto"/>
              <w:jc w:val="both"/>
              <w:rPr>
                <w:sz w:val="22"/>
              </w:rPr>
            </w:pPr>
            <w:r w:rsidRPr="00722800">
              <w:rPr>
                <w:sz w:val="22"/>
              </w:rPr>
              <w:t xml:space="preserve">2) </w:t>
            </w:r>
            <w:bookmarkStart w:id="4" w:name="_Hlk125060912"/>
            <w:r w:rsidRPr="00722800">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4"/>
            <w:r w:rsidRPr="00722800">
              <w:rPr>
                <w:sz w:val="22"/>
              </w:rPr>
              <w:t>.</w:t>
            </w:r>
          </w:p>
        </w:tc>
        <w:tc>
          <w:tcPr>
            <w:tcW w:w="3119" w:type="dxa"/>
            <w:tcBorders>
              <w:top w:val="single" w:sz="4" w:space="0" w:color="000000"/>
              <w:left w:val="single" w:sz="4" w:space="0" w:color="000000"/>
              <w:bottom w:val="single" w:sz="4" w:space="0" w:color="000000"/>
              <w:right w:val="single" w:sz="4" w:space="0" w:color="000000"/>
            </w:tcBorders>
          </w:tcPr>
          <w:p w14:paraId="511E2890" w14:textId="5EF795D6" w:rsidR="003E1B31" w:rsidRPr="00722800" w:rsidRDefault="003E1B31" w:rsidP="00FF17FA">
            <w:pPr>
              <w:suppressAutoHyphens w:val="0"/>
              <w:spacing w:after="0" w:line="240" w:lineRule="auto"/>
              <w:jc w:val="both"/>
              <w:rPr>
                <w:sz w:val="22"/>
              </w:rPr>
            </w:pPr>
            <w:r w:rsidRPr="00722800">
              <w:rPr>
                <w:sz w:val="22"/>
              </w:rPr>
              <w:lastRenderedPageBreak/>
              <w:t>Su pasiūlymu turi būti pateikta Deklara</w:t>
            </w:r>
            <w:r>
              <w:rPr>
                <w:sz w:val="22"/>
              </w:rPr>
              <w:t xml:space="preserve">cija (pagal šių pirkimo sąlygų </w:t>
            </w:r>
            <w:r w:rsidR="00093805">
              <w:rPr>
                <w:sz w:val="22"/>
              </w:rPr>
              <w:t>3</w:t>
            </w:r>
            <w:r w:rsidRPr="00722800">
              <w:rPr>
                <w:sz w:val="22"/>
              </w:rPr>
              <w:t xml:space="preserve"> priedą).</w:t>
            </w:r>
          </w:p>
          <w:p w14:paraId="0D06F362" w14:textId="77777777" w:rsidR="003E1B31" w:rsidRPr="00722800" w:rsidRDefault="003E1B31" w:rsidP="00FF17FA">
            <w:pPr>
              <w:suppressAutoHyphens w:val="0"/>
              <w:spacing w:after="0" w:line="240" w:lineRule="auto"/>
              <w:jc w:val="both"/>
              <w:rPr>
                <w:sz w:val="22"/>
              </w:rPr>
            </w:pPr>
          </w:p>
          <w:p w14:paraId="5EB3ACA0" w14:textId="77777777" w:rsidR="003E1B31" w:rsidRPr="00722800" w:rsidRDefault="003E1B31" w:rsidP="00FF17FA">
            <w:pPr>
              <w:suppressAutoHyphens w:val="0"/>
              <w:spacing w:after="0" w:line="240" w:lineRule="auto"/>
              <w:jc w:val="both"/>
              <w:rPr>
                <w:rFonts w:cs="Times New Roman"/>
                <w:i/>
                <w:iCs/>
                <w:sz w:val="22"/>
              </w:rPr>
            </w:pPr>
            <w:r w:rsidRPr="00722800">
              <w:rPr>
                <w:i/>
                <w:iCs/>
                <w:sz w:val="22"/>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w:t>
            </w:r>
            <w:proofErr w:type="spellStart"/>
            <w:r w:rsidRPr="00722800">
              <w:rPr>
                <w:i/>
                <w:iCs/>
                <w:sz w:val="22"/>
              </w:rPr>
              <w:t>us</w:t>
            </w:r>
            <w:proofErr w:type="spellEnd"/>
            <w:r w:rsidRPr="00722800">
              <w:rPr>
                <w:i/>
                <w:iCs/>
                <w:sz w:val="22"/>
              </w:rPr>
              <w:t>), kurio (-</w:t>
            </w:r>
            <w:proofErr w:type="spellStart"/>
            <w:r w:rsidRPr="00722800">
              <w:rPr>
                <w:i/>
                <w:iCs/>
                <w:sz w:val="22"/>
              </w:rPr>
              <w:t>ių</w:t>
            </w:r>
            <w:proofErr w:type="spellEnd"/>
            <w:r w:rsidRPr="00722800">
              <w:rPr>
                <w:i/>
                <w:iCs/>
                <w:sz w:val="22"/>
              </w:rPr>
              <w:t xml:space="preserve">) </w:t>
            </w:r>
            <w:r w:rsidRPr="00722800">
              <w:rPr>
                <w:i/>
                <w:iCs/>
                <w:sz w:val="22"/>
              </w:rPr>
              <w:lastRenderedPageBreak/>
              <w:t xml:space="preserve">pajėgumais remiamasi. Tokiu atveju </w:t>
            </w:r>
            <w:r w:rsidRPr="00722800">
              <w:rPr>
                <w:rFonts w:cs="Times New Roman"/>
                <w:i/>
                <w:iCs/>
                <w:sz w:val="22"/>
              </w:rPr>
              <w:t>pateikiama:</w:t>
            </w:r>
          </w:p>
          <w:p w14:paraId="2DF24E8B"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Juridinių asmenų registro išplėstinis išrašas su istorija, jeigu juose yra visa reikalaujama informacija arba atitinkami valstybės narės ar trečiosios šalies dokumentai;</w:t>
            </w:r>
          </w:p>
          <w:p w14:paraId="43BBEADC"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xml:space="preserve">– fiziniam asmeniui: asmens tapatybę patvirtinančio dokumento (tapatybės kortelės ar paso) kopija, </w:t>
            </w:r>
            <w:r w:rsidRPr="00722800">
              <w:rPr>
                <w:rFonts w:cs="Times New Roman"/>
                <w:i/>
                <w:iCs/>
                <w:sz w:val="22"/>
                <w:szCs w:val="18"/>
              </w:rPr>
              <w:t>pažyma apie deklaruotą gyvenamąją vietą</w:t>
            </w:r>
            <w:r w:rsidRPr="00722800">
              <w:rPr>
                <w:rFonts w:cs="Times New Roman"/>
                <w:i/>
                <w:iCs/>
                <w:sz w:val="22"/>
              </w:rPr>
              <w:t>.</w:t>
            </w:r>
          </w:p>
          <w:p w14:paraId="1B2DD4E3" w14:textId="77777777" w:rsidR="003E1B31" w:rsidRPr="00722800" w:rsidRDefault="003E1B31" w:rsidP="00FF17FA">
            <w:pPr>
              <w:spacing w:after="0" w:line="240" w:lineRule="auto"/>
              <w:jc w:val="both"/>
              <w:rPr>
                <w:i/>
                <w:iCs/>
                <w:sz w:val="22"/>
              </w:rPr>
            </w:pPr>
            <w:r w:rsidRPr="00722800">
              <w:rPr>
                <w:rFonts w:cs="Times New Roman"/>
                <w:i/>
                <w:iCs/>
                <w:sz w:val="22"/>
              </w:rPr>
              <w:t>Pateikiamos skaitmeninės dokumentų kopijos</w:t>
            </w:r>
            <w:r w:rsidRPr="00722800">
              <w:rPr>
                <w:i/>
                <w:iCs/>
                <w:sz w:val="22"/>
              </w:rPr>
              <w:t>.</w:t>
            </w:r>
          </w:p>
          <w:p w14:paraId="484CCF92" w14:textId="77777777" w:rsidR="003E1B31" w:rsidRPr="00722800" w:rsidRDefault="003E1B31" w:rsidP="00FF17FA">
            <w:pPr>
              <w:spacing w:after="0" w:line="240" w:lineRule="auto"/>
              <w:jc w:val="both"/>
              <w:rPr>
                <w:i/>
                <w:iCs/>
                <w:sz w:val="22"/>
              </w:rPr>
            </w:pPr>
            <w:r w:rsidRPr="00722800">
              <w:rPr>
                <w:i/>
                <w:iCs/>
                <w:sz w:val="22"/>
              </w:rPr>
              <w:t>Nurodyti dokumentai turi būti išduoti ne anksčiau kaip 90 dienų* iki tos dienos, kai galimas laimėtojas turės pateikti dokumentus.</w:t>
            </w:r>
          </w:p>
          <w:p w14:paraId="45C3FC57" w14:textId="77777777" w:rsidR="003E1B31" w:rsidRPr="00722800" w:rsidRDefault="003E1B31" w:rsidP="00FF17FA">
            <w:pPr>
              <w:suppressAutoHyphens w:val="0"/>
              <w:spacing w:after="0" w:line="240" w:lineRule="auto"/>
              <w:jc w:val="both"/>
              <w:rPr>
                <w:i/>
                <w:iCs/>
                <w:sz w:val="22"/>
                <w:lang w:eastAsia="lt-LT"/>
              </w:rPr>
            </w:pPr>
            <w:r w:rsidRPr="00722800">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0AB46974" w14:textId="77777777" w:rsidR="003E1B31" w:rsidRPr="00722800" w:rsidRDefault="003E1B31" w:rsidP="00FF17FA">
            <w:pPr>
              <w:tabs>
                <w:tab w:val="left" w:pos="340"/>
                <w:tab w:val="left" w:pos="1210"/>
              </w:tabs>
              <w:spacing w:after="0" w:line="240" w:lineRule="auto"/>
              <w:jc w:val="both"/>
              <w:rPr>
                <w:sz w:val="22"/>
              </w:rPr>
            </w:pPr>
            <w:r w:rsidRPr="00722800">
              <w:rPr>
                <w:sz w:val="22"/>
              </w:rPr>
              <w:lastRenderedPageBreak/>
              <w:t>Tiekėjas,</w:t>
            </w:r>
          </w:p>
          <w:p w14:paraId="463E446F" w14:textId="77777777" w:rsidR="003E1B31" w:rsidRPr="00722800" w:rsidRDefault="003E1B31" w:rsidP="00FF17FA">
            <w:pPr>
              <w:tabs>
                <w:tab w:val="left" w:pos="340"/>
                <w:tab w:val="left" w:pos="1210"/>
              </w:tabs>
              <w:spacing w:after="0" w:line="240" w:lineRule="auto"/>
              <w:jc w:val="both"/>
              <w:rPr>
                <w:sz w:val="22"/>
              </w:rPr>
            </w:pPr>
            <w:r w:rsidRPr="00722800">
              <w:rPr>
                <w:sz w:val="22"/>
              </w:rPr>
              <w:t>kiekvienas ūkio subjektų grupės narys atskirai (jei pasiūlymą teikia ūkio subjektų grupė),</w:t>
            </w:r>
          </w:p>
          <w:p w14:paraId="5DD42021" w14:textId="77777777" w:rsidR="003E1B31" w:rsidRPr="00722800" w:rsidRDefault="003E1B31" w:rsidP="00FF17FA">
            <w:pPr>
              <w:spacing w:after="0" w:line="240" w:lineRule="auto"/>
              <w:contextualSpacing/>
              <w:jc w:val="both"/>
              <w:rPr>
                <w:sz w:val="22"/>
                <w:lang w:eastAsia="lt-LT"/>
              </w:rPr>
            </w:pPr>
            <w:r w:rsidRPr="00722800">
              <w:rPr>
                <w:sz w:val="22"/>
              </w:rPr>
              <w:t>kiekvienas ūkio subjektas, kurio pajėgumais remiamasi, kiekvienas subtiekėjas, kurio pajėgumais tiekėjas nesiremia.</w:t>
            </w:r>
          </w:p>
        </w:tc>
      </w:tr>
    </w:tbl>
    <w:p w14:paraId="3B76DB40" w14:textId="77777777" w:rsidR="003E1B31" w:rsidRPr="00722800" w:rsidRDefault="003E1B31" w:rsidP="003E1B31">
      <w:pPr>
        <w:tabs>
          <w:tab w:val="left" w:pos="0"/>
          <w:tab w:val="left" w:pos="340"/>
          <w:tab w:val="left" w:pos="1134"/>
          <w:tab w:val="left" w:pos="1168"/>
        </w:tabs>
        <w:spacing w:before="120" w:after="0" w:line="240" w:lineRule="auto"/>
        <w:contextualSpacing/>
        <w:jc w:val="both"/>
        <w:rPr>
          <w:b/>
          <w:bCs/>
          <w:szCs w:val="24"/>
        </w:rPr>
      </w:pPr>
    </w:p>
    <w:p w14:paraId="7D44C0F1" w14:textId="39B5C909" w:rsidR="00621D29" w:rsidRPr="00D30529" w:rsidRDefault="003E1B31" w:rsidP="00D30529">
      <w:pPr>
        <w:pStyle w:val="Sraopastraipa"/>
        <w:numPr>
          <w:ilvl w:val="0"/>
          <w:numId w:val="2"/>
        </w:numPr>
        <w:tabs>
          <w:tab w:val="left" w:pos="340"/>
          <w:tab w:val="left" w:pos="993"/>
          <w:tab w:val="left" w:pos="1210"/>
        </w:tabs>
        <w:spacing w:after="0" w:line="240" w:lineRule="auto"/>
        <w:jc w:val="both"/>
        <w:rPr>
          <w:szCs w:val="24"/>
        </w:rPr>
      </w:pPr>
      <w:r w:rsidRPr="00D30529">
        <w:rPr>
          <w:szCs w:val="24"/>
          <w:u w:val="single"/>
        </w:rPr>
        <w:t>Kartu su pasiūlymu tiekėjas turi pateikti užpildytą deklaraciją</w:t>
      </w:r>
      <w:r w:rsidRPr="00D30529">
        <w:rPr>
          <w:szCs w:val="24"/>
        </w:rPr>
        <w:t xml:space="preserve"> dėl Viešųjų pirkimų įstatymo 45 straipsnio 2¹ dalyje numatytų sąlygų (toliau – Deklaracija), kurios forma pateikta šių pirkimo sąlygų </w:t>
      </w:r>
      <w:r w:rsidR="00093805" w:rsidRPr="00D30529">
        <w:rPr>
          <w:szCs w:val="24"/>
        </w:rPr>
        <w:t>3</w:t>
      </w:r>
      <w:r w:rsidRPr="00D30529">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w:t>
      </w:r>
      <w:proofErr w:type="spellStart"/>
      <w:r w:rsidRPr="00D30529">
        <w:rPr>
          <w:szCs w:val="24"/>
        </w:rPr>
        <w:t>as</w:t>
      </w:r>
      <w:proofErr w:type="spellEnd"/>
      <w:r w:rsidRPr="00D30529">
        <w:rPr>
          <w:szCs w:val="24"/>
        </w:rPr>
        <w:t>) Deklaraciją (-</w:t>
      </w:r>
      <w:proofErr w:type="spellStart"/>
      <w:r w:rsidRPr="00D30529">
        <w:rPr>
          <w:szCs w:val="24"/>
        </w:rPr>
        <w:t>as</w:t>
      </w:r>
      <w:proofErr w:type="spellEnd"/>
      <w:r w:rsidRPr="00D30529">
        <w:rPr>
          <w:szCs w:val="24"/>
        </w:rPr>
        <w:t>) ar jos (jų) nepateikus, tiekėjo bus prašoma pateikti Deklaraciją (-</w:t>
      </w:r>
      <w:proofErr w:type="spellStart"/>
      <w:r w:rsidRPr="00D30529">
        <w:rPr>
          <w:szCs w:val="24"/>
        </w:rPr>
        <w:t>as</w:t>
      </w:r>
      <w:proofErr w:type="spellEnd"/>
      <w:r w:rsidRPr="00D30529">
        <w:rPr>
          <w:szCs w:val="24"/>
        </w:rPr>
        <w:t>)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Perkančiosios organizacijos nurodytą terminą, tiekėjo pasiūlymas atmetamas. Nustačius, kad tiekėjas (jeigu dalyvauja ūkio subjektų grupė – bent vienas ūkio subjektų grupės narys) neatitinka šių pirkimo sąlygų 1</w:t>
      </w:r>
      <w:r w:rsidR="00D30529">
        <w:rPr>
          <w:szCs w:val="24"/>
        </w:rPr>
        <w:t>8</w:t>
      </w:r>
      <w:r w:rsidRPr="00D30529">
        <w:rPr>
          <w:szCs w:val="24"/>
        </w:rPr>
        <w:t>.1 punkte nustatytų reikalavimų, tiekėjo pasiūlymas atmetamas.</w:t>
      </w:r>
    </w:p>
    <w:p w14:paraId="47E148E4" w14:textId="51AADF67" w:rsidR="00153D06" w:rsidRPr="00621D29" w:rsidRDefault="00153D06" w:rsidP="00D30529">
      <w:pPr>
        <w:numPr>
          <w:ilvl w:val="0"/>
          <w:numId w:val="2"/>
        </w:numPr>
        <w:tabs>
          <w:tab w:val="left" w:pos="340"/>
          <w:tab w:val="left" w:pos="993"/>
          <w:tab w:val="left" w:pos="1210"/>
        </w:tabs>
        <w:spacing w:after="0" w:line="240" w:lineRule="auto"/>
        <w:jc w:val="both"/>
        <w:rPr>
          <w:szCs w:val="24"/>
        </w:rPr>
      </w:pPr>
      <w:r w:rsidRPr="007066FE">
        <w:rPr>
          <w:szCs w:val="24"/>
        </w:rPr>
        <w:t>Jeigu tiekėjo kvalifikacija dėl teisės verstis atitinkama veikla tikrinama ne visa apimtimi, tiekėjas įsipareigoja, kad pirkimo sutartį</w:t>
      </w:r>
      <w:r w:rsidRPr="00621D29">
        <w:rPr>
          <w:szCs w:val="24"/>
        </w:rPr>
        <w:t xml:space="preserve"> vykdys tik tokią teisę turintys asmenys. Tiekėjas iki atitinkamų veiklų vykdymo pradžios turės pateikti atitinkamus dokumentus, įrodančius, kad pirkimo sutartį vykdys tik tokią teisę turintys asmenys.</w:t>
      </w:r>
    </w:p>
    <w:p w14:paraId="28B62ADF" w14:textId="4CC31FE0" w:rsidR="00153D06" w:rsidRPr="007066FE" w:rsidRDefault="00153D06" w:rsidP="00D30529">
      <w:pPr>
        <w:numPr>
          <w:ilvl w:val="0"/>
          <w:numId w:val="2"/>
        </w:numPr>
        <w:tabs>
          <w:tab w:val="left" w:pos="340"/>
          <w:tab w:val="left" w:pos="1210"/>
        </w:tabs>
        <w:spacing w:after="0" w:line="240" w:lineRule="auto"/>
        <w:jc w:val="both"/>
        <w:rPr>
          <w:szCs w:val="24"/>
        </w:rPr>
      </w:pPr>
      <w:r w:rsidRPr="002117E5">
        <w:rPr>
          <w:szCs w:val="24"/>
        </w:rPr>
        <w:lastRenderedPageBreak/>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sidR="00621D29">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w:t>
      </w:r>
      <w:r w:rsidRPr="007066FE">
        <w:rPr>
          <w:szCs w:val="24"/>
        </w:rPr>
        <w:t xml:space="preserve">pašalinimo pagrindų nebuvimo, kvalifikacijos reikalavimus </w:t>
      </w:r>
      <w:r w:rsidRPr="007066FE">
        <w:t xml:space="preserve">ir </w:t>
      </w:r>
      <w:r w:rsidRPr="007066FE">
        <w:rPr>
          <w:szCs w:val="24"/>
        </w:rPr>
        <w:t>aplinkos apsaugos vadybos sistemos standartus patvirtinantys dokumentai gali būti išduoti ir po vokų atplėšimo, tačiau juose nurodyti duomenys turi būti aktualūs pasiūlymų pateikimo termino pabaigos dienai.</w:t>
      </w:r>
    </w:p>
    <w:p w14:paraId="6F9770E5" w14:textId="43B76D4E" w:rsidR="00153D06" w:rsidRPr="007066FE" w:rsidRDefault="00153D06" w:rsidP="00D30529">
      <w:pPr>
        <w:numPr>
          <w:ilvl w:val="0"/>
          <w:numId w:val="2"/>
        </w:numPr>
        <w:tabs>
          <w:tab w:val="left" w:pos="340"/>
          <w:tab w:val="left" w:pos="1210"/>
        </w:tabs>
        <w:spacing w:after="0" w:line="240" w:lineRule="auto"/>
        <w:jc w:val="both"/>
        <w:rPr>
          <w:szCs w:val="24"/>
        </w:rPr>
      </w:pPr>
      <w:r w:rsidRPr="007066FE">
        <w:rPr>
          <w:szCs w:val="24"/>
        </w:rPr>
        <w:t>Jei bendrą pasiūlymą pateikia ūkio subjektų grupė, šių pirkimo sąlygų 15.1–15.1</w:t>
      </w:r>
      <w:r w:rsidR="00EC0A6F" w:rsidRPr="007066FE">
        <w:rPr>
          <w:szCs w:val="24"/>
        </w:rPr>
        <w:t>4</w:t>
      </w:r>
      <w:r w:rsidRPr="007066FE">
        <w:rPr>
          <w:i/>
          <w:szCs w:val="24"/>
        </w:rPr>
        <w:t xml:space="preserve"> </w:t>
      </w:r>
      <w:r w:rsidRPr="007066FE">
        <w:rPr>
          <w:szCs w:val="24"/>
        </w:rPr>
        <w:t>punktuose nustatytus tiekėjų pašalinimo pagrindų nebuvimo reikalavimus ir pirkimo sąlygų 17.1 punkte nustatytus aplinkos apsaugos vadybos sistemos standartų reikalavimus privalo atitikti kiekvienas ūkio subjektų grupės narys atskirai.</w:t>
      </w:r>
    </w:p>
    <w:p w14:paraId="1FD2F0C3" w14:textId="3FA2DA73" w:rsidR="00153D06" w:rsidRPr="002117E5" w:rsidRDefault="00153D06" w:rsidP="00153D06">
      <w:pPr>
        <w:tabs>
          <w:tab w:val="left" w:pos="0"/>
          <w:tab w:val="left" w:pos="340"/>
          <w:tab w:val="left" w:pos="1210"/>
        </w:tabs>
        <w:spacing w:after="0" w:line="240" w:lineRule="auto"/>
        <w:jc w:val="both"/>
        <w:rPr>
          <w:szCs w:val="24"/>
        </w:rPr>
      </w:pPr>
      <w:r w:rsidRPr="007066FE">
        <w:rPr>
          <w:szCs w:val="24"/>
          <w:shd w:val="clear" w:color="auto" w:fill="FFFFFF"/>
        </w:rPr>
        <w:t xml:space="preserve">21. </w:t>
      </w:r>
      <w:r w:rsidRPr="007066FE">
        <w:rPr>
          <w:szCs w:val="24"/>
        </w:rPr>
        <w:t>Jeigu pasiūlyme yra numatyti ūkio subjektai, kurių pajėgumais tiekėjas remsis, siekdamas atitikti nustatytus kvalifikacijos reikalavimus, tokiems ūkio subjektams taikomi šių pirkimo sąlygų 15.1–15.1</w:t>
      </w:r>
      <w:r w:rsidR="00EC0A6F" w:rsidRPr="007066FE">
        <w:rPr>
          <w:szCs w:val="24"/>
        </w:rPr>
        <w:t>4</w:t>
      </w:r>
      <w:r w:rsidRPr="007066FE">
        <w:rPr>
          <w:i/>
          <w:szCs w:val="24"/>
        </w:rPr>
        <w:t xml:space="preserve"> </w:t>
      </w:r>
      <w:r w:rsidRPr="007066FE">
        <w:rPr>
          <w:szCs w:val="24"/>
        </w:rPr>
        <w:t>punktuose tiekėjų pašalinimo pagrindų nebuvimo reikalavimai</w:t>
      </w:r>
      <w:r w:rsidR="007066FE" w:rsidRPr="007066FE">
        <w:rPr>
          <w:szCs w:val="24"/>
        </w:rPr>
        <w:t xml:space="preserve"> </w:t>
      </w:r>
      <w:r w:rsidRPr="007066FE">
        <w:rPr>
          <w:szCs w:val="24"/>
        </w:rPr>
        <w:t>bei pirkimo sąlygų 17.1 punkte nustatytas aplinkos apsaugos vadybos sistemos standartų reikalavimas (jei taikomas ūkio subjektams numatomiems pavesti Darbams).</w:t>
      </w:r>
      <w:r w:rsidRPr="002117E5">
        <w:rPr>
          <w:szCs w:val="24"/>
        </w:rPr>
        <w:t xml:space="preserve"> </w:t>
      </w:r>
    </w:p>
    <w:p w14:paraId="7A6B2E25" w14:textId="0FF5475B"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sidR="00621D29">
        <w:rPr>
          <w:color w:val="000000" w:themeColor="text1"/>
          <w:szCs w:val="24"/>
        </w:rPr>
        <w:t>1</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w:t>
      </w:r>
      <w:r w:rsidR="007066FE">
        <w:rPr>
          <w:szCs w:val="24"/>
        </w:rPr>
        <w:t>1</w:t>
      </w:r>
      <w:r w:rsidRPr="007A2C0C">
        <w:rPr>
          <w:szCs w:val="24"/>
        </w:rPr>
        <w:t xml:space="preserve">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113550">
        <w:rPr>
          <w:b/>
          <w:szCs w:val="24"/>
        </w:rPr>
        <w:t>.</w:t>
      </w:r>
      <w:r w:rsidRPr="00113550">
        <w:rPr>
          <w:szCs w:val="24"/>
        </w:rPr>
        <w:t> </w:t>
      </w:r>
      <w:r w:rsidRPr="00113550">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1445E70B"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hyperlink r:id="rId9" w:history="1">
        <w:r w:rsidR="00BB4EBA" w:rsidRPr="00EA4636">
          <w:rPr>
            <w:rStyle w:val="Hipersaitas"/>
          </w:rPr>
          <w:t>https://viesiejipirkimai.lt</w:t>
        </w:r>
      </w:hyperlink>
      <w:r w:rsidRPr="002117E5">
        <w:rPr>
          <w:szCs w:val="24"/>
        </w:rPr>
        <w:t>.</w:t>
      </w:r>
      <w:r w:rsidR="00BB4EBA">
        <w:rPr>
          <w:szCs w:val="24"/>
        </w:rPr>
        <w:t xml:space="preserve"> </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bookmarkStart w:id="5" w:name="_Hlk210716404"/>
      <w:r w:rsidR="00BB4EBA">
        <w:fldChar w:fldCharType="begin"/>
      </w:r>
      <w:r w:rsidR="00BB4EBA">
        <w:instrText>HYPERLINK "</w:instrText>
      </w:r>
      <w:r w:rsidR="00BB4EBA" w:rsidRPr="00113550">
        <w:instrText>https://viesiejipirkimai.lt</w:instrText>
      </w:r>
      <w:r w:rsidR="00BB4EBA">
        <w:instrText>"</w:instrText>
      </w:r>
      <w:r w:rsidR="00BB4EBA">
        <w:fldChar w:fldCharType="separate"/>
      </w:r>
      <w:r w:rsidR="00BB4EBA" w:rsidRPr="00EA4636">
        <w:rPr>
          <w:rStyle w:val="Hipersaitas"/>
        </w:rPr>
        <w:t>https://viesiejipirkimai.lt</w:t>
      </w:r>
      <w:bookmarkEnd w:id="5"/>
      <w:r w:rsidR="00BB4EBA">
        <w:fldChar w:fldCharType="end"/>
      </w:r>
      <w:r w:rsidR="00BB4EBA">
        <w:t xml:space="preserve"> </w:t>
      </w:r>
      <w:r w:rsidRPr="004713DC">
        <w:rPr>
          <w:iCs/>
          <w:szCs w:val="24"/>
        </w:rPr>
        <w:t>).</w:t>
      </w:r>
    </w:p>
    <w:p w14:paraId="420CDBBC" w14:textId="6F95A351"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 xml:space="preserve">Pasiūlymo dokumentai turi būti pasirašyti tiekėjo ar jo įgalioto asmens ir CVP IS įkeltos šių dokumentų skaitmeninės kopijos. Pasiūlymas (Pasiūlymo forma) </w:t>
      </w:r>
      <w:r w:rsidR="000541E3">
        <w:rPr>
          <w:szCs w:val="24"/>
          <w:shd w:val="clear" w:color="auto" w:fill="FFFFFF"/>
        </w:rPr>
        <w:t xml:space="preserve">turi būti </w:t>
      </w:r>
      <w:r w:rsidR="000F292C" w:rsidRPr="00331B0B">
        <w:rPr>
          <w:szCs w:val="24"/>
          <w:shd w:val="clear" w:color="auto" w:fill="FFFFFF"/>
        </w:rPr>
        <w:t>pasirašytas</w:t>
      </w:r>
      <w:r w:rsidR="000541E3">
        <w:rPr>
          <w:szCs w:val="24"/>
          <w:shd w:val="clear" w:color="auto" w:fill="FFFFFF"/>
        </w:rPr>
        <w:t>. Je</w:t>
      </w:r>
      <w:r w:rsidR="000F292C" w:rsidRPr="00331B0B">
        <w:rPr>
          <w:szCs w:val="24"/>
          <w:shd w:val="clear" w:color="auto" w:fill="FFFFFF"/>
        </w:rPr>
        <w:t xml:space="preserv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0F292C" w:rsidRPr="00331B0B">
        <w:rPr>
          <w:szCs w:val="24"/>
          <w:shd w:val="clear" w:color="auto" w:fill="FFFFFF"/>
        </w:rPr>
        <w:t>pdf</w:t>
      </w:r>
      <w:proofErr w:type="spellEnd"/>
      <w:r w:rsidR="000F292C" w:rsidRPr="00331B0B">
        <w:rPr>
          <w:szCs w:val="24"/>
          <w:shd w:val="clear" w:color="auto" w:fill="FFFFFF"/>
        </w:rPr>
        <w:t xml:space="preserve">, jpg, </w:t>
      </w:r>
      <w:proofErr w:type="spellStart"/>
      <w:r w:rsidR="000F292C" w:rsidRPr="00331B0B">
        <w:rPr>
          <w:szCs w:val="24"/>
          <w:shd w:val="clear" w:color="auto" w:fill="FFFFFF"/>
        </w:rPr>
        <w:t>doc</w:t>
      </w:r>
      <w:proofErr w:type="spellEnd"/>
      <w:r w:rsidR="000F292C" w:rsidRPr="00331B0B">
        <w:rPr>
          <w:szCs w:val="24"/>
          <w:shd w:val="clear" w:color="auto" w:fill="FFFFFF"/>
        </w:rPr>
        <w:t xml:space="preserve">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191026" w:rsidRDefault="00D35D38" w:rsidP="00030543">
      <w:pPr>
        <w:numPr>
          <w:ilvl w:val="1"/>
          <w:numId w:val="32"/>
        </w:numPr>
        <w:tabs>
          <w:tab w:val="left" w:pos="340"/>
          <w:tab w:val="left" w:pos="1210"/>
        </w:tabs>
        <w:spacing w:after="0" w:line="240" w:lineRule="auto"/>
        <w:jc w:val="both"/>
        <w:rPr>
          <w:bCs/>
          <w:szCs w:val="24"/>
        </w:rPr>
      </w:pPr>
      <w:r w:rsidRPr="00191026">
        <w:rPr>
          <w:bCs/>
          <w:szCs w:val="24"/>
        </w:rPr>
        <w:t xml:space="preserve">užpildyta Pasiūlymo forma pagal šių </w:t>
      </w:r>
      <w:r w:rsidR="000C6B70" w:rsidRPr="00191026">
        <w:rPr>
          <w:bCs/>
          <w:szCs w:val="24"/>
        </w:rPr>
        <w:t>pirkimo</w:t>
      </w:r>
      <w:r w:rsidRPr="00191026">
        <w:rPr>
          <w:bCs/>
          <w:szCs w:val="24"/>
        </w:rPr>
        <w:t xml:space="preserve"> sąlygų 1 priedą;</w:t>
      </w:r>
    </w:p>
    <w:p w14:paraId="3056502C" w14:textId="50B4FA82" w:rsidR="0095703F" w:rsidRDefault="0095703F" w:rsidP="00BB5A51">
      <w:pPr>
        <w:pStyle w:val="Sraopastraipa"/>
        <w:numPr>
          <w:ilvl w:val="1"/>
          <w:numId w:val="32"/>
        </w:numPr>
        <w:spacing w:after="0" w:line="240" w:lineRule="auto"/>
        <w:rPr>
          <w:szCs w:val="24"/>
        </w:rPr>
      </w:pPr>
      <w:r w:rsidRPr="00191026">
        <w:rPr>
          <w:szCs w:val="24"/>
        </w:rPr>
        <w:t>įgaliojimas pasirašyti pasiūlymą (jei taikoma);</w:t>
      </w:r>
    </w:p>
    <w:p w14:paraId="7821855D" w14:textId="24132D79" w:rsidR="002B282E" w:rsidRPr="00191026" w:rsidRDefault="002B282E" w:rsidP="00BB5A51">
      <w:pPr>
        <w:pStyle w:val="Sraopastraipa"/>
        <w:numPr>
          <w:ilvl w:val="1"/>
          <w:numId w:val="32"/>
        </w:numPr>
        <w:spacing w:after="0" w:line="240" w:lineRule="auto"/>
        <w:rPr>
          <w:szCs w:val="24"/>
        </w:rPr>
      </w:pPr>
      <w:r>
        <w:rPr>
          <w:szCs w:val="24"/>
        </w:rPr>
        <w:t xml:space="preserve">užpildyta Veiklų sąrašo formą pagal šių pirkimo sąlygų </w:t>
      </w:r>
      <w:r w:rsidR="00F97F00">
        <w:rPr>
          <w:szCs w:val="24"/>
        </w:rPr>
        <w:t>8</w:t>
      </w:r>
      <w:r>
        <w:rPr>
          <w:szCs w:val="24"/>
        </w:rPr>
        <w:t xml:space="preserve"> priedą;</w:t>
      </w:r>
    </w:p>
    <w:p w14:paraId="0044ADCA" w14:textId="5463D611" w:rsidR="00BB5A51" w:rsidRPr="00191026" w:rsidRDefault="00BB5A51" w:rsidP="00BB5A51">
      <w:pPr>
        <w:numPr>
          <w:ilvl w:val="1"/>
          <w:numId w:val="32"/>
        </w:numPr>
        <w:tabs>
          <w:tab w:val="left" w:pos="340"/>
          <w:tab w:val="left" w:pos="1210"/>
        </w:tabs>
        <w:spacing w:after="0" w:line="240" w:lineRule="auto"/>
        <w:jc w:val="both"/>
        <w:rPr>
          <w:szCs w:val="24"/>
        </w:rPr>
      </w:pPr>
      <w:r w:rsidRPr="00191026">
        <w:rPr>
          <w:szCs w:val="24"/>
        </w:rPr>
        <w:t>užpildyta (-</w:t>
      </w:r>
      <w:proofErr w:type="spellStart"/>
      <w:r w:rsidRPr="00191026">
        <w:rPr>
          <w:szCs w:val="24"/>
        </w:rPr>
        <w:t>os</w:t>
      </w:r>
      <w:proofErr w:type="spellEnd"/>
      <w:r w:rsidRPr="00191026">
        <w:rPr>
          <w:szCs w:val="24"/>
        </w:rPr>
        <w:t>) Deklaracija (-</w:t>
      </w:r>
      <w:proofErr w:type="spellStart"/>
      <w:r w:rsidRPr="00191026">
        <w:rPr>
          <w:szCs w:val="24"/>
        </w:rPr>
        <w:t>os</w:t>
      </w:r>
      <w:proofErr w:type="spellEnd"/>
      <w:r w:rsidRPr="00191026">
        <w:rPr>
          <w:szCs w:val="24"/>
        </w:rPr>
        <w:t xml:space="preserve">) pagal šių pirkimo sąlygų </w:t>
      </w:r>
      <w:r w:rsidR="00916D35" w:rsidRPr="00191026">
        <w:rPr>
          <w:szCs w:val="24"/>
        </w:rPr>
        <w:t>2</w:t>
      </w:r>
      <w:r w:rsidRPr="00191026">
        <w:rPr>
          <w:szCs w:val="24"/>
        </w:rPr>
        <w:t xml:space="preserve"> priedą;</w:t>
      </w:r>
    </w:p>
    <w:p w14:paraId="15182B36" w14:textId="69B809DE" w:rsidR="00916D35" w:rsidRPr="00191026" w:rsidRDefault="00916D35" w:rsidP="00BB5A51">
      <w:pPr>
        <w:numPr>
          <w:ilvl w:val="1"/>
          <w:numId w:val="32"/>
        </w:numPr>
        <w:tabs>
          <w:tab w:val="left" w:pos="340"/>
          <w:tab w:val="left" w:pos="1210"/>
        </w:tabs>
        <w:spacing w:after="0" w:line="240" w:lineRule="auto"/>
        <w:jc w:val="both"/>
        <w:rPr>
          <w:szCs w:val="24"/>
        </w:rPr>
      </w:pPr>
      <w:r w:rsidRPr="00191026">
        <w:rPr>
          <w:szCs w:val="24"/>
        </w:rPr>
        <w:t>užpildyta Deklaracij</w:t>
      </w:r>
      <w:r w:rsidR="007066FE">
        <w:rPr>
          <w:szCs w:val="24"/>
        </w:rPr>
        <w:t>a pagal šių pirkimo sąlygų 3 priedą</w:t>
      </w:r>
      <w:r w:rsidRPr="00191026">
        <w:rPr>
          <w:szCs w:val="24"/>
        </w:rPr>
        <w:t>;</w:t>
      </w:r>
    </w:p>
    <w:p w14:paraId="42771967" w14:textId="30CED9F0" w:rsidR="0095703F" w:rsidRPr="00191026" w:rsidRDefault="0095703F" w:rsidP="00030543">
      <w:pPr>
        <w:numPr>
          <w:ilvl w:val="1"/>
          <w:numId w:val="32"/>
        </w:numPr>
        <w:tabs>
          <w:tab w:val="left" w:pos="340"/>
          <w:tab w:val="left" w:pos="1210"/>
        </w:tabs>
        <w:spacing w:after="0" w:line="240" w:lineRule="auto"/>
        <w:jc w:val="both"/>
        <w:rPr>
          <w:szCs w:val="24"/>
        </w:rPr>
      </w:pPr>
      <w:r w:rsidRPr="00191026">
        <w:rPr>
          <w:szCs w:val="24"/>
        </w:rPr>
        <w:t>jungtinės veiklos sutarties kopija (kai pasiūlymą teikia ūkio subjektų grupė)</w:t>
      </w:r>
      <w:r w:rsidR="00B532FD" w:rsidRPr="00191026">
        <w:rPr>
          <w:szCs w:val="24"/>
        </w:rPr>
        <w:t>;</w:t>
      </w:r>
    </w:p>
    <w:p w14:paraId="4F3C6170" w14:textId="05AD0816" w:rsidR="00B532FD" w:rsidRPr="00191026" w:rsidRDefault="00B532FD" w:rsidP="00030543">
      <w:pPr>
        <w:numPr>
          <w:ilvl w:val="1"/>
          <w:numId w:val="32"/>
        </w:numPr>
        <w:tabs>
          <w:tab w:val="left" w:pos="340"/>
          <w:tab w:val="left" w:pos="1210"/>
        </w:tabs>
        <w:spacing w:after="0" w:line="240" w:lineRule="auto"/>
        <w:jc w:val="both"/>
        <w:rPr>
          <w:szCs w:val="24"/>
        </w:rPr>
      </w:pPr>
      <w:r w:rsidRPr="00191026">
        <w:rPr>
          <w:bCs/>
          <w:szCs w:val="24"/>
        </w:rPr>
        <w:t xml:space="preserve">sutartys ar preliminarūs susitarimai su </w:t>
      </w:r>
      <w:r w:rsidR="00CC1899" w:rsidRPr="00191026">
        <w:rPr>
          <w:bCs/>
          <w:szCs w:val="24"/>
        </w:rPr>
        <w:t>ūkio subjektais/su</w:t>
      </w:r>
      <w:r w:rsidR="0056660B" w:rsidRPr="00191026">
        <w:rPr>
          <w:bCs/>
          <w:szCs w:val="24"/>
        </w:rPr>
        <w:t>b</w:t>
      </w:r>
      <w:r w:rsidR="00CC1899" w:rsidRPr="00191026">
        <w:rPr>
          <w:bCs/>
          <w:szCs w:val="24"/>
        </w:rPr>
        <w:t>tiekėjais/</w:t>
      </w:r>
      <w:proofErr w:type="spellStart"/>
      <w:r w:rsidR="00F63058" w:rsidRPr="00191026">
        <w:rPr>
          <w:bCs/>
          <w:szCs w:val="24"/>
        </w:rPr>
        <w:t>kvazisubtiekėjais</w:t>
      </w:r>
      <w:proofErr w:type="spellEnd"/>
      <w:r w:rsidR="00980686" w:rsidRPr="00191026">
        <w:rPr>
          <w:bCs/>
          <w:szCs w:val="24"/>
        </w:rPr>
        <w:t>, kad jų pajėgumai tiekėjui bus prieinami pirkimo sutarčiai vykdyti (jei numatoma)</w:t>
      </w:r>
      <w:r w:rsidRPr="00191026">
        <w:rPr>
          <w:bCs/>
          <w:szCs w:val="24"/>
        </w:rPr>
        <w:t>;</w:t>
      </w:r>
    </w:p>
    <w:p w14:paraId="7248E3B6" w14:textId="77777777" w:rsidR="00307CF0" w:rsidRPr="007066FE" w:rsidRDefault="00D35D38" w:rsidP="00030543">
      <w:pPr>
        <w:numPr>
          <w:ilvl w:val="1"/>
          <w:numId w:val="32"/>
        </w:numPr>
        <w:tabs>
          <w:tab w:val="left" w:pos="340"/>
          <w:tab w:val="left" w:pos="1210"/>
        </w:tabs>
        <w:spacing w:after="0" w:line="240" w:lineRule="auto"/>
        <w:jc w:val="both"/>
        <w:rPr>
          <w:bCs/>
          <w:szCs w:val="24"/>
        </w:rPr>
      </w:pPr>
      <w:r w:rsidRPr="007066FE">
        <w:rPr>
          <w:bCs/>
          <w:szCs w:val="24"/>
        </w:rPr>
        <w:t xml:space="preserve">pasiūlymo galiojimo užtikrinimas pagal šių </w:t>
      </w:r>
      <w:r w:rsidR="000C6B70" w:rsidRPr="007066FE">
        <w:rPr>
          <w:bCs/>
          <w:szCs w:val="24"/>
        </w:rPr>
        <w:t>pirkimo</w:t>
      </w:r>
      <w:r w:rsidRPr="007066FE">
        <w:rPr>
          <w:bCs/>
          <w:szCs w:val="24"/>
        </w:rPr>
        <w:t xml:space="preserve"> sąlygų VI skyriaus reikalavimus</w:t>
      </w:r>
      <w:r w:rsidR="00391ABE" w:rsidRPr="007066FE">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BB4EBA" w:rsidRDefault="00D35D38" w:rsidP="00030543">
      <w:pPr>
        <w:numPr>
          <w:ilvl w:val="0"/>
          <w:numId w:val="32"/>
        </w:numPr>
        <w:tabs>
          <w:tab w:val="left" w:pos="0"/>
          <w:tab w:val="left" w:pos="340"/>
          <w:tab w:val="left" w:pos="1210"/>
        </w:tabs>
        <w:spacing w:after="0" w:line="240" w:lineRule="auto"/>
        <w:jc w:val="both"/>
      </w:pPr>
      <w:r w:rsidRPr="00BB4EBA">
        <w:lastRenderedPageBreak/>
        <w:t xml:space="preserve">Tiekėjams nėra leidžiama pateikti alternatyvių pasiūlymų. Tiekėjui pateikus alternatyvų pasiūlymą, </w:t>
      </w:r>
      <w:r w:rsidRPr="00BB4EBA">
        <w:rPr>
          <w:szCs w:val="24"/>
        </w:rPr>
        <w:t>jo pasiūlymas ir alternatyvus pasiūlymas (alternatyvūs pasiūlymai) bus atmesti</w:t>
      </w:r>
      <w:r w:rsidRPr="00BB4EBA">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BB4EBA">
        <w:rPr>
          <w:szCs w:val="24"/>
        </w:rPr>
        <w:t>Pasiūlymas turi būti pateiktas</w:t>
      </w:r>
      <w:r w:rsidRPr="00BB4EBA">
        <w:rPr>
          <w:szCs w:val="24"/>
          <w:shd w:val="clear" w:color="auto" w:fill="FFFFFF"/>
        </w:rPr>
        <w:t xml:space="preserve"> iki CVP IS paskelbtame skelbime api</w:t>
      </w:r>
      <w:r w:rsidRPr="002117E5">
        <w:rPr>
          <w:szCs w:val="24"/>
          <w:shd w:val="clear" w:color="auto" w:fill="FFFFFF"/>
        </w:rPr>
        <w:t>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w:t>
      </w:r>
      <w:r w:rsidRPr="002117E5">
        <w:rPr>
          <w:szCs w:val="24"/>
        </w:rPr>
        <w:lastRenderedPageBreak/>
        <w:t>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4467B3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6" w:name="_Hlk100647451"/>
      <w:r w:rsidR="00BB4EBA">
        <w:rPr>
          <w:color w:val="000000" w:themeColor="text1"/>
        </w:rPr>
        <w:fldChar w:fldCharType="begin"/>
      </w:r>
      <w:r w:rsidR="00BB4EBA">
        <w:rPr>
          <w:color w:val="000000" w:themeColor="text1"/>
        </w:rPr>
        <w:instrText>HYPERLINK "</w:instrText>
      </w:r>
      <w:r w:rsidR="00BB4EBA" w:rsidRPr="000F292C">
        <w:rPr>
          <w:color w:val="000000" w:themeColor="text1"/>
        </w:rPr>
        <w:instrText>https://vpt.lrv.lt/uploads/vpt/documents/files/uzssisfravimo%20instrukcija.pdf</w:instrText>
      </w:r>
      <w:r w:rsidR="00BB4EBA">
        <w:rPr>
          <w:color w:val="000000" w:themeColor="text1"/>
        </w:rPr>
        <w:instrText>"</w:instrText>
      </w:r>
      <w:r w:rsidR="00BB4EBA">
        <w:rPr>
          <w:color w:val="000000" w:themeColor="text1"/>
        </w:rPr>
      </w:r>
      <w:r w:rsidR="00BB4EBA">
        <w:rPr>
          <w:color w:val="000000" w:themeColor="text1"/>
        </w:rPr>
        <w:fldChar w:fldCharType="separate"/>
      </w:r>
      <w:r w:rsidR="00BB4EBA" w:rsidRPr="00EA4636">
        <w:rPr>
          <w:rStyle w:val="Hipersaitas"/>
        </w:rPr>
        <w:t>https://vpt.lrv.lt/uploads/vpt/documents/files/uzssisfravimo%20instrukcija.pdf</w:t>
      </w:r>
      <w:bookmarkEnd w:id="6"/>
      <w:r w:rsidR="00BB4EBA">
        <w:rPr>
          <w:color w:val="000000" w:themeColor="text1"/>
        </w:rPr>
        <w:fldChar w:fldCharType="end"/>
      </w:r>
      <w:r w:rsidR="00906635">
        <w:rPr>
          <w:color w:val="000000" w:themeColor="text1"/>
        </w:rPr>
        <w:t>.</w:t>
      </w:r>
      <w:r w:rsidR="00BB4EBA">
        <w:rPr>
          <w:color w:val="000000" w:themeColor="text1"/>
        </w:rPr>
        <w:t xml:space="preserve"> </w:t>
      </w:r>
    </w:p>
    <w:p w14:paraId="37CAD059" w14:textId="5B7FA850"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F97F00">
        <w:rPr>
          <w:szCs w:val="24"/>
        </w:rPr>
        <w:t>simona.adomaitiene</w:t>
      </w:r>
      <w:hyperlink r:id="rId10" w:history="1">
        <w:r w:rsidR="00F97F00" w:rsidRPr="00B2411B">
          <w:rPr>
            <w:rStyle w:val="Hipersaitas"/>
            <w:szCs w:val="24"/>
          </w:rPr>
          <w:t>@siauliuraj.lt</w:t>
        </w:r>
        <w:proofErr w:type="spellEnd"/>
      </w:hyperlink>
      <w:r w:rsidRPr="002117E5">
        <w:rPr>
          <w:szCs w:val="24"/>
        </w:rPr>
        <w:t>.</w:t>
      </w:r>
      <w:r w:rsidR="00BB4EBA">
        <w:rPr>
          <w:szCs w:val="24"/>
        </w:rPr>
        <w:t xml:space="preserve"> </w:t>
      </w:r>
      <w:r w:rsidRPr="002117E5">
        <w:rPr>
          <w:szCs w:val="24"/>
        </w:rPr>
        <w:t xml:space="preserve">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00AF7FC3" w:rsidR="00D35D38" w:rsidRPr="00597614" w:rsidRDefault="00D35D38" w:rsidP="00030543">
      <w:pPr>
        <w:numPr>
          <w:ilvl w:val="0"/>
          <w:numId w:val="32"/>
        </w:numPr>
        <w:tabs>
          <w:tab w:val="left" w:pos="0"/>
          <w:tab w:val="left" w:pos="340"/>
          <w:tab w:val="left" w:pos="1210"/>
        </w:tabs>
        <w:spacing w:after="0" w:line="240" w:lineRule="auto"/>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00191026">
        <w:rPr>
          <w:shd w:val="clear" w:color="auto" w:fill="FFFFFF"/>
        </w:rPr>
        <w:t xml:space="preserve"> </w:t>
      </w:r>
      <w:r w:rsidR="003E774C" w:rsidRPr="003E774C">
        <w:rPr>
          <w:b/>
          <w:bCs/>
          <w:shd w:val="clear" w:color="auto" w:fill="FFFFFF"/>
        </w:rPr>
        <w:t>67</w:t>
      </w:r>
      <w:r w:rsidR="00191026" w:rsidRPr="003E774C">
        <w:rPr>
          <w:b/>
          <w:bCs/>
          <w:shd w:val="clear" w:color="auto" w:fill="FFFFFF"/>
        </w:rPr>
        <w:t>0</w:t>
      </w:r>
      <w:r w:rsidR="00BB5A51" w:rsidRPr="00191026">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3E774C">
        <w:rPr>
          <w:shd w:val="clear" w:color="auto" w:fill="FFFFFF"/>
        </w:rPr>
        <w:t xml:space="preserve">šeši šimtai </w:t>
      </w:r>
      <w:r w:rsidR="00BB4EBA">
        <w:rPr>
          <w:shd w:val="clear" w:color="auto" w:fill="FFFFFF"/>
        </w:rPr>
        <w:t>septyniasdešimt</w:t>
      </w:r>
      <w:r w:rsidR="00191026">
        <w:rPr>
          <w:shd w:val="clear" w:color="auto" w:fill="FFFFFF"/>
        </w:rPr>
        <w:t xml:space="preserve"> eurų</w:t>
      </w:r>
      <w:r w:rsidR="00BB5A51" w:rsidRPr="00F45E20">
        <w:rPr>
          <w:shd w:val="clear" w:color="auto" w:fill="FFFFFF"/>
        </w:rPr>
        <w:t xml:space="preserve">). </w:t>
      </w:r>
      <w:r w:rsidR="00757C5B" w:rsidRPr="00597614">
        <w:rPr>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w:t>
      </w:r>
      <w:r w:rsidRPr="002117E5">
        <w:lastRenderedPageBreak/>
        <w:t xml:space="preserve">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7139C172"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Pr>
          <w:rFonts w:cs="Times New Roman"/>
          <w:szCs w:val="24"/>
        </w:rPr>
        <w:t>j</w:t>
      </w:r>
      <w:r w:rsidRPr="00642B95">
        <w:rPr>
          <w:rFonts w:cs="Times New Roman"/>
          <w:szCs w:val="24"/>
        </w:rPr>
        <w:t>ei pasiūlymo galiojimo laikotarpiu tiekėjas atsisako savo pasiūlymo arba jo dalies (pasiūlyme nurodyto pirkimo objekto, jo kiekio (apimties), siūlomų kainų, tiekimo ar mokėjimo terminų, siūlomos papildomos garantijos ar siūlomo jos termino);</w:t>
      </w:r>
    </w:p>
    <w:p w14:paraId="4FBF2820"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tiekėjas 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p>
    <w:p w14:paraId="73733B3F"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p>
    <w:p w14:paraId="26B4E81C"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pasirašius pirkimo sutartį, tiekėjas per nustatytą terminą nepateikia perkančiajai organizacijai tinkamo sutarties įvykdymo užtikrinimo.</w:t>
      </w:r>
    </w:p>
    <w:p w14:paraId="17FE2074" w14:textId="6BD34FE1" w:rsidR="00C0023B" w:rsidRPr="00BB4EBA" w:rsidRDefault="004460EB" w:rsidP="00030543">
      <w:pPr>
        <w:pStyle w:val="Sraopastraipa"/>
        <w:numPr>
          <w:ilvl w:val="0"/>
          <w:numId w:val="32"/>
        </w:numPr>
        <w:tabs>
          <w:tab w:val="left" w:pos="340"/>
          <w:tab w:val="left" w:pos="1210"/>
        </w:tabs>
        <w:spacing w:after="0" w:line="240" w:lineRule="auto"/>
        <w:jc w:val="both"/>
      </w:pPr>
      <w:r w:rsidRPr="00BB4EBA">
        <w:t>Tiekėjui pasirinkus pasiūlymo galiojimą užtikrinti draudimo bendrovės laidavimo draudimo raštu, jame turi būti nustatyta, kad e</w:t>
      </w:r>
      <w:r w:rsidR="00C0023B" w:rsidRPr="00BB4EBA">
        <w:t xml:space="preserve">sant prieštaravimams tarp draudimo bendrovės laidavimo draudimo taisyklių nuostatų ir pagal šias pirkimo sąlygas išduoto laidavimo draudimo rašto teksto, pirmumo teisė bus teikiama pirkimo sąlygoms ir </w:t>
      </w:r>
      <w:r w:rsidR="00C02F5A" w:rsidRPr="00BB4EBA">
        <w:t>P</w:t>
      </w:r>
      <w:r w:rsidR="00C0023B" w:rsidRPr="00BB4EBA">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lastRenderedPageBreak/>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7" w:name="_Ref60481995"/>
      <w:bookmarkStart w:id="8" w:name="_Ref58464629"/>
      <w:bookmarkStart w:id="9" w:name="_Ref60481998"/>
      <w:bookmarkStart w:id="10"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7"/>
      <w:bookmarkEnd w:id="8"/>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9"/>
      <w:bookmarkEnd w:id="10"/>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xml:space="preserve">, ar pateiktas pasiūlymo galiojimo </w:t>
      </w:r>
      <w:r w:rsidR="00DE060E" w:rsidRPr="002117E5">
        <w:rPr>
          <w:szCs w:val="24"/>
        </w:rPr>
        <w:lastRenderedPageBreak/>
        <w:t>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1"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11"/>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7CBF5709" w:rsidR="00897846" w:rsidRPr="002B282E" w:rsidRDefault="00897846" w:rsidP="00FF17FA">
      <w:pPr>
        <w:widowControl w:val="0"/>
        <w:numPr>
          <w:ilvl w:val="0"/>
          <w:numId w:val="32"/>
        </w:numPr>
        <w:tabs>
          <w:tab w:val="left" w:pos="0"/>
          <w:tab w:val="left" w:pos="340"/>
          <w:tab w:val="left" w:pos="1210"/>
        </w:tabs>
        <w:spacing w:after="0" w:line="240" w:lineRule="auto"/>
        <w:jc w:val="both"/>
        <w:rPr>
          <w:szCs w:val="24"/>
        </w:rPr>
      </w:pPr>
      <w:r w:rsidRPr="002B282E">
        <w:rPr>
          <w:szCs w:val="24"/>
        </w:rPr>
        <w:t xml:space="preserve">Perkančioji organizacija, nustačiusi ekonomiškai naudingiausią pasiūlymą, prieš priimdama sprendimą dėl laimėjusio pasiūlymo pagal šių </w:t>
      </w:r>
      <w:r w:rsidR="00106046" w:rsidRPr="002B282E">
        <w:rPr>
          <w:szCs w:val="24"/>
        </w:rPr>
        <w:t>pirkimo</w:t>
      </w:r>
      <w:r w:rsidRPr="002B282E">
        <w:rPr>
          <w:szCs w:val="24"/>
        </w:rPr>
        <w:t xml:space="preserve"> sąlygų X skyriaus nuostatas, kreipiasi į dalyvį, kurio pasiūlymas gali būti pripažintas laimėjusiu, ir papr</w:t>
      </w:r>
      <w:r w:rsidR="00BB30BC" w:rsidRPr="002B282E">
        <w:rPr>
          <w:szCs w:val="24"/>
        </w:rPr>
        <w:t>a</w:t>
      </w:r>
      <w:r w:rsidRPr="002B282E">
        <w:rPr>
          <w:szCs w:val="24"/>
        </w:rPr>
        <w:t xml:space="preserve">šo pateikti </w:t>
      </w:r>
      <w:r w:rsidR="00B75675" w:rsidRPr="002B282E">
        <w:rPr>
          <w:szCs w:val="24"/>
        </w:rPr>
        <w:t xml:space="preserve">kvalifikacijos </w:t>
      </w:r>
      <w:r w:rsidR="007C3357" w:rsidRPr="002B282E">
        <w:rPr>
          <w:iCs/>
          <w:szCs w:val="20"/>
        </w:rPr>
        <w:t xml:space="preserve">ir </w:t>
      </w:r>
      <w:r w:rsidR="007C3357" w:rsidRPr="002B282E">
        <w:t xml:space="preserve">aplinkos apsaugos vadybos sistemos standartų </w:t>
      </w:r>
      <w:r w:rsidR="00B75675" w:rsidRPr="002B282E">
        <w:rPr>
          <w:szCs w:val="24"/>
        </w:rPr>
        <w:t xml:space="preserve">reikalavimų atitiktį </w:t>
      </w:r>
      <w:r w:rsidRPr="002B282E">
        <w:rPr>
          <w:szCs w:val="24"/>
        </w:rPr>
        <w:t>patvirtinančius dokumentus</w:t>
      </w:r>
      <w:r w:rsidR="00B34E3A" w:rsidRPr="002B282E">
        <w:rPr>
          <w:szCs w:val="24"/>
        </w:rPr>
        <w:t xml:space="preserve">. </w:t>
      </w:r>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B282E">
        <w:rPr>
          <w:szCs w:val="24"/>
        </w:rPr>
        <w:t>Perkančioji organizacija nereikalauja iš tiekėjo pateikti dokumentų, patvirtinančių jo pašalinimo</w:t>
      </w:r>
      <w:r w:rsidRPr="002117E5">
        <w:rPr>
          <w:szCs w:val="24"/>
        </w:rPr>
        <w:t xml:space="preserve">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lastRenderedPageBreak/>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2F96CABE"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2B282E">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tiekėjo pašalinimo priežasčių nebuvimą </w:t>
      </w:r>
      <w:r w:rsidR="00B75675" w:rsidRPr="002117E5">
        <w:rPr>
          <w:szCs w:val="24"/>
        </w:rPr>
        <w:t>ar</w:t>
      </w:r>
      <w:r w:rsidR="002B282E" w:rsidRPr="002B282E">
        <w:rPr>
          <w:szCs w:val="24"/>
        </w:rPr>
        <w:t xml:space="preserve"> dalyvio pateikti</w:t>
      </w:r>
      <w:r w:rsidR="00B75675" w:rsidRPr="002117E5">
        <w:rPr>
          <w:szCs w:val="24"/>
        </w:rPr>
        <w:t xml:space="preserve">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741516C0"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2"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2"/>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A97406">
        <w:rPr>
          <w:szCs w:val="24"/>
        </w:rPr>
        <w:t>3</w:t>
      </w:r>
      <w:r w:rsidR="00580DE4" w:rsidRPr="00A97406">
        <w:rPr>
          <w:szCs w:val="24"/>
        </w:rPr>
        <w:t>4</w:t>
      </w:r>
      <w:r w:rsidRPr="00A97406">
        <w:rPr>
          <w:szCs w:val="24"/>
          <w:shd w:val="clear" w:color="auto" w:fill="FFFFFF"/>
        </w:rPr>
        <w:t xml:space="preserve"> punkto</w:t>
      </w:r>
      <w:r w:rsidRPr="00C11F2E">
        <w:rPr>
          <w:szCs w:val="24"/>
          <w:shd w:val="clear" w:color="auto" w:fill="FFFFFF"/>
        </w:rPr>
        <w:t xml:space="preserve"> n</w:t>
      </w:r>
      <w:r w:rsidRPr="00C11F2E">
        <w:rPr>
          <w:szCs w:val="24"/>
        </w:rPr>
        <w:t>uostatas);</w:t>
      </w:r>
      <w:r w:rsidRPr="002117E5">
        <w:rPr>
          <w:szCs w:val="24"/>
        </w:rPr>
        <w:t xml:space="preserve"> </w:t>
      </w:r>
      <w:bookmarkStart w:id="13" w:name="_Hlk45713495"/>
      <w:r w:rsidRPr="002117E5">
        <w:rPr>
          <w:szCs w:val="24"/>
        </w:rPr>
        <w:t>tiekėjo siūlomų darbų apimtis ar savybės neatitinka pirkimo dokumentuose nustatytų reikalavimų</w:t>
      </w:r>
      <w:bookmarkEnd w:id="13"/>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w:t>
      </w:r>
      <w:r w:rsidRPr="002117E5">
        <w:rPr>
          <w:szCs w:val="24"/>
        </w:rPr>
        <w:lastRenderedPageBreak/>
        <w:t xml:space="preserve">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2B282E">
        <w:rPr>
          <w:szCs w:val="24"/>
        </w:rPr>
        <w:t>33.1</w:t>
      </w:r>
      <w:r w:rsidR="00E05014" w:rsidRPr="002B282E">
        <w:rPr>
          <w:szCs w:val="24"/>
        </w:rPr>
        <w:t xml:space="preserve"> ir</w:t>
      </w:r>
      <w:r w:rsidR="006F5E41" w:rsidRPr="002B282E">
        <w:rPr>
          <w:szCs w:val="24"/>
        </w:rPr>
        <w:t xml:space="preserve"> 33.</w:t>
      </w:r>
      <w:r w:rsidR="002B282E" w:rsidRPr="002B282E">
        <w:rPr>
          <w:szCs w:val="24"/>
        </w:rPr>
        <w:t>3</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w:t>
      </w:r>
      <w:r w:rsidRPr="002117E5">
        <w:rPr>
          <w:spacing w:val="-4"/>
          <w:szCs w:val="24"/>
        </w:rPr>
        <w:lastRenderedPageBreak/>
        <w:t xml:space="preserve">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1639209C" w14:textId="27BE6361" w:rsidR="004542FF" w:rsidRPr="00B73F43" w:rsidRDefault="001B6E09" w:rsidP="004542FF">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w:t>
      </w:r>
      <w:r w:rsidR="004542FF">
        <w:rPr>
          <w:szCs w:val="24"/>
        </w:rPr>
        <w:t>ne</w:t>
      </w:r>
      <w:r w:rsidRPr="002117E5">
        <w:rPr>
          <w:szCs w:val="24"/>
        </w:rPr>
        <w:t xml:space="preserve">reikalauja, kad tiekėjas, su kuriuo bus pasirašyta pirkimo </w:t>
      </w:r>
      <w:r w:rsidRPr="00660161">
        <w:rPr>
          <w:szCs w:val="24"/>
        </w:rPr>
        <w:t xml:space="preserve">sutartis, </w:t>
      </w:r>
      <w:r w:rsidR="004542FF">
        <w:rPr>
          <w:szCs w:val="24"/>
        </w:rPr>
        <w:t>pateikt</w:t>
      </w:r>
      <w:r w:rsidR="00C22FF9">
        <w:rPr>
          <w:szCs w:val="24"/>
        </w:rPr>
        <w:t>ų</w:t>
      </w:r>
      <w:r w:rsidRPr="00660161">
        <w:rPr>
          <w:szCs w:val="24"/>
        </w:rPr>
        <w:t xml:space="preserve"> sutarties įvykdymo užtikr</w:t>
      </w:r>
      <w:r w:rsidR="00C22FF9">
        <w:rPr>
          <w:szCs w:val="24"/>
        </w:rPr>
        <w:t>inimo.</w:t>
      </w:r>
      <w:r w:rsidR="004542FF" w:rsidRPr="004542FF">
        <w:rPr>
          <w:rFonts w:eastAsia="Times New Roman" w:cs="Times New Roman"/>
          <w:kern w:val="0"/>
          <w:szCs w:val="24"/>
        </w:rPr>
        <w:t xml:space="preserve"> </w:t>
      </w:r>
      <w:r w:rsidR="004542FF" w:rsidRPr="00B73F43">
        <w:rPr>
          <w:szCs w:val="24"/>
        </w:rPr>
        <w:t>Sutarties įvykdymas užtikrinamas netesybomis. Rangovui netinkamai vykdant šią Sutartį, Užsakovas turi teisę pareikalauti sumokėti netesybas (10 procentų nuo Sutarties vertės su PVM).</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lastRenderedPageBreak/>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0251ED2D" w:rsidR="005E3556" w:rsidRPr="00D96616" w:rsidRDefault="007F4393" w:rsidP="005E3556">
      <w:pPr>
        <w:numPr>
          <w:ilvl w:val="0"/>
          <w:numId w:val="32"/>
        </w:numPr>
        <w:tabs>
          <w:tab w:val="left" w:pos="0"/>
          <w:tab w:val="left" w:pos="340"/>
          <w:tab w:val="left" w:pos="1210"/>
        </w:tabs>
        <w:spacing w:after="0" w:line="240" w:lineRule="auto"/>
        <w:jc w:val="both"/>
        <w:rPr>
          <w:spacing w:val="-3"/>
          <w:szCs w:val="24"/>
        </w:rPr>
      </w:pPr>
      <w:r w:rsidRPr="00D96616">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D96616">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D96616">
      <w:headerReference w:type="default" r:id="rId11"/>
      <w:type w:val="continuous"/>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414B" w14:textId="77777777" w:rsidR="00BD6B77" w:rsidRDefault="00BD6B77">
      <w:r>
        <w:separator/>
      </w:r>
    </w:p>
  </w:endnote>
  <w:endnote w:type="continuationSeparator" w:id="0">
    <w:p w14:paraId="24BCD69E" w14:textId="77777777" w:rsidR="00BD6B77" w:rsidRDefault="00BD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Times New Roman"/>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AED7" w14:textId="77777777" w:rsidR="00BD6B77" w:rsidRDefault="00BD6B77">
      <w:r>
        <w:separator/>
      </w:r>
    </w:p>
  </w:footnote>
  <w:footnote w:type="continuationSeparator" w:id="0">
    <w:p w14:paraId="1A040C58" w14:textId="77777777" w:rsidR="00BD6B77" w:rsidRDefault="00BD6B77">
      <w:r>
        <w:continuationSeparator/>
      </w:r>
    </w:p>
  </w:footnote>
  <w:footnote w:id="1">
    <w:p w14:paraId="20E8A78C" w14:textId="77777777" w:rsidR="00FF17FA" w:rsidRPr="00F57187" w:rsidRDefault="00FF17FA"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FF17FA" w:rsidRPr="00F57187" w:rsidRDefault="00FF17FA"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FF17FA" w:rsidRPr="00DD1F37" w:rsidRDefault="00FF17FA"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FF17FA" w:rsidRPr="002C2CF6" w:rsidRDefault="00FF17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FF17FA" w:rsidRPr="002C2CF6" w:rsidRDefault="00FF17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FF17FA" w:rsidRPr="002C2CF6" w:rsidRDefault="00FF17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FF17FA" w:rsidRPr="00764E58" w:rsidRDefault="00FF17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FF17FA" w:rsidRPr="00764E58" w:rsidRDefault="00FF17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FF17FA" w:rsidRDefault="00FF17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FF17FA" w:rsidRDefault="00FF17FA">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7D4DBD">
      <w:rPr>
        <w:rStyle w:val="Puslapionumeris"/>
        <w:noProof/>
      </w:rPr>
      <w:t>24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B59B0"/>
    <w:multiLevelType w:val="multilevel"/>
    <w:tmpl w:val="41F23F26"/>
    <w:lvl w:ilvl="0">
      <w:start w:val="1"/>
      <w:numFmt w:val="decimal"/>
      <w:lvlText w:val="%1."/>
      <w:lvlJc w:val="left"/>
      <w:pPr>
        <w:ind w:left="360" w:hanging="360"/>
      </w:pPr>
      <w:rPr>
        <w:rFonts w:hint="default"/>
        <w:b/>
        <w:i w:val="0"/>
      </w:rPr>
    </w:lvl>
    <w:lvl w:ilvl="1">
      <w:start w:val="1"/>
      <w:numFmt w:val="decimal"/>
      <w:suff w:val="space"/>
      <w:lvlText w:val="%1.%2."/>
      <w:lvlJc w:val="left"/>
      <w:pPr>
        <w:ind w:left="1560" w:firstLine="0"/>
      </w:pPr>
      <w:rPr>
        <w:rFonts w:hint="default"/>
        <w:i w:val="0"/>
        <w:color w:val="000000"/>
      </w:rPr>
    </w:lvl>
    <w:lvl w:ilvl="2">
      <w:start w:val="1"/>
      <w:numFmt w:val="decimal"/>
      <w:lvlText w:val="%1.%2.%3."/>
      <w:lvlJc w:val="left"/>
      <w:pPr>
        <w:ind w:left="0" w:firstLine="720"/>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4"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544188">
    <w:abstractNumId w:val="0"/>
  </w:num>
  <w:num w:numId="2" w16cid:durableId="67307118">
    <w:abstractNumId w:val="1"/>
  </w:num>
  <w:num w:numId="3" w16cid:durableId="2022122315">
    <w:abstractNumId w:val="2"/>
  </w:num>
  <w:num w:numId="4" w16cid:durableId="957108883">
    <w:abstractNumId w:val="3"/>
  </w:num>
  <w:num w:numId="5" w16cid:durableId="2105882403">
    <w:abstractNumId w:val="4"/>
  </w:num>
  <w:num w:numId="6" w16cid:durableId="1105808233">
    <w:abstractNumId w:val="22"/>
  </w:num>
  <w:num w:numId="7" w16cid:durableId="212468685">
    <w:abstractNumId w:val="13"/>
  </w:num>
  <w:num w:numId="8" w16cid:durableId="1036467285">
    <w:abstractNumId w:val="16"/>
  </w:num>
  <w:num w:numId="9" w16cid:durableId="422339015">
    <w:abstractNumId w:val="21"/>
  </w:num>
  <w:num w:numId="10" w16cid:durableId="2146504233">
    <w:abstractNumId w:val="36"/>
  </w:num>
  <w:num w:numId="11" w16cid:durableId="252321841">
    <w:abstractNumId w:val="11"/>
  </w:num>
  <w:num w:numId="12" w16cid:durableId="954870291">
    <w:abstractNumId w:val="14"/>
  </w:num>
  <w:num w:numId="13" w16cid:durableId="1760131242">
    <w:abstractNumId w:val="10"/>
  </w:num>
  <w:num w:numId="14" w16cid:durableId="68036977">
    <w:abstractNumId w:val="8"/>
  </w:num>
  <w:num w:numId="15" w16cid:durableId="1510801468">
    <w:abstractNumId w:val="19"/>
  </w:num>
  <w:num w:numId="16" w16cid:durableId="2065367340">
    <w:abstractNumId w:val="6"/>
  </w:num>
  <w:num w:numId="17" w16cid:durableId="2021080826">
    <w:abstractNumId w:val="11"/>
  </w:num>
  <w:num w:numId="18" w16cid:durableId="803698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891397">
    <w:abstractNumId w:val="12"/>
  </w:num>
  <w:num w:numId="20" w16cid:durableId="1498305701">
    <w:abstractNumId w:val="24"/>
  </w:num>
  <w:num w:numId="21" w16cid:durableId="507060497">
    <w:abstractNumId w:val="7"/>
  </w:num>
  <w:num w:numId="22" w16cid:durableId="1668941521">
    <w:abstractNumId w:val="17"/>
  </w:num>
  <w:num w:numId="23" w16cid:durableId="1435710031">
    <w:abstractNumId w:val="29"/>
  </w:num>
  <w:num w:numId="24" w16cid:durableId="246026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6195170">
    <w:abstractNumId w:val="34"/>
  </w:num>
  <w:num w:numId="26" w16cid:durableId="1364403871">
    <w:abstractNumId w:val="20"/>
  </w:num>
  <w:num w:numId="27" w16cid:durableId="1973944977">
    <w:abstractNumId w:val="29"/>
  </w:num>
  <w:num w:numId="28" w16cid:durableId="104085229">
    <w:abstractNumId w:val="3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0066518">
    <w:abstractNumId w:val="28"/>
  </w:num>
  <w:num w:numId="30" w16cid:durableId="34936633">
    <w:abstractNumId w:val="23"/>
  </w:num>
  <w:num w:numId="31" w16cid:durableId="1728336269">
    <w:abstractNumId w:val="31"/>
  </w:num>
  <w:num w:numId="32" w16cid:durableId="144201556">
    <w:abstractNumId w:val="18"/>
  </w:num>
  <w:num w:numId="33" w16cid:durableId="1725907260">
    <w:abstractNumId w:val="15"/>
  </w:num>
  <w:num w:numId="34" w16cid:durableId="855579343">
    <w:abstractNumId w:val="27"/>
  </w:num>
  <w:num w:numId="35" w16cid:durableId="1296763866">
    <w:abstractNumId w:val="30"/>
  </w:num>
  <w:num w:numId="36" w16cid:durableId="771513832">
    <w:abstractNumId w:val="32"/>
  </w:num>
  <w:num w:numId="37" w16cid:durableId="261302650">
    <w:abstractNumId w:val="5"/>
  </w:num>
  <w:num w:numId="38" w16cid:durableId="216860908">
    <w:abstractNumId w:val="26"/>
  </w:num>
  <w:num w:numId="39" w16cid:durableId="419520203">
    <w:abstractNumId w:val="35"/>
  </w:num>
  <w:num w:numId="40" w16cid:durableId="611745477">
    <w:abstractNumId w:val="25"/>
  </w:num>
  <w:num w:numId="41" w16cid:durableId="224684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1E3"/>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215"/>
    <w:rsid w:val="0008730F"/>
    <w:rsid w:val="0008747A"/>
    <w:rsid w:val="000909A8"/>
    <w:rsid w:val="000924DB"/>
    <w:rsid w:val="00092C80"/>
    <w:rsid w:val="00092DEC"/>
    <w:rsid w:val="00092E47"/>
    <w:rsid w:val="00093805"/>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550"/>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0D3"/>
    <w:rsid w:val="00155C46"/>
    <w:rsid w:val="00155C5A"/>
    <w:rsid w:val="00155EF3"/>
    <w:rsid w:val="001575C2"/>
    <w:rsid w:val="00157B38"/>
    <w:rsid w:val="00157EB2"/>
    <w:rsid w:val="00160572"/>
    <w:rsid w:val="001605E1"/>
    <w:rsid w:val="00162377"/>
    <w:rsid w:val="00162739"/>
    <w:rsid w:val="001639E3"/>
    <w:rsid w:val="0016511D"/>
    <w:rsid w:val="00165978"/>
    <w:rsid w:val="0016605A"/>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6283"/>
    <w:rsid w:val="001873AF"/>
    <w:rsid w:val="001873E2"/>
    <w:rsid w:val="001901C7"/>
    <w:rsid w:val="00190347"/>
    <w:rsid w:val="00190378"/>
    <w:rsid w:val="0019041F"/>
    <w:rsid w:val="00190F33"/>
    <w:rsid w:val="00191026"/>
    <w:rsid w:val="001914DD"/>
    <w:rsid w:val="0019192E"/>
    <w:rsid w:val="00192255"/>
    <w:rsid w:val="00192477"/>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31"/>
    <w:rsid w:val="001F6F7B"/>
    <w:rsid w:val="001F79C1"/>
    <w:rsid w:val="00200D6D"/>
    <w:rsid w:val="0020106F"/>
    <w:rsid w:val="00201D0E"/>
    <w:rsid w:val="0020229F"/>
    <w:rsid w:val="0020294A"/>
    <w:rsid w:val="002046AD"/>
    <w:rsid w:val="00205DA0"/>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685"/>
    <w:rsid w:val="0025685A"/>
    <w:rsid w:val="0025761A"/>
    <w:rsid w:val="00260B87"/>
    <w:rsid w:val="00260DF6"/>
    <w:rsid w:val="00261BE3"/>
    <w:rsid w:val="002629AD"/>
    <w:rsid w:val="00262D4F"/>
    <w:rsid w:val="00264F49"/>
    <w:rsid w:val="002654E4"/>
    <w:rsid w:val="0026602D"/>
    <w:rsid w:val="00266542"/>
    <w:rsid w:val="002667AE"/>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6B41"/>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282E"/>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102"/>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2A8E"/>
    <w:rsid w:val="002F3DC6"/>
    <w:rsid w:val="002F3DD4"/>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7E0"/>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58B5"/>
    <w:rsid w:val="0037678D"/>
    <w:rsid w:val="00376F1F"/>
    <w:rsid w:val="0037761C"/>
    <w:rsid w:val="003776D1"/>
    <w:rsid w:val="0038033C"/>
    <w:rsid w:val="00380460"/>
    <w:rsid w:val="00380E9C"/>
    <w:rsid w:val="00381345"/>
    <w:rsid w:val="003826FA"/>
    <w:rsid w:val="00382E45"/>
    <w:rsid w:val="00383E6A"/>
    <w:rsid w:val="00384550"/>
    <w:rsid w:val="00384952"/>
    <w:rsid w:val="003868EF"/>
    <w:rsid w:val="003869B2"/>
    <w:rsid w:val="00386A81"/>
    <w:rsid w:val="003874CD"/>
    <w:rsid w:val="00387595"/>
    <w:rsid w:val="003876CF"/>
    <w:rsid w:val="00391ABE"/>
    <w:rsid w:val="00391DB5"/>
    <w:rsid w:val="00391EB1"/>
    <w:rsid w:val="00392E8C"/>
    <w:rsid w:val="00392FDB"/>
    <w:rsid w:val="003938F0"/>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5F9"/>
    <w:rsid w:val="003B3CC0"/>
    <w:rsid w:val="003B3F43"/>
    <w:rsid w:val="003B4145"/>
    <w:rsid w:val="003B47CE"/>
    <w:rsid w:val="003B5FBC"/>
    <w:rsid w:val="003B63AA"/>
    <w:rsid w:val="003B6489"/>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1B31"/>
    <w:rsid w:val="003E3CD4"/>
    <w:rsid w:val="003E4150"/>
    <w:rsid w:val="003E43FB"/>
    <w:rsid w:val="003E46E1"/>
    <w:rsid w:val="003E5CC2"/>
    <w:rsid w:val="003E5D44"/>
    <w:rsid w:val="003E60B2"/>
    <w:rsid w:val="003E61C0"/>
    <w:rsid w:val="003E6DD3"/>
    <w:rsid w:val="003E774C"/>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7D7"/>
    <w:rsid w:val="00401C54"/>
    <w:rsid w:val="00401C8F"/>
    <w:rsid w:val="00402620"/>
    <w:rsid w:val="00402AA0"/>
    <w:rsid w:val="00405EDD"/>
    <w:rsid w:val="00411122"/>
    <w:rsid w:val="004136B9"/>
    <w:rsid w:val="00413D6A"/>
    <w:rsid w:val="0041432C"/>
    <w:rsid w:val="00414D17"/>
    <w:rsid w:val="004154F7"/>
    <w:rsid w:val="00416168"/>
    <w:rsid w:val="00417616"/>
    <w:rsid w:val="004205F0"/>
    <w:rsid w:val="00420F21"/>
    <w:rsid w:val="00421679"/>
    <w:rsid w:val="0042335C"/>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3636"/>
    <w:rsid w:val="00453F4A"/>
    <w:rsid w:val="004542FF"/>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3B3"/>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48B"/>
    <w:rsid w:val="004D4709"/>
    <w:rsid w:val="004D5D2A"/>
    <w:rsid w:val="004D7052"/>
    <w:rsid w:val="004D7D13"/>
    <w:rsid w:val="004D7ECD"/>
    <w:rsid w:val="004E1266"/>
    <w:rsid w:val="004E129D"/>
    <w:rsid w:val="004E139D"/>
    <w:rsid w:val="004E1533"/>
    <w:rsid w:val="004E1800"/>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0F6"/>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550"/>
    <w:rsid w:val="00511C37"/>
    <w:rsid w:val="0051230B"/>
    <w:rsid w:val="00512908"/>
    <w:rsid w:val="00513BA6"/>
    <w:rsid w:val="00513CBB"/>
    <w:rsid w:val="0051405F"/>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36F"/>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35B9"/>
    <w:rsid w:val="005752D8"/>
    <w:rsid w:val="005759BF"/>
    <w:rsid w:val="00577398"/>
    <w:rsid w:val="005774C3"/>
    <w:rsid w:val="005774D9"/>
    <w:rsid w:val="0058050C"/>
    <w:rsid w:val="00580DE4"/>
    <w:rsid w:val="0058120B"/>
    <w:rsid w:val="00581931"/>
    <w:rsid w:val="00581948"/>
    <w:rsid w:val="00582456"/>
    <w:rsid w:val="005827FF"/>
    <w:rsid w:val="0058299B"/>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614"/>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B78"/>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469"/>
    <w:rsid w:val="005D1A54"/>
    <w:rsid w:val="005D1EA2"/>
    <w:rsid w:val="005D237E"/>
    <w:rsid w:val="005D28B3"/>
    <w:rsid w:val="005D3787"/>
    <w:rsid w:val="005D3A68"/>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2CDE"/>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2A2"/>
    <w:rsid w:val="00611431"/>
    <w:rsid w:val="0061275A"/>
    <w:rsid w:val="006138FF"/>
    <w:rsid w:val="006141B6"/>
    <w:rsid w:val="0061594C"/>
    <w:rsid w:val="00615A27"/>
    <w:rsid w:val="00616AE6"/>
    <w:rsid w:val="00616D97"/>
    <w:rsid w:val="00617971"/>
    <w:rsid w:val="00621708"/>
    <w:rsid w:val="00621D29"/>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1C03"/>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98A"/>
    <w:rsid w:val="00661F4F"/>
    <w:rsid w:val="00662CD9"/>
    <w:rsid w:val="00664ABD"/>
    <w:rsid w:val="00665314"/>
    <w:rsid w:val="0066563B"/>
    <w:rsid w:val="006659D0"/>
    <w:rsid w:val="0066624D"/>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2B3D"/>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1F9F"/>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BEA"/>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84B"/>
    <w:rsid w:val="006F6FF9"/>
    <w:rsid w:val="006F786C"/>
    <w:rsid w:val="00700AC2"/>
    <w:rsid w:val="00700AFA"/>
    <w:rsid w:val="0070108C"/>
    <w:rsid w:val="00702724"/>
    <w:rsid w:val="0070394E"/>
    <w:rsid w:val="00704EF8"/>
    <w:rsid w:val="00704F1E"/>
    <w:rsid w:val="007066FE"/>
    <w:rsid w:val="00706774"/>
    <w:rsid w:val="0070737F"/>
    <w:rsid w:val="007114E1"/>
    <w:rsid w:val="00711763"/>
    <w:rsid w:val="007129D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86D"/>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969"/>
    <w:rsid w:val="00745BDB"/>
    <w:rsid w:val="00746331"/>
    <w:rsid w:val="007473A6"/>
    <w:rsid w:val="007504B1"/>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DFE"/>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5A9"/>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4DBD"/>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145"/>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9E"/>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165"/>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61E"/>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2BD"/>
    <w:rsid w:val="008E64DB"/>
    <w:rsid w:val="008E6BCD"/>
    <w:rsid w:val="008E7BE0"/>
    <w:rsid w:val="008F1DA0"/>
    <w:rsid w:val="008F1E0F"/>
    <w:rsid w:val="008F1FC9"/>
    <w:rsid w:val="008F282D"/>
    <w:rsid w:val="008F3A2D"/>
    <w:rsid w:val="008F41D5"/>
    <w:rsid w:val="008F4230"/>
    <w:rsid w:val="008F46EB"/>
    <w:rsid w:val="008F5221"/>
    <w:rsid w:val="008F5802"/>
    <w:rsid w:val="008F5BB8"/>
    <w:rsid w:val="008F60C6"/>
    <w:rsid w:val="008F651B"/>
    <w:rsid w:val="008F6DE7"/>
    <w:rsid w:val="008F7308"/>
    <w:rsid w:val="008F7D4E"/>
    <w:rsid w:val="00901794"/>
    <w:rsid w:val="00901AD9"/>
    <w:rsid w:val="00902332"/>
    <w:rsid w:val="00902C14"/>
    <w:rsid w:val="00902DB3"/>
    <w:rsid w:val="00903E25"/>
    <w:rsid w:val="00904228"/>
    <w:rsid w:val="00904B34"/>
    <w:rsid w:val="00904EEB"/>
    <w:rsid w:val="00906635"/>
    <w:rsid w:val="00906908"/>
    <w:rsid w:val="009069FD"/>
    <w:rsid w:val="00906ADF"/>
    <w:rsid w:val="00907195"/>
    <w:rsid w:val="00907281"/>
    <w:rsid w:val="00907E03"/>
    <w:rsid w:val="009105C5"/>
    <w:rsid w:val="00910D9E"/>
    <w:rsid w:val="009117E7"/>
    <w:rsid w:val="00911C52"/>
    <w:rsid w:val="00913CB5"/>
    <w:rsid w:val="00914285"/>
    <w:rsid w:val="00914855"/>
    <w:rsid w:val="00915252"/>
    <w:rsid w:val="00916D35"/>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6768"/>
    <w:rsid w:val="0094779E"/>
    <w:rsid w:val="00950A70"/>
    <w:rsid w:val="00951459"/>
    <w:rsid w:val="00952305"/>
    <w:rsid w:val="00952774"/>
    <w:rsid w:val="00954757"/>
    <w:rsid w:val="00955E43"/>
    <w:rsid w:val="0095632B"/>
    <w:rsid w:val="0095703F"/>
    <w:rsid w:val="00960010"/>
    <w:rsid w:val="00960A00"/>
    <w:rsid w:val="00960BBF"/>
    <w:rsid w:val="00961330"/>
    <w:rsid w:val="009619BE"/>
    <w:rsid w:val="009625A1"/>
    <w:rsid w:val="009628B5"/>
    <w:rsid w:val="00963418"/>
    <w:rsid w:val="0096375C"/>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1B6E"/>
    <w:rsid w:val="009C273F"/>
    <w:rsid w:val="009C27E2"/>
    <w:rsid w:val="009C2B92"/>
    <w:rsid w:val="009C37FF"/>
    <w:rsid w:val="009C39E8"/>
    <w:rsid w:val="009C51FC"/>
    <w:rsid w:val="009C6187"/>
    <w:rsid w:val="009C6518"/>
    <w:rsid w:val="009C6D16"/>
    <w:rsid w:val="009C73CC"/>
    <w:rsid w:val="009D0034"/>
    <w:rsid w:val="009D0515"/>
    <w:rsid w:val="009D1090"/>
    <w:rsid w:val="009D1B2E"/>
    <w:rsid w:val="009D1CD0"/>
    <w:rsid w:val="009D1FC7"/>
    <w:rsid w:val="009D3B76"/>
    <w:rsid w:val="009D3D22"/>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5949"/>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406"/>
    <w:rsid w:val="00A97890"/>
    <w:rsid w:val="00A97F36"/>
    <w:rsid w:val="00AA01C7"/>
    <w:rsid w:val="00AA050A"/>
    <w:rsid w:val="00AA06BA"/>
    <w:rsid w:val="00AA08CA"/>
    <w:rsid w:val="00AA15FA"/>
    <w:rsid w:val="00AA1BF4"/>
    <w:rsid w:val="00AA21DE"/>
    <w:rsid w:val="00AA232A"/>
    <w:rsid w:val="00AA23E8"/>
    <w:rsid w:val="00AA3569"/>
    <w:rsid w:val="00AA3C4F"/>
    <w:rsid w:val="00AA42CC"/>
    <w:rsid w:val="00AA5884"/>
    <w:rsid w:val="00AA68A8"/>
    <w:rsid w:val="00AA6E7E"/>
    <w:rsid w:val="00AA7F8B"/>
    <w:rsid w:val="00AB0084"/>
    <w:rsid w:val="00AB0945"/>
    <w:rsid w:val="00AB0BB9"/>
    <w:rsid w:val="00AB0E0E"/>
    <w:rsid w:val="00AB12B9"/>
    <w:rsid w:val="00AB140A"/>
    <w:rsid w:val="00AB1613"/>
    <w:rsid w:val="00AB511D"/>
    <w:rsid w:val="00AB562B"/>
    <w:rsid w:val="00AB5684"/>
    <w:rsid w:val="00AB570F"/>
    <w:rsid w:val="00AB64B0"/>
    <w:rsid w:val="00AB6545"/>
    <w:rsid w:val="00AB6DEE"/>
    <w:rsid w:val="00AB70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C3C"/>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5D5F"/>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4E3A"/>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0A8"/>
    <w:rsid w:val="00B51B5F"/>
    <w:rsid w:val="00B52597"/>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3F43"/>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940"/>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4EBA"/>
    <w:rsid w:val="00BB5A51"/>
    <w:rsid w:val="00BB5B42"/>
    <w:rsid w:val="00BB5EBF"/>
    <w:rsid w:val="00BB6587"/>
    <w:rsid w:val="00BB754B"/>
    <w:rsid w:val="00BC0FB3"/>
    <w:rsid w:val="00BC16A0"/>
    <w:rsid w:val="00BC235E"/>
    <w:rsid w:val="00BC2A55"/>
    <w:rsid w:val="00BC2A5B"/>
    <w:rsid w:val="00BC2BF2"/>
    <w:rsid w:val="00BC31B5"/>
    <w:rsid w:val="00BC3247"/>
    <w:rsid w:val="00BC3785"/>
    <w:rsid w:val="00BC37EE"/>
    <w:rsid w:val="00BC3B6E"/>
    <w:rsid w:val="00BC3E36"/>
    <w:rsid w:val="00BC50E0"/>
    <w:rsid w:val="00BC5655"/>
    <w:rsid w:val="00BC6125"/>
    <w:rsid w:val="00BC62A3"/>
    <w:rsid w:val="00BC6D42"/>
    <w:rsid w:val="00BC7AE6"/>
    <w:rsid w:val="00BC7E76"/>
    <w:rsid w:val="00BD0970"/>
    <w:rsid w:val="00BD0995"/>
    <w:rsid w:val="00BD0D4C"/>
    <w:rsid w:val="00BD1DEC"/>
    <w:rsid w:val="00BD290D"/>
    <w:rsid w:val="00BD3519"/>
    <w:rsid w:val="00BD358B"/>
    <w:rsid w:val="00BD540D"/>
    <w:rsid w:val="00BD5A57"/>
    <w:rsid w:val="00BD6B7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5DFC"/>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2FF9"/>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283F"/>
    <w:rsid w:val="00C535E4"/>
    <w:rsid w:val="00C54E80"/>
    <w:rsid w:val="00C550E7"/>
    <w:rsid w:val="00C55734"/>
    <w:rsid w:val="00C55E22"/>
    <w:rsid w:val="00C56017"/>
    <w:rsid w:val="00C566FE"/>
    <w:rsid w:val="00C569A2"/>
    <w:rsid w:val="00C56CB8"/>
    <w:rsid w:val="00C5738D"/>
    <w:rsid w:val="00C610B8"/>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96A"/>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4BA5"/>
    <w:rsid w:val="00CC5A26"/>
    <w:rsid w:val="00CC6B71"/>
    <w:rsid w:val="00CC7ADF"/>
    <w:rsid w:val="00CC7E42"/>
    <w:rsid w:val="00CD0B9C"/>
    <w:rsid w:val="00CD10B0"/>
    <w:rsid w:val="00CD3689"/>
    <w:rsid w:val="00CD42F5"/>
    <w:rsid w:val="00CD4CE9"/>
    <w:rsid w:val="00CD5568"/>
    <w:rsid w:val="00CD572C"/>
    <w:rsid w:val="00CD66FE"/>
    <w:rsid w:val="00CD6764"/>
    <w:rsid w:val="00CD67B1"/>
    <w:rsid w:val="00CD67EA"/>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36A9"/>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529"/>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14F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D12"/>
    <w:rsid w:val="00D91E52"/>
    <w:rsid w:val="00D92562"/>
    <w:rsid w:val="00D929B8"/>
    <w:rsid w:val="00D93B97"/>
    <w:rsid w:val="00D94A23"/>
    <w:rsid w:val="00D94AA3"/>
    <w:rsid w:val="00D954BC"/>
    <w:rsid w:val="00D96166"/>
    <w:rsid w:val="00D961DF"/>
    <w:rsid w:val="00D963D6"/>
    <w:rsid w:val="00D9661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660"/>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888"/>
    <w:rsid w:val="00DE398D"/>
    <w:rsid w:val="00DE3B8F"/>
    <w:rsid w:val="00DE3D86"/>
    <w:rsid w:val="00DE3F4E"/>
    <w:rsid w:val="00DE3FDE"/>
    <w:rsid w:val="00DE64B3"/>
    <w:rsid w:val="00DE64B7"/>
    <w:rsid w:val="00DE6BFB"/>
    <w:rsid w:val="00DE6E4C"/>
    <w:rsid w:val="00DE73B4"/>
    <w:rsid w:val="00DE7EA8"/>
    <w:rsid w:val="00DE7F12"/>
    <w:rsid w:val="00DF0A3E"/>
    <w:rsid w:val="00DF0DF7"/>
    <w:rsid w:val="00DF10A6"/>
    <w:rsid w:val="00DF2269"/>
    <w:rsid w:val="00DF2CA3"/>
    <w:rsid w:val="00DF3729"/>
    <w:rsid w:val="00DF3C8D"/>
    <w:rsid w:val="00DF431D"/>
    <w:rsid w:val="00DF4B08"/>
    <w:rsid w:val="00DF4FD4"/>
    <w:rsid w:val="00DF6DB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2D"/>
    <w:rsid w:val="00E32573"/>
    <w:rsid w:val="00E327D8"/>
    <w:rsid w:val="00E33348"/>
    <w:rsid w:val="00E334BC"/>
    <w:rsid w:val="00E337BB"/>
    <w:rsid w:val="00E33D4C"/>
    <w:rsid w:val="00E34921"/>
    <w:rsid w:val="00E357A2"/>
    <w:rsid w:val="00E35DEA"/>
    <w:rsid w:val="00E36871"/>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998"/>
    <w:rsid w:val="00E71FF4"/>
    <w:rsid w:val="00E72631"/>
    <w:rsid w:val="00E727BE"/>
    <w:rsid w:val="00E728D4"/>
    <w:rsid w:val="00E72B6B"/>
    <w:rsid w:val="00E758C1"/>
    <w:rsid w:val="00E76FC4"/>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579"/>
    <w:rsid w:val="00EC47BF"/>
    <w:rsid w:val="00EC4D6B"/>
    <w:rsid w:val="00EC5DBC"/>
    <w:rsid w:val="00EC6C53"/>
    <w:rsid w:val="00EC7809"/>
    <w:rsid w:val="00EC7AB0"/>
    <w:rsid w:val="00EC7B79"/>
    <w:rsid w:val="00ED0855"/>
    <w:rsid w:val="00ED1F2C"/>
    <w:rsid w:val="00ED21B4"/>
    <w:rsid w:val="00ED274A"/>
    <w:rsid w:val="00ED2993"/>
    <w:rsid w:val="00ED2CA9"/>
    <w:rsid w:val="00ED371D"/>
    <w:rsid w:val="00ED3B7E"/>
    <w:rsid w:val="00ED544F"/>
    <w:rsid w:val="00ED5CE6"/>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37C5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97F00"/>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B7BDA"/>
    <w:rsid w:val="00FC0414"/>
    <w:rsid w:val="00FC0B75"/>
    <w:rsid w:val="00FC1392"/>
    <w:rsid w:val="00FC16E7"/>
    <w:rsid w:val="00FC1C98"/>
    <w:rsid w:val="00FC1F41"/>
    <w:rsid w:val="00FC2566"/>
    <w:rsid w:val="00FC38A1"/>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5C27"/>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17FA"/>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84A53FE0-42EA-4703-A058-33CAFB01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BB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ktor.bakanov@siauliuraj.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EC17-4CB9-4C12-B8D2-8BC73B59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53843</Words>
  <Characters>30691</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PATVIRTINTA</vt:lpstr>
    </vt:vector>
  </TitlesOfParts>
  <Company/>
  <LinksUpToDate>false</LinksUpToDate>
  <CharactersWithSpaces>84366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Viktor</dc:creator>
  <cp:lastModifiedBy>Simona Adomaitienė</cp:lastModifiedBy>
  <cp:revision>10</cp:revision>
  <cp:lastPrinted>2025-11-24T09:02:00Z</cp:lastPrinted>
  <dcterms:created xsi:type="dcterms:W3CDTF">2025-11-20T12:31:00Z</dcterms:created>
  <dcterms:modified xsi:type="dcterms:W3CDTF">2025-11-25T09:29:00Z</dcterms:modified>
</cp:coreProperties>
</file>