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304F801C" w14:textId="77777777" w:rsidR="008D6549" w:rsidRPr="00A044C1" w:rsidRDefault="008D6549" w:rsidP="008D6549">
      <w:pPr>
        <w:pStyle w:val="Sraopastraipa"/>
        <w:numPr>
          <w:ilvl w:val="1"/>
          <w:numId w:val="1"/>
        </w:numPr>
        <w:tabs>
          <w:tab w:val="left" w:pos="1134"/>
        </w:tabs>
        <w:spacing w:after="0"/>
        <w:ind w:left="0" w:firstLine="567"/>
        <w:jc w:val="both"/>
        <w:rPr>
          <w:rFonts w:ascii="Arial" w:hAnsi="Arial" w:cs="Arial"/>
          <w:sz w:val="24"/>
          <w:szCs w:val="24"/>
        </w:rPr>
      </w:pPr>
      <w:r w:rsidRPr="005509E0">
        <w:rPr>
          <w:rFonts w:ascii="Arial" w:eastAsia="Times New Roman" w:hAnsi="Arial" w:cs="Arial"/>
          <w:sz w:val="24"/>
          <w:szCs w:val="24"/>
        </w:rPr>
        <w:t>Atliekamas žaliasis pirkimas vadovaujantis Lietuvos Respublikos aplinkos ministro 2011 m. birželio 28 d. įsakymu Nr. D1-508 patvirtinto Aplinkos apsaugos kriterijų taikymo, vykdant žaliuosius pirkimus, tvarkos aprašo 4.3 papunkčiu.</w:t>
      </w:r>
      <w:r w:rsidRPr="005509E0">
        <w:rPr>
          <w:rFonts w:ascii="Arial" w:eastAsia="Calibri" w:hAnsi="Arial" w:cs="Arial"/>
          <w:sz w:val="24"/>
          <w:szCs w:val="24"/>
          <w:lang w:eastAsia="en-US"/>
        </w:rPr>
        <w:t xml:space="preserve"> </w:t>
      </w:r>
      <w:r w:rsidRPr="005509E0">
        <w:rPr>
          <w:rFonts w:ascii="Arial" w:hAnsi="Arial" w:cs="Arial"/>
          <w:sz w:val="24"/>
          <w:szCs w:val="24"/>
        </w:rPr>
        <w:t>Aplinkos apsaugos kriterijai nustatyti</w:t>
      </w:r>
      <w:r w:rsidRPr="00A044C1">
        <w:rPr>
          <w:rFonts w:ascii="Arial" w:hAnsi="Arial" w:cs="Arial"/>
          <w:sz w:val="24"/>
          <w:szCs w:val="24"/>
        </w:rPr>
        <w:t xml:space="preserve"> specialiųjų</w:t>
      </w:r>
      <w:r>
        <w:rPr>
          <w:rFonts w:ascii="Arial" w:hAnsi="Arial" w:cs="Arial"/>
          <w:sz w:val="24"/>
          <w:szCs w:val="24"/>
        </w:rPr>
        <w:t xml:space="preserve"> pirkimo</w:t>
      </w:r>
      <w:r w:rsidRPr="00A044C1">
        <w:rPr>
          <w:rFonts w:ascii="Arial" w:hAnsi="Arial" w:cs="Arial"/>
          <w:sz w:val="24"/>
          <w:szCs w:val="24"/>
        </w:rPr>
        <w:t xml:space="preserve"> sąlygų 4 priede „Tiekėjų kvalifikacijos reikalavimai ir reikalaujami kokybės bei aplinkos apsaugos vadybos sistemų standartai“ ir specialiųjų</w:t>
      </w:r>
      <w:r>
        <w:rPr>
          <w:rFonts w:ascii="Arial" w:hAnsi="Arial" w:cs="Arial"/>
          <w:sz w:val="24"/>
          <w:szCs w:val="24"/>
        </w:rPr>
        <w:t xml:space="preserve"> pirkimo</w:t>
      </w:r>
      <w:r w:rsidRPr="00A044C1">
        <w:rPr>
          <w:rFonts w:ascii="Arial" w:hAnsi="Arial" w:cs="Arial"/>
          <w:sz w:val="24"/>
          <w:szCs w:val="24"/>
        </w:rPr>
        <w:t xml:space="preserve"> sąlygų 9 priede „Sutarties projektas“</w:t>
      </w:r>
      <w:r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 xml:space="preserve">Tomas Šimašius, Tauragės rajono savivaldybės administracijos Statybos skyriaus vyriausiasis specialistas (savivaldybės vyriausiasis inžinierius), tel. +370 640 15 512, el. p. </w:t>
      </w:r>
      <w:proofErr w:type="spellStart"/>
      <w:r w:rsidRPr="00A044C1">
        <w:rPr>
          <w:rFonts w:ascii="Arial" w:hAnsi="Arial" w:cs="Arial"/>
          <w:color w:val="000000" w:themeColor="text1"/>
          <w:sz w:val="24"/>
          <w:szCs w:val="24"/>
        </w:rPr>
        <w:t>tomas.simasius@taurage.lt</w:t>
      </w:r>
      <w:proofErr w:type="spellEnd"/>
      <w:r w:rsidR="00E41BC3" w:rsidRPr="00A044C1">
        <w:rPr>
          <w:rFonts w:ascii="Arial" w:hAnsi="Arial" w:cs="Arial"/>
          <w:color w:val="000000" w:themeColor="text1"/>
          <w:sz w:val="24"/>
          <w:szCs w:val="24"/>
        </w:rPr>
        <w:t>;</w:t>
      </w:r>
    </w:p>
    <w:p w14:paraId="77F22692" w14:textId="0FD4DDC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viešųjų pirkimų klausimais: Milda Kliunkienė, Tauragės rajono savivaldybės administracijos Viešųjų pirkimų skyriaus vedėja, tel. +370</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644</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 xml:space="preserve">85066, el. p. </w:t>
      </w:r>
      <w:proofErr w:type="spellStart"/>
      <w:r w:rsidRPr="00A044C1">
        <w:rPr>
          <w:rFonts w:ascii="Arial" w:hAnsi="Arial" w:cs="Arial"/>
          <w:color w:val="000000" w:themeColor="text1"/>
          <w:sz w:val="24"/>
          <w:szCs w:val="24"/>
        </w:rPr>
        <w:t>milda.kliunkiene@taurage.lt</w:t>
      </w:r>
      <w:proofErr w:type="spellEnd"/>
      <w:r w:rsidRPr="00A044C1">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3236EA7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2E4233" w:rsidRPr="00A044C1">
        <w:rPr>
          <w:rFonts w:ascii="Arial" w:eastAsia="Calibri" w:hAnsi="Arial" w:cs="Arial"/>
          <w:b/>
          <w:bCs/>
          <w:color w:val="000000" w:themeColor="text1"/>
          <w:sz w:val="24"/>
          <w:szCs w:val="24"/>
        </w:rPr>
        <w:t>kultūros paskirties pastat</w:t>
      </w:r>
      <w:r w:rsidR="001C2216"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esanči</w:t>
      </w:r>
      <w:r w:rsidR="00CA5967"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xml:space="preserve"> Dariaus ir Girėno g. 5,Tauragėje</w:t>
      </w:r>
      <w:r w:rsidR="001C2216" w:rsidRPr="00A044C1">
        <w:rPr>
          <w:rFonts w:ascii="Arial" w:eastAsia="Calibri" w:hAnsi="Arial" w:cs="Arial"/>
          <w:b/>
          <w:bCs/>
          <w:color w:val="000000" w:themeColor="text1"/>
          <w:sz w:val="24"/>
          <w:szCs w:val="24"/>
        </w:rPr>
        <w:t>, dalies</w:t>
      </w:r>
      <w:r w:rsidR="002E4233" w:rsidRPr="00A044C1">
        <w:rPr>
          <w:rFonts w:ascii="Arial" w:eastAsia="Calibri" w:hAnsi="Arial" w:cs="Arial"/>
          <w:b/>
          <w:bCs/>
          <w:color w:val="000000" w:themeColor="text1"/>
          <w:sz w:val="24"/>
          <w:szCs w:val="24"/>
        </w:rPr>
        <w:t xml:space="preserve"> vidaus patalpų apdailos atnaujinimo – paprastojo remonto (su darbo projekto parengimu)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44C081A8" w14:textId="16FC3F4B" w:rsidR="004700A2" w:rsidRPr="0023792E" w:rsidRDefault="001C2216" w:rsidP="00E41BC3">
      <w:pPr>
        <w:pStyle w:val="Sraopastraipa"/>
        <w:numPr>
          <w:ilvl w:val="1"/>
          <w:numId w:val="4"/>
        </w:numPr>
        <w:tabs>
          <w:tab w:val="left" w:pos="993"/>
        </w:tabs>
        <w:spacing w:after="0"/>
        <w:ind w:left="0" w:firstLine="567"/>
        <w:jc w:val="both"/>
        <w:rPr>
          <w:rFonts w:ascii="Arial" w:hAnsi="Arial" w:cs="Arial"/>
          <w:sz w:val="24"/>
          <w:szCs w:val="24"/>
        </w:rPr>
      </w:pPr>
      <w:r w:rsidRPr="0023792E">
        <w:rPr>
          <w:rFonts w:ascii="Arial" w:hAnsi="Arial" w:cs="Arial"/>
          <w:sz w:val="24"/>
          <w:szCs w:val="24"/>
        </w:rPr>
        <w:t xml:space="preserve">Sprendimas dėl pirkimo objekto skaidymo į dalis, kaip nustatyta Viešųjų pirkimų įstatymo 28 straipsnyje: </w:t>
      </w:r>
      <w:r w:rsidR="00427384" w:rsidRPr="0023792E">
        <w:rPr>
          <w:rFonts w:ascii="Arial" w:hAnsi="Arial" w:cs="Arial"/>
          <w:sz w:val="24"/>
          <w:szCs w:val="24"/>
        </w:rPr>
        <w:t>p</w:t>
      </w:r>
      <w:r w:rsidRPr="0023792E">
        <w:rPr>
          <w:rFonts w:ascii="Arial" w:hAnsi="Arial" w:cs="Arial"/>
          <w:sz w:val="24"/>
          <w:szCs w:val="24"/>
        </w:rPr>
        <w:t xml:space="preserve">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w:t>
      </w:r>
      <w:r w:rsidRPr="0023792E">
        <w:rPr>
          <w:rFonts w:ascii="Arial" w:hAnsi="Arial" w:cs="Arial"/>
          <w:sz w:val="24"/>
          <w:szCs w:val="24"/>
        </w:rPr>
        <w:lastRenderedPageBreak/>
        <w:t>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lastRenderedPageBreak/>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 xml:space="preserve">asmens parašu ir vertimų biuro antspaudu (jei turi) patvirtintą </w:t>
      </w:r>
      <w:r w:rsidR="004C6369" w:rsidRPr="00A044C1">
        <w:rPr>
          <w:rFonts w:ascii="Arial" w:hAnsi="Arial" w:cs="Arial"/>
          <w:sz w:val="24"/>
          <w:szCs w:val="24"/>
        </w:rPr>
        <w:lastRenderedPageBreak/>
        <w:t>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A044C1">
        <w:rPr>
          <w:rFonts w:ascii="Arial" w:hAnsi="Arial" w:cs="Arial"/>
          <w:sz w:val="24"/>
          <w:szCs w:val="24"/>
        </w:rPr>
        <w:t>Luminor</w:t>
      </w:r>
      <w:proofErr w:type="spellEnd"/>
      <w:r w:rsidRPr="00A044C1">
        <w:rPr>
          <w:rFonts w:ascii="Arial" w:hAnsi="Arial" w:cs="Arial"/>
          <w:sz w:val="24"/>
          <w:szCs w:val="24"/>
        </w:rPr>
        <w:t xml:space="preserve">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lastRenderedPageBreak/>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8D6549">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 xml:space="preserve">Keičiamos vidaus durys, langai nekeičiami, tik atnaujinamos esamos vidaus palangės. Kapitalinių sienų tinklas neliečiamas. Pastato vidaus sienų tinkas remontuojamas, sienos glaistomos perdažomos, </w:t>
      </w:r>
      <w:proofErr w:type="spellStart"/>
      <w:r w:rsidRPr="00A044C1">
        <w:rPr>
          <w:rFonts w:ascii="Arial" w:eastAsia="Times New Roman" w:hAnsi="Arial" w:cs="Arial"/>
          <w:sz w:val="24"/>
          <w:szCs w:val="24"/>
        </w:rPr>
        <w:t>sanmazge</w:t>
      </w:r>
      <w:proofErr w:type="spellEnd"/>
      <w:r w:rsidRPr="00A044C1">
        <w:rPr>
          <w:rFonts w:ascii="Arial" w:eastAsia="Times New Roman" w:hAnsi="Arial" w:cs="Arial"/>
          <w:sz w:val="24"/>
          <w:szCs w:val="24"/>
        </w:rPr>
        <w:t xml:space="preserv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 xml:space="preserve">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w:t>
      </w:r>
      <w:proofErr w:type="spellStart"/>
      <w:r w:rsidRPr="00A044C1">
        <w:rPr>
          <w:rFonts w:ascii="Arial" w:eastAsia="Times New Roman" w:hAnsi="Arial" w:cs="Arial"/>
          <w:color w:val="000000" w:themeColor="text1"/>
          <w:sz w:val="24"/>
          <w:szCs w:val="24"/>
        </w:rPr>
        <w:t>sanmazgo</w:t>
      </w:r>
      <w:proofErr w:type="spellEnd"/>
      <w:r w:rsidRPr="00A044C1">
        <w:rPr>
          <w:rFonts w:ascii="Arial" w:eastAsia="Times New Roman" w:hAnsi="Arial" w:cs="Arial"/>
          <w:color w:val="000000" w:themeColor="text1"/>
          <w:sz w:val="24"/>
          <w:szCs w:val="24"/>
        </w:rPr>
        <w:t xml:space="preserve">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w:t>
      </w:r>
      <w:proofErr w:type="spellStart"/>
      <w:r w:rsidR="00472C92" w:rsidRPr="00A044C1">
        <w:rPr>
          <w:rFonts w:ascii="Arial" w:eastAsia="Times New Roman" w:hAnsi="Arial" w:cs="Arial"/>
          <w:color w:val="000000" w:themeColor="text1"/>
          <w:sz w:val="24"/>
          <w:szCs w:val="24"/>
          <w:lang w:eastAsia="en-US"/>
        </w:rPr>
        <w:t>Un</w:t>
      </w:r>
      <w:proofErr w:type="spellEnd"/>
      <w:r w:rsidR="00472C92" w:rsidRPr="00A044C1">
        <w:rPr>
          <w:rFonts w:ascii="Arial" w:eastAsia="Times New Roman" w:hAnsi="Arial" w:cs="Arial"/>
          <w:color w:val="000000" w:themeColor="text1"/>
          <w:sz w:val="24"/>
          <w:szCs w:val="24"/>
          <w:lang w:eastAsia="en-US"/>
        </w:rPr>
        <w:t>.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w:t>
      </w:r>
      <w:proofErr w:type="spellStart"/>
      <w:r w:rsidR="00472C92" w:rsidRPr="00A044C1">
        <w:rPr>
          <w:rFonts w:ascii="Arial" w:eastAsia="Times New Roman" w:hAnsi="Arial" w:cs="Arial"/>
          <w:color w:val="000000" w:themeColor="text1"/>
          <w:sz w:val="24"/>
          <w:szCs w:val="24"/>
          <w:lang w:eastAsia="en-US"/>
        </w:rPr>
        <w:t>Un</w:t>
      </w:r>
      <w:proofErr w:type="spellEnd"/>
      <w:r w:rsidR="00472C92" w:rsidRPr="00A044C1">
        <w:rPr>
          <w:rFonts w:ascii="Arial" w:eastAsia="Times New Roman" w:hAnsi="Arial" w:cs="Arial"/>
          <w:color w:val="000000" w:themeColor="text1"/>
          <w:sz w:val="24"/>
          <w:szCs w:val="24"/>
          <w:lang w:eastAsia="en-US"/>
        </w:rPr>
        <w:t>.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4B08D6C5"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lastRenderedPageBreak/>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w:t>
      </w:r>
      <w:proofErr w:type="spellStart"/>
      <w:r w:rsidR="00472C92" w:rsidRPr="00A044C1">
        <w:rPr>
          <w:rFonts w:ascii="Arial" w:eastAsia="Calibri" w:hAnsi="Arial" w:cs="Arial"/>
          <w:color w:val="000000" w:themeColor="text1"/>
          <w:sz w:val="24"/>
          <w:szCs w:val="24"/>
        </w:rPr>
        <w:t>Un</w:t>
      </w:r>
      <w:proofErr w:type="spellEnd"/>
      <w:r w:rsidR="00472C92" w:rsidRPr="00A044C1">
        <w:rPr>
          <w:rFonts w:ascii="Arial" w:eastAsia="Calibri" w:hAnsi="Arial" w:cs="Arial"/>
          <w:color w:val="000000" w:themeColor="text1"/>
          <w:sz w:val="24"/>
          <w:szCs w:val="24"/>
        </w:rPr>
        <w:t>.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proofErr w:type="spellStart"/>
      <w:r w:rsidRPr="00A044C1">
        <w:rPr>
          <w:rFonts w:ascii="Arial" w:eastAsia="Calibri" w:hAnsi="Arial" w:cs="Arial"/>
          <w:color w:val="000000" w:themeColor="text1"/>
          <w:sz w:val="24"/>
          <w:szCs w:val="24"/>
        </w:rPr>
        <w:t>pdf</w:t>
      </w:r>
      <w:proofErr w:type="spellEnd"/>
      <w:r w:rsidRPr="00A044C1">
        <w:rPr>
          <w:rFonts w:ascii="Arial" w:eastAsia="Calibri" w:hAnsi="Arial" w:cs="Arial"/>
          <w:color w:val="000000" w:themeColor="text1"/>
          <w:sz w:val="24"/>
          <w:szCs w:val="24"/>
        </w:rPr>
        <w:t xml:space="preserve">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8D6549">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8D6549">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8D6549">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8D6549">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8D6549">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8D6549">
            <w:pPr>
              <w:spacing w:after="0" w:line="240" w:lineRule="auto"/>
              <w:rPr>
                <w:rFonts w:ascii="Arial" w:eastAsia="Yu Mincho" w:hAnsi="Arial" w:cs="Arial"/>
                <w:sz w:val="22"/>
                <w:szCs w:val="22"/>
                <w:lang w:eastAsia="en-US"/>
              </w:rPr>
            </w:pPr>
          </w:p>
          <w:p w14:paraId="1DCDDEB0"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8D6549">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8D6549">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8D6549">
            <w:pPr>
              <w:spacing w:after="0" w:line="240" w:lineRule="auto"/>
              <w:jc w:val="both"/>
              <w:rPr>
                <w:rFonts w:ascii="Arial" w:eastAsia="Times New Roman" w:hAnsi="Arial" w:cs="Arial"/>
                <w:sz w:val="22"/>
                <w:szCs w:val="22"/>
              </w:rPr>
            </w:pPr>
          </w:p>
          <w:p w14:paraId="4626D6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8D6549">
            <w:pPr>
              <w:spacing w:after="0" w:line="240" w:lineRule="auto"/>
              <w:jc w:val="both"/>
              <w:rPr>
                <w:rFonts w:ascii="Arial" w:eastAsia="Times New Roman" w:hAnsi="Arial" w:cs="Arial"/>
                <w:sz w:val="22"/>
                <w:szCs w:val="22"/>
              </w:rPr>
            </w:pPr>
          </w:p>
          <w:p w14:paraId="2788A07B" w14:textId="77777777" w:rsidR="00F25A9B" w:rsidRPr="00A044C1" w:rsidRDefault="00F25A9B" w:rsidP="008D6549">
            <w:pPr>
              <w:spacing w:after="0" w:line="240" w:lineRule="auto"/>
              <w:jc w:val="both"/>
              <w:rPr>
                <w:rFonts w:ascii="Arial" w:eastAsia="Times New Roman" w:hAnsi="Arial" w:cs="Arial"/>
                <w:strike/>
                <w:sz w:val="22"/>
                <w:szCs w:val="22"/>
              </w:rPr>
            </w:pPr>
          </w:p>
          <w:p w14:paraId="3F816227" w14:textId="77777777" w:rsidR="00F25A9B" w:rsidRPr="00A044C1" w:rsidRDefault="00F25A9B" w:rsidP="008D6549">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8D6549">
            <w:pPr>
              <w:spacing w:after="0" w:line="240" w:lineRule="auto"/>
              <w:jc w:val="both"/>
              <w:rPr>
                <w:rFonts w:ascii="Arial" w:eastAsia="Times New Roman" w:hAnsi="Arial" w:cs="Arial"/>
                <w:sz w:val="22"/>
                <w:szCs w:val="22"/>
              </w:rPr>
            </w:pPr>
          </w:p>
        </w:tc>
      </w:tr>
      <w:tr w:rsidR="00F25A9B" w:rsidRPr="00A044C1" w14:paraId="6D0340BF"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8D6549">
            <w:pPr>
              <w:spacing w:after="0" w:line="240" w:lineRule="auto"/>
              <w:jc w:val="both"/>
              <w:rPr>
                <w:rFonts w:ascii="Arial" w:eastAsia="Times New Roman" w:hAnsi="Arial" w:cs="Arial"/>
                <w:sz w:val="22"/>
                <w:szCs w:val="22"/>
                <w:lang w:eastAsia="en-US"/>
              </w:rPr>
            </w:pPr>
          </w:p>
        </w:tc>
      </w:tr>
      <w:tr w:rsidR="00F25A9B" w:rsidRPr="00A044C1" w14:paraId="58F1ADA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8D6549">
            <w:pPr>
              <w:spacing w:after="0" w:line="240" w:lineRule="auto"/>
              <w:jc w:val="both"/>
              <w:rPr>
                <w:rFonts w:ascii="Arial" w:eastAsia="Arial" w:hAnsi="Arial" w:cs="Arial"/>
                <w:sz w:val="22"/>
                <w:szCs w:val="22"/>
              </w:rPr>
            </w:pPr>
          </w:p>
          <w:p w14:paraId="7DC6D9CC"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8D6549">
            <w:pPr>
              <w:spacing w:after="0" w:line="240" w:lineRule="auto"/>
              <w:jc w:val="both"/>
              <w:rPr>
                <w:rFonts w:ascii="Arial" w:eastAsia="Times New Roman" w:hAnsi="Arial" w:cs="Arial"/>
                <w:sz w:val="22"/>
                <w:szCs w:val="22"/>
              </w:rPr>
            </w:pPr>
          </w:p>
          <w:p w14:paraId="77FAEE4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8D6549">
            <w:pPr>
              <w:spacing w:after="0" w:line="240" w:lineRule="auto"/>
              <w:jc w:val="both"/>
              <w:rPr>
                <w:rFonts w:ascii="Arial" w:eastAsia="Times New Roman" w:hAnsi="Arial" w:cs="Arial"/>
                <w:sz w:val="22"/>
                <w:szCs w:val="22"/>
              </w:rPr>
            </w:pPr>
          </w:p>
          <w:p w14:paraId="0FA156E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8D6549">
            <w:pPr>
              <w:spacing w:after="0" w:line="240" w:lineRule="auto"/>
              <w:jc w:val="both"/>
              <w:rPr>
                <w:rFonts w:ascii="Arial" w:eastAsia="Times New Roman" w:hAnsi="Arial" w:cs="Arial"/>
                <w:sz w:val="22"/>
                <w:szCs w:val="22"/>
              </w:rPr>
            </w:pPr>
          </w:p>
          <w:p w14:paraId="61469B9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8D6549">
            <w:pPr>
              <w:spacing w:after="0" w:line="240" w:lineRule="auto"/>
              <w:jc w:val="both"/>
              <w:rPr>
                <w:rFonts w:ascii="Arial" w:eastAsia="Times New Roman" w:hAnsi="Arial" w:cs="Arial"/>
                <w:sz w:val="22"/>
                <w:szCs w:val="22"/>
              </w:rPr>
            </w:pPr>
          </w:p>
          <w:p w14:paraId="5EFA5A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8D6549">
            <w:pPr>
              <w:spacing w:after="0" w:line="240" w:lineRule="auto"/>
              <w:jc w:val="both"/>
              <w:rPr>
                <w:rFonts w:ascii="Arial" w:eastAsia="Times New Roman" w:hAnsi="Arial" w:cs="Arial"/>
                <w:sz w:val="22"/>
                <w:szCs w:val="22"/>
              </w:rPr>
            </w:pPr>
          </w:p>
          <w:p w14:paraId="6930372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8D6549">
            <w:pPr>
              <w:spacing w:after="0" w:line="240" w:lineRule="auto"/>
              <w:jc w:val="both"/>
              <w:rPr>
                <w:rFonts w:ascii="Arial" w:eastAsia="Times New Roman" w:hAnsi="Arial" w:cs="Arial"/>
                <w:sz w:val="22"/>
                <w:szCs w:val="22"/>
              </w:rPr>
            </w:pPr>
          </w:p>
          <w:p w14:paraId="0053BE8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8D6549">
            <w:pPr>
              <w:spacing w:after="0" w:line="240" w:lineRule="auto"/>
              <w:jc w:val="both"/>
              <w:rPr>
                <w:rFonts w:ascii="Arial" w:eastAsia="Times New Roman" w:hAnsi="Arial" w:cs="Arial"/>
                <w:sz w:val="22"/>
                <w:szCs w:val="22"/>
              </w:rPr>
            </w:pPr>
          </w:p>
          <w:p w14:paraId="27396E2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8D6549">
            <w:pPr>
              <w:spacing w:after="0" w:line="240" w:lineRule="auto"/>
              <w:jc w:val="both"/>
              <w:rPr>
                <w:rFonts w:ascii="Arial" w:eastAsia="Times New Roman" w:hAnsi="Arial" w:cs="Arial"/>
                <w:sz w:val="22"/>
                <w:szCs w:val="22"/>
              </w:rPr>
            </w:pPr>
          </w:p>
          <w:p w14:paraId="10039AE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8D6549">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8D6549">
            <w:pPr>
              <w:spacing w:after="0" w:line="240" w:lineRule="auto"/>
              <w:jc w:val="both"/>
              <w:rPr>
                <w:rFonts w:ascii="Arial" w:eastAsia="Times New Roman" w:hAnsi="Arial" w:cs="Arial"/>
                <w:sz w:val="22"/>
                <w:szCs w:val="22"/>
              </w:rPr>
            </w:pPr>
          </w:p>
          <w:p w14:paraId="1885415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8D6549">
            <w:pPr>
              <w:spacing w:after="0" w:line="240" w:lineRule="auto"/>
              <w:jc w:val="both"/>
              <w:rPr>
                <w:rFonts w:ascii="Arial" w:eastAsia="Times New Roman" w:hAnsi="Arial" w:cs="Arial"/>
                <w:sz w:val="22"/>
                <w:szCs w:val="22"/>
              </w:rPr>
            </w:pPr>
          </w:p>
          <w:p w14:paraId="75DB539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8D6549">
            <w:pPr>
              <w:spacing w:after="0" w:line="240" w:lineRule="auto"/>
              <w:jc w:val="both"/>
              <w:rPr>
                <w:rFonts w:ascii="Arial" w:eastAsia="Times New Roman" w:hAnsi="Arial" w:cs="Arial"/>
                <w:sz w:val="22"/>
                <w:szCs w:val="22"/>
              </w:rPr>
            </w:pPr>
          </w:p>
          <w:p w14:paraId="297A930C"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8D6549">
            <w:pPr>
              <w:spacing w:after="0" w:line="240" w:lineRule="auto"/>
              <w:jc w:val="both"/>
              <w:rPr>
                <w:rFonts w:ascii="Arial" w:eastAsia="Yu Mincho" w:hAnsi="Arial" w:cs="Arial"/>
                <w:sz w:val="22"/>
                <w:szCs w:val="22"/>
              </w:rPr>
            </w:pPr>
          </w:p>
          <w:p w14:paraId="332DC415"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8D6549">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199EADEB"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8D6549">
            <w:pPr>
              <w:spacing w:after="0" w:line="240" w:lineRule="auto"/>
              <w:jc w:val="both"/>
              <w:rPr>
                <w:rFonts w:ascii="Arial" w:eastAsia="Yu Mincho" w:hAnsi="Arial" w:cs="Arial"/>
                <w:sz w:val="22"/>
                <w:szCs w:val="22"/>
              </w:rPr>
            </w:pPr>
          </w:p>
          <w:p w14:paraId="36F30C21"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8D6549">
            <w:pPr>
              <w:spacing w:after="0" w:line="240" w:lineRule="auto"/>
              <w:rPr>
                <w:rFonts w:ascii="Arial" w:eastAsia="Yu Mincho" w:hAnsi="Arial" w:cs="Arial"/>
                <w:sz w:val="22"/>
                <w:szCs w:val="22"/>
              </w:rPr>
            </w:pPr>
          </w:p>
          <w:p w14:paraId="0CCB2AC8"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3083F2E1"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8D6549">
            <w:pPr>
              <w:spacing w:after="0" w:line="240" w:lineRule="auto"/>
              <w:rPr>
                <w:rFonts w:ascii="Arial" w:eastAsia="Yu Mincho" w:hAnsi="Arial" w:cs="Arial"/>
                <w:sz w:val="22"/>
                <w:szCs w:val="22"/>
              </w:rPr>
            </w:pPr>
          </w:p>
          <w:p w14:paraId="35A01D0C"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8D6549">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8D6549">
            <w:pPr>
              <w:spacing w:after="0" w:line="240" w:lineRule="auto"/>
              <w:rPr>
                <w:rFonts w:ascii="Arial" w:eastAsia="Times New Roman" w:hAnsi="Arial" w:cs="Arial"/>
                <w:sz w:val="22"/>
                <w:szCs w:val="22"/>
              </w:rPr>
            </w:pPr>
          </w:p>
          <w:p w14:paraId="6CD48875" w14:textId="77777777" w:rsidR="00F25A9B" w:rsidRPr="00A044C1" w:rsidRDefault="00F25A9B" w:rsidP="008D6549">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8D6549">
            <w:pPr>
              <w:spacing w:after="0" w:line="240" w:lineRule="auto"/>
              <w:jc w:val="both"/>
              <w:rPr>
                <w:rFonts w:ascii="Arial" w:eastAsia="Yu Mincho" w:hAnsi="Arial" w:cs="Arial"/>
                <w:sz w:val="22"/>
                <w:szCs w:val="22"/>
              </w:rPr>
            </w:pPr>
          </w:p>
          <w:p w14:paraId="6FE52CB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8D6549">
            <w:pPr>
              <w:spacing w:after="0" w:line="240" w:lineRule="auto"/>
              <w:jc w:val="both"/>
              <w:rPr>
                <w:rFonts w:ascii="Arial" w:eastAsia="Yu Mincho" w:hAnsi="Arial" w:cs="Arial"/>
                <w:sz w:val="22"/>
                <w:szCs w:val="22"/>
              </w:rPr>
            </w:pPr>
          </w:p>
          <w:p w14:paraId="7BB8C7FF"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8D6549">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8D6549">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8D6549">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8D6549">
            <w:pPr>
              <w:spacing w:after="0" w:line="240" w:lineRule="auto"/>
              <w:jc w:val="both"/>
              <w:rPr>
                <w:rFonts w:ascii="Arial" w:eastAsia="Times New Roman" w:hAnsi="Arial" w:cs="Arial"/>
                <w:color w:val="000000"/>
                <w:sz w:val="22"/>
                <w:szCs w:val="22"/>
              </w:rPr>
            </w:pPr>
          </w:p>
        </w:tc>
      </w:tr>
      <w:tr w:rsidR="00F25A9B" w:rsidRPr="00A044C1" w14:paraId="32FC3BAD"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8D6549">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8D6549">
            <w:pPr>
              <w:spacing w:after="0" w:line="240" w:lineRule="auto"/>
              <w:jc w:val="both"/>
              <w:rPr>
                <w:rFonts w:ascii="Arial" w:eastAsia="Yu Mincho" w:hAnsi="Arial" w:cs="Arial"/>
                <w:sz w:val="22"/>
                <w:szCs w:val="22"/>
              </w:rPr>
            </w:pPr>
          </w:p>
          <w:p w14:paraId="0EDE52C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8D6549">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8D6549">
            <w:pPr>
              <w:spacing w:after="0" w:line="240" w:lineRule="auto"/>
              <w:rPr>
                <w:rFonts w:ascii="Arial" w:eastAsia="Yu Mincho" w:hAnsi="Arial" w:cs="Arial"/>
                <w:sz w:val="22"/>
                <w:szCs w:val="22"/>
              </w:rPr>
            </w:pPr>
          </w:p>
          <w:p w14:paraId="41C8B1DD"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8D6549">
            <w:pPr>
              <w:spacing w:after="0" w:line="240" w:lineRule="auto"/>
              <w:rPr>
                <w:rFonts w:ascii="Arial" w:eastAsia="Yu Mincho" w:hAnsi="Arial" w:cs="Arial"/>
                <w:sz w:val="22"/>
                <w:szCs w:val="22"/>
              </w:rPr>
            </w:pPr>
          </w:p>
          <w:p w14:paraId="16478A0B"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8D6549">
            <w:pPr>
              <w:spacing w:after="0" w:line="240" w:lineRule="auto"/>
              <w:jc w:val="both"/>
              <w:rPr>
                <w:rFonts w:ascii="Arial" w:eastAsia="Times New Roman" w:hAnsi="Arial" w:cs="Arial"/>
                <w:sz w:val="22"/>
                <w:szCs w:val="22"/>
              </w:rPr>
            </w:pPr>
          </w:p>
          <w:p w14:paraId="0C8659A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8D6549">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D6549">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8D6549">
            <w:pPr>
              <w:spacing w:after="0" w:line="240" w:lineRule="auto"/>
              <w:jc w:val="both"/>
              <w:rPr>
                <w:rFonts w:ascii="Arial" w:eastAsia="Yu Mincho" w:hAnsi="Arial" w:cs="Arial"/>
                <w:sz w:val="22"/>
                <w:szCs w:val="22"/>
              </w:rPr>
            </w:pPr>
          </w:p>
          <w:p w14:paraId="189EC117"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8D6549">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8D6549">
            <w:pPr>
              <w:spacing w:after="0" w:line="240" w:lineRule="auto"/>
              <w:jc w:val="both"/>
              <w:rPr>
                <w:rFonts w:ascii="Arial" w:eastAsia="Times New Roman" w:hAnsi="Arial" w:cs="Arial"/>
                <w:sz w:val="22"/>
                <w:szCs w:val="22"/>
              </w:rPr>
            </w:pPr>
          </w:p>
          <w:p w14:paraId="23F34B7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8D6549">
            <w:pPr>
              <w:spacing w:after="0" w:line="240" w:lineRule="auto"/>
              <w:jc w:val="both"/>
              <w:rPr>
                <w:rFonts w:ascii="Arial" w:eastAsia="Times New Roman" w:hAnsi="Arial" w:cs="Arial"/>
                <w:sz w:val="22"/>
                <w:szCs w:val="22"/>
              </w:rPr>
            </w:pPr>
          </w:p>
          <w:p w14:paraId="7C4782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8D6549">
            <w:pPr>
              <w:spacing w:after="0" w:line="240" w:lineRule="auto"/>
              <w:jc w:val="both"/>
              <w:rPr>
                <w:rFonts w:ascii="Arial" w:eastAsia="Times New Roman" w:hAnsi="Arial" w:cs="Arial"/>
                <w:sz w:val="22"/>
                <w:szCs w:val="22"/>
              </w:rPr>
            </w:pPr>
          </w:p>
          <w:p w14:paraId="3B634732"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8D6549">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8D6549">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8D6549">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BC01EE" w:rsidRPr="00A044C1" w14:paraId="22E0E93C" w14:textId="77777777" w:rsidTr="008D6549">
        <w:tc>
          <w:tcPr>
            <w:tcW w:w="846" w:type="dxa"/>
            <w:tcBorders>
              <w:top w:val="single" w:sz="4" w:space="0" w:color="auto"/>
              <w:left w:val="single" w:sz="4" w:space="0" w:color="auto"/>
              <w:bottom w:val="single" w:sz="4" w:space="0" w:color="auto"/>
              <w:right w:val="single" w:sz="4" w:space="0" w:color="auto"/>
            </w:tcBorders>
          </w:tcPr>
          <w:p w14:paraId="585BC224" w14:textId="77777777" w:rsidR="00BC01EE" w:rsidRPr="00A044C1" w:rsidRDefault="00BC01EE" w:rsidP="00BC01E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0D31B168"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Pr="00A044C1">
              <w:rPr>
                <w:rFonts w:ascii="Arial" w:hAnsi="Arial" w:cs="Arial"/>
                <w:i/>
                <w:iCs/>
                <w:sz w:val="24"/>
                <w:szCs w:val="24"/>
              </w:rPr>
              <w:t xml:space="preserve">kultūros paskirties </w:t>
            </w:r>
            <w:r w:rsidRPr="00A044C1">
              <w:rPr>
                <w:rFonts w:ascii="Arial" w:hAnsi="Arial" w:cs="Arial"/>
                <w:sz w:val="24"/>
                <w:szCs w:val="24"/>
              </w:rPr>
              <w:t>pastatų pogrupyje (pastatai, esantys kultūros paveldo objekto teritorijoje, jo apsaugos zonoje ir kultūros paveldo vietovėje),  vadovaujantis Lietuvos Respublikos statybos įstatymo 18 straipsnio 6 dalimi.</w:t>
            </w:r>
          </w:p>
          <w:p w14:paraId="466F9343"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417138D2" w14:textId="77777777" w:rsidR="00BC01EE" w:rsidRPr="00A044C1" w:rsidRDefault="00BC01EE" w:rsidP="00BC01E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2F9DB512" w14:textId="77777777" w:rsidR="00BC01EE" w:rsidRPr="00A044C1" w:rsidRDefault="00BC01EE" w:rsidP="00BC01E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Pr>
                <w:rFonts w:ascii="Arial" w:hAnsi="Arial" w:cs="Arial"/>
                <w:sz w:val="24"/>
                <w:szCs w:val="24"/>
              </w:rPr>
              <w:t xml:space="preserve"> (</w:t>
            </w:r>
            <w:r w:rsidRPr="000E5F26">
              <w:rPr>
                <w:rFonts w:ascii="Arial" w:hAnsi="Arial" w:cs="Arial"/>
                <w:sz w:val="24"/>
                <w:szCs w:val="24"/>
              </w:rPr>
              <w:t>išskyrus</w:t>
            </w:r>
            <w:r>
              <w:rPr>
                <w:rFonts w:ascii="Arial" w:hAnsi="Arial" w:cs="Arial"/>
                <w:sz w:val="24"/>
                <w:szCs w:val="24"/>
              </w:rPr>
              <w:t xml:space="preserve"> </w:t>
            </w:r>
            <w:r w:rsidRPr="000E5F26">
              <w:rPr>
                <w:rFonts w:ascii="Arial" w:hAnsi="Arial" w:cs="Arial"/>
                <w:sz w:val="24"/>
                <w:szCs w:val="24"/>
              </w:rPr>
              <w:t>apmušalų klijavim</w:t>
            </w:r>
            <w:r>
              <w:rPr>
                <w:rFonts w:ascii="Arial" w:hAnsi="Arial" w:cs="Arial"/>
                <w:sz w:val="24"/>
                <w:szCs w:val="24"/>
              </w:rPr>
              <w:t>ą</w:t>
            </w:r>
            <w:r w:rsidRPr="000E5F26">
              <w:rPr>
                <w:rFonts w:ascii="Arial" w:hAnsi="Arial" w:cs="Arial"/>
                <w:sz w:val="24"/>
                <w:szCs w:val="24"/>
              </w:rPr>
              <w:t>, fasadų, pertvarų įrengim</w:t>
            </w:r>
            <w:r>
              <w:rPr>
                <w:rFonts w:ascii="Arial" w:hAnsi="Arial" w:cs="Arial"/>
                <w:sz w:val="24"/>
                <w:szCs w:val="24"/>
              </w:rPr>
              <w:t>ą</w:t>
            </w:r>
            <w:r w:rsidRPr="000E5F26">
              <w:rPr>
                <w:rFonts w:ascii="Arial" w:hAnsi="Arial" w:cs="Arial"/>
                <w:sz w:val="24"/>
                <w:szCs w:val="24"/>
              </w:rPr>
              <w:t xml:space="preserve"> iš plokščių)</w:t>
            </w:r>
            <w:r>
              <w:rPr>
                <w:rFonts w:ascii="Arial" w:hAnsi="Arial" w:cs="Arial"/>
                <w:sz w:val="24"/>
                <w:szCs w:val="24"/>
              </w:rPr>
              <w:t>.</w:t>
            </w:r>
          </w:p>
          <w:p w14:paraId="503832C7" w14:textId="77777777" w:rsidR="00BC01EE" w:rsidRPr="00A044C1" w:rsidRDefault="00BC01EE" w:rsidP="00BC01EE">
            <w:pPr>
              <w:tabs>
                <w:tab w:val="left" w:pos="796"/>
              </w:tabs>
              <w:jc w:val="both"/>
              <w:rPr>
                <w:rFonts w:ascii="Arial" w:hAnsi="Arial" w:cs="Arial"/>
                <w:sz w:val="24"/>
                <w:szCs w:val="24"/>
              </w:rPr>
            </w:pPr>
          </w:p>
          <w:p w14:paraId="1700E1D3"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17E413DA"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w:t>
            </w:r>
            <w:proofErr w:type="spellStart"/>
            <w:r w:rsidRPr="00A044C1">
              <w:rPr>
                <w:rFonts w:ascii="Arial" w:hAnsi="Arial" w:cs="Arial"/>
                <w:sz w:val="24"/>
                <w:szCs w:val="24"/>
              </w:rPr>
              <w:t>iai</w:t>
            </w:r>
            <w:proofErr w:type="spellEnd"/>
            <w:r w:rsidRPr="00A044C1">
              <w:rPr>
                <w:rFonts w:ascii="Arial" w:hAnsi="Arial" w:cs="Arial"/>
                <w:sz w:val="24"/>
                <w:szCs w:val="24"/>
              </w:rPr>
              <w:t>), pagal jų prisiimamus įsipareigojimus pirkimo sutarčiai vykdyti;</w:t>
            </w:r>
          </w:p>
          <w:p w14:paraId="23DA4E84" w14:textId="77777777" w:rsidR="00BC01EE" w:rsidRPr="00A044C1" w:rsidRDefault="00BC01EE" w:rsidP="00BC01EE">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0902D9E6" w:rsidR="00BC01EE" w:rsidRPr="00A044C1" w:rsidRDefault="00BC01EE" w:rsidP="00BC01EE">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BC01EE" w:rsidRPr="00A044C1" w:rsidRDefault="00BC01EE" w:rsidP="00BC01EE">
            <w:pPr>
              <w:ind w:firstLine="445"/>
              <w:jc w:val="both"/>
              <w:rPr>
                <w:rFonts w:ascii="Arial" w:hAnsi="Arial" w:cs="Arial"/>
                <w:bCs/>
                <w:iCs/>
                <w:sz w:val="24"/>
                <w:szCs w:val="24"/>
                <w:lang w:eastAsia="en-US"/>
              </w:rPr>
            </w:pPr>
          </w:p>
          <w:p w14:paraId="41E7D36A"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BC01EE" w:rsidRPr="00A044C1" w:rsidRDefault="00BC01EE" w:rsidP="00BC01EE">
            <w:pPr>
              <w:ind w:firstLine="445"/>
              <w:jc w:val="both"/>
              <w:rPr>
                <w:rFonts w:ascii="Arial" w:hAnsi="Arial" w:cs="Arial"/>
                <w:bCs/>
                <w:iCs/>
                <w:sz w:val="24"/>
                <w:szCs w:val="24"/>
                <w:lang w:eastAsia="en-US"/>
              </w:rPr>
            </w:pPr>
          </w:p>
          <w:p w14:paraId="0275EA6A" w14:textId="77777777" w:rsidR="00BC01EE"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28E2CCD" w14:textId="77777777" w:rsidR="00BC01EE" w:rsidRDefault="00BC01EE" w:rsidP="00BC01EE">
            <w:pPr>
              <w:ind w:firstLine="445"/>
              <w:jc w:val="both"/>
              <w:rPr>
                <w:rFonts w:ascii="Arial" w:hAnsi="Arial" w:cs="Arial"/>
                <w:bCs/>
                <w:iCs/>
                <w:sz w:val="24"/>
                <w:szCs w:val="24"/>
                <w:lang w:eastAsia="en-US"/>
              </w:rPr>
            </w:pPr>
          </w:p>
          <w:p w14:paraId="279F75C2" w14:textId="77777777" w:rsidR="008D508D" w:rsidRPr="008D508D" w:rsidRDefault="008D508D" w:rsidP="008D508D">
            <w:pPr>
              <w:spacing w:line="276" w:lineRule="auto"/>
              <w:jc w:val="both"/>
              <w:rPr>
                <w:rFonts w:ascii="Arial" w:hAnsi="Arial" w:cs="Arial"/>
                <w:bCs/>
                <w:iCs/>
                <w:sz w:val="24"/>
                <w:szCs w:val="24"/>
              </w:rPr>
            </w:pPr>
            <w:r w:rsidRPr="008D508D">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3C4AF68A" w14:textId="62C0AE6F" w:rsidR="00BC01EE" w:rsidRPr="00A044C1" w:rsidRDefault="008D508D" w:rsidP="008D508D">
            <w:pPr>
              <w:spacing w:line="276" w:lineRule="auto"/>
              <w:jc w:val="both"/>
              <w:rPr>
                <w:rFonts w:ascii="Arial" w:hAnsi="Arial" w:cs="Arial"/>
                <w:bCs/>
                <w:iCs/>
                <w:sz w:val="24"/>
                <w:szCs w:val="24"/>
                <w:lang w:eastAsia="en-US"/>
              </w:rPr>
            </w:pPr>
            <w:r w:rsidRPr="008D508D">
              <w:rPr>
                <w:rFonts w:ascii="Arial" w:hAnsi="Arial" w:cs="Arial"/>
                <w:bCs/>
                <w:iCs/>
                <w:sz w:val="24"/>
                <w:szCs w:val="24"/>
              </w:rPr>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r>
      <w:tr w:rsidR="00BC01EE" w:rsidRPr="00A044C1" w14:paraId="70F1608E"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BC01EE" w:rsidRPr="00A044C1" w:rsidRDefault="00BC01EE" w:rsidP="00BC01EE">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BC01EE" w:rsidRPr="00A044C1" w14:paraId="15D42256" w14:textId="77777777" w:rsidTr="008D6549">
        <w:tc>
          <w:tcPr>
            <w:tcW w:w="846" w:type="dxa"/>
            <w:tcBorders>
              <w:top w:val="single" w:sz="4" w:space="0" w:color="auto"/>
              <w:left w:val="single" w:sz="4" w:space="0" w:color="auto"/>
              <w:bottom w:val="single" w:sz="4" w:space="0" w:color="auto"/>
              <w:right w:val="single" w:sz="4" w:space="0" w:color="auto"/>
            </w:tcBorders>
          </w:tcPr>
          <w:p w14:paraId="6E05BBD3" w14:textId="77777777" w:rsidR="00BC01EE" w:rsidRPr="00A044C1" w:rsidRDefault="00BC01EE" w:rsidP="00BC01E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BC01EE" w:rsidRPr="00A044C1" w:rsidRDefault="00BC01EE" w:rsidP="00BC01E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Pr="00A044C1">
              <w:rPr>
                <w:rFonts w:ascii="Arial" w:hAnsi="Arial" w:cs="Arial"/>
                <w:i/>
                <w:iCs/>
                <w:sz w:val="24"/>
                <w:szCs w:val="24"/>
                <w:lang w:eastAsia="en-US"/>
              </w:rPr>
              <w:t>kultūros paskirties pastatų</w:t>
            </w:r>
            <w:r w:rsidRPr="00A044C1">
              <w:rPr>
                <w:rFonts w:ascii="Arial" w:hAnsi="Arial" w:cs="Arial"/>
                <w:sz w:val="24"/>
                <w:szCs w:val="24"/>
                <w:lang w:eastAsia="en-US"/>
              </w:rPr>
              <w:t xml:space="preserve">, esančių </w:t>
            </w:r>
            <w:r w:rsidRPr="00A044C1">
              <w:rPr>
                <w:rFonts w:ascii="Arial" w:hAnsi="Arial" w:cs="Arial"/>
                <w:i/>
                <w:iCs/>
                <w:sz w:val="24"/>
                <w:szCs w:val="24"/>
                <w:lang w:eastAsia="en-US"/>
              </w:rPr>
              <w:t>kultūros paveldo</w:t>
            </w:r>
            <w:r w:rsidRPr="00A044C1">
              <w:rPr>
                <w:rFonts w:ascii="Arial" w:hAnsi="Arial" w:cs="Arial"/>
                <w:sz w:val="24"/>
                <w:szCs w:val="24"/>
                <w:lang w:eastAsia="en-US"/>
              </w:rPr>
              <w:t xml:space="preserve"> objekto teritorijoje, jo apsaugos zonoje ir kultūros paveldo vietovėje,  pogrupyje;</w:t>
            </w:r>
          </w:p>
          <w:p w14:paraId="1C045343" w14:textId="0E598C69" w:rsidR="00BC01EE" w:rsidRPr="00A044C1" w:rsidRDefault="00BC01EE" w:rsidP="00BC01E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Pr="00A044C1">
              <w:rPr>
                <w:rFonts w:ascii="Arial" w:hAnsi="Arial" w:cs="Arial"/>
                <w:i/>
                <w:iCs/>
                <w:sz w:val="24"/>
                <w:szCs w:val="24"/>
                <w:lang w:eastAsia="en-US"/>
              </w:rPr>
              <w:t>kultūros paskirties</w:t>
            </w:r>
            <w:r w:rsidRPr="00A044C1">
              <w:rPr>
                <w:rFonts w:ascii="Arial" w:hAnsi="Arial" w:cs="Arial"/>
                <w:sz w:val="24"/>
                <w:szCs w:val="24"/>
                <w:lang w:eastAsia="en-US"/>
              </w:rPr>
              <w:t xml:space="preserve"> pastatų, esančių </w:t>
            </w:r>
            <w:r w:rsidRPr="00A044C1">
              <w:rPr>
                <w:rFonts w:ascii="Arial" w:hAnsi="Arial" w:cs="Arial"/>
                <w:i/>
                <w:iCs/>
                <w:sz w:val="24"/>
                <w:szCs w:val="24"/>
                <w:lang w:eastAsia="en-US"/>
              </w:rPr>
              <w:t>kultūros paveldo</w:t>
            </w:r>
            <w:r w:rsidRPr="00A044C1">
              <w:rPr>
                <w:rFonts w:ascii="Arial" w:hAnsi="Arial" w:cs="Arial"/>
                <w:sz w:val="24"/>
                <w:szCs w:val="24"/>
                <w:lang w:eastAsia="en-US"/>
              </w:rPr>
              <w:t xml:space="preserve"> objekto </w:t>
            </w:r>
            <w:r w:rsidRPr="00A044C1">
              <w:rPr>
                <w:rFonts w:ascii="Arial" w:hAnsi="Arial" w:cs="Arial"/>
                <w:sz w:val="24"/>
                <w:szCs w:val="24"/>
                <w:lang w:eastAsia="en-US"/>
              </w:rPr>
              <w:lastRenderedPageBreak/>
              <w:t>teritorijoje, jo apsaugos zonoje ir kultūros paveldo vietovėje,  pogrupyje;</w:t>
            </w:r>
          </w:p>
          <w:p w14:paraId="5B6BB72E" w14:textId="77777777" w:rsidR="00BC01EE" w:rsidRPr="00A044C1" w:rsidRDefault="00BC01EE" w:rsidP="00BC01EE">
            <w:pPr>
              <w:tabs>
                <w:tab w:val="left" w:pos="408"/>
                <w:tab w:val="left" w:pos="811"/>
                <w:tab w:val="left" w:pos="1560"/>
              </w:tabs>
              <w:jc w:val="both"/>
              <w:rPr>
                <w:rFonts w:ascii="Arial" w:hAnsi="Arial" w:cs="Arial"/>
                <w:sz w:val="24"/>
                <w:szCs w:val="24"/>
                <w:lang w:eastAsia="en-US"/>
              </w:rPr>
            </w:pPr>
          </w:p>
          <w:p w14:paraId="0C95101C"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w:t>
            </w:r>
            <w:proofErr w:type="spellStart"/>
            <w:r w:rsidRPr="00A044C1">
              <w:rPr>
                <w:rFonts w:ascii="Arial" w:hAnsi="Arial" w:cs="Arial"/>
                <w:sz w:val="24"/>
                <w:szCs w:val="24"/>
                <w:lang w:eastAsia="en-US"/>
              </w:rPr>
              <w:t>ių</w:t>
            </w:r>
            <w:proofErr w:type="spellEnd"/>
            <w:r w:rsidRPr="00A044C1">
              <w:rPr>
                <w:rFonts w:ascii="Arial" w:hAnsi="Arial" w:cs="Arial"/>
                <w:sz w:val="24"/>
                <w:szCs w:val="24"/>
                <w:lang w:eastAsia="en-US"/>
              </w:rPr>
              <w:t>) specialistai, atsižvelgiant į jų prisiimamus įsipareigojimus pirkimo sutarčiai vykdyti;</w:t>
            </w:r>
          </w:p>
          <w:p w14:paraId="4F5CFBC5"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3D3399A5"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BC01EE" w:rsidRPr="00A044C1" w:rsidRDefault="00BC01EE" w:rsidP="00BC01EE">
            <w:pPr>
              <w:tabs>
                <w:tab w:val="left" w:pos="408"/>
                <w:tab w:val="left" w:pos="1560"/>
              </w:tabs>
              <w:jc w:val="both"/>
              <w:rPr>
                <w:rFonts w:ascii="Arial" w:hAnsi="Arial" w:cs="Arial"/>
                <w:sz w:val="24"/>
                <w:szCs w:val="24"/>
                <w:lang w:eastAsia="en-US"/>
              </w:rPr>
            </w:pPr>
          </w:p>
          <w:p w14:paraId="584C3021"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p>
          <w:p w14:paraId="6F8CC94A"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A044C1">
              <w:rPr>
                <w:rFonts w:ascii="Arial" w:hAnsi="Arial" w:cs="Arial"/>
                <w:sz w:val="24"/>
                <w:szCs w:val="24"/>
                <w:lang w:eastAsia="en-US"/>
              </w:rPr>
              <w:t>Kvazisubtiekėjas</w:t>
            </w:r>
            <w:proofErr w:type="spellEnd"/>
            <w:r w:rsidRPr="00A044C1">
              <w:rPr>
                <w:rFonts w:ascii="Arial" w:hAnsi="Arial" w:cs="Arial"/>
                <w:sz w:val="24"/>
                <w:szCs w:val="24"/>
                <w:lang w:eastAsia="en-US"/>
              </w:rPr>
              <w:t xml:space="preserve"> (laimėjimo atveju specialistas bus įdarbintas į (nurodyti pavadinimą) / Nėra įdarbintas tiekėjo ar subtiekėjo ir laimėjus pirkimą bus pasitelkiamas ne darbo </w:t>
            </w:r>
            <w:r w:rsidRPr="00A044C1">
              <w:rPr>
                <w:rFonts w:ascii="Arial" w:hAnsi="Arial" w:cs="Arial"/>
                <w:sz w:val="24"/>
                <w:szCs w:val="24"/>
                <w:lang w:eastAsia="en-US"/>
              </w:rPr>
              <w:lastRenderedPageBreak/>
              <w:t>santykių pagrindais, t. y. nebus įdarbintas pagal darbo sutartį ir VPĮ prasme bus laikomas subtiekėju);</w:t>
            </w:r>
          </w:p>
          <w:p w14:paraId="3E0395C2"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p>
          <w:p w14:paraId="2320FB48" w14:textId="77777777" w:rsidR="00BC01EE" w:rsidRPr="00A044C1" w:rsidRDefault="00BC01EE" w:rsidP="00BC01E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t xml:space="preserve">Turimą </w:t>
            </w:r>
            <w:r w:rsidRPr="00A044C1">
              <w:rPr>
                <w:rFonts w:ascii="Arial" w:hAnsi="Arial" w:cs="Arial"/>
                <w:bCs/>
                <w:i/>
                <w:iCs/>
                <w:sz w:val="24"/>
                <w:szCs w:val="24"/>
              </w:rPr>
              <w:t>kvalifikaciją patvirtinantys dokumentai:</w:t>
            </w:r>
          </w:p>
          <w:p w14:paraId="4354BA7E"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115F204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Perkančioji organizacija informaciją apie Lietuvoje išduotus kvalifikacijos </w:t>
            </w:r>
            <w:r w:rsidRPr="00A044C1">
              <w:rPr>
                <w:rFonts w:ascii="Arial" w:hAnsi="Arial" w:cs="Arial"/>
                <w:bCs/>
                <w:iCs/>
                <w:sz w:val="24"/>
                <w:szCs w:val="24"/>
              </w:rPr>
              <w:lastRenderedPageBreak/>
              <w:t>dokumentus pasitikrina SSVA registruose https://www.ssva.lt/cms/registrai.</w:t>
            </w:r>
          </w:p>
          <w:p w14:paraId="2B8918AD"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027C4B79"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BC01EE" w:rsidRPr="00A044C1" w:rsidRDefault="00BC01EE" w:rsidP="00BC01EE">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BC01EE" w:rsidRPr="00A044C1" w:rsidRDefault="00BC01EE" w:rsidP="00BC01E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w:t>
            </w:r>
            <w:proofErr w:type="spellStart"/>
            <w:r w:rsidRPr="00A044C1">
              <w:rPr>
                <w:rFonts w:ascii="Arial" w:hAnsi="Arial" w:cs="Arial"/>
                <w:b/>
                <w:i/>
                <w:sz w:val="24"/>
                <w:szCs w:val="24"/>
              </w:rPr>
              <w:t>kvazisubtiekėjai</w:t>
            </w:r>
            <w:proofErr w:type="spellEnd"/>
            <w:r w:rsidRPr="00A044C1">
              <w:rPr>
                <w:rFonts w:ascii="Arial" w:hAnsi="Arial" w:cs="Arial"/>
                <w:b/>
                <w:i/>
                <w:sz w:val="24"/>
                <w:szCs w:val="24"/>
              </w:rPr>
              <w:t>)</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BC01EE" w:rsidRPr="00A044C1" w:rsidRDefault="00BC01EE" w:rsidP="00BC01EE">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w:t>
            </w:r>
            <w:proofErr w:type="spellStart"/>
            <w:r w:rsidRPr="00A044C1">
              <w:rPr>
                <w:rFonts w:ascii="Arial" w:hAnsi="Arial" w:cs="Arial"/>
                <w:b/>
                <w:bCs/>
                <w:i/>
                <w:sz w:val="24"/>
                <w:szCs w:val="24"/>
              </w:rPr>
              <w:t>kvazisubtiekėjai</w:t>
            </w:r>
            <w:proofErr w:type="spellEnd"/>
            <w:r w:rsidRPr="00A044C1">
              <w:rPr>
                <w:rFonts w:ascii="Arial" w:hAnsi="Arial" w:cs="Arial"/>
                <w:b/>
                <w:bCs/>
                <w:i/>
                <w:sz w:val="24"/>
                <w:szCs w:val="24"/>
              </w:rPr>
              <w:t>)</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w:t>
            </w:r>
            <w:r w:rsidRPr="00A044C1">
              <w:rPr>
                <w:rFonts w:ascii="Arial" w:hAnsi="Arial" w:cs="Arial"/>
                <w:bCs/>
                <w:sz w:val="24"/>
                <w:szCs w:val="24"/>
              </w:rPr>
              <w:lastRenderedPageBreak/>
              <w:t xml:space="preserve">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59DD3200"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0F711846"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8D6549" w:rsidRPr="005509E0">
              <w:rPr>
                <w:rFonts w:ascii="Arial" w:eastAsia="Calibri" w:hAnsi="Arial" w:cs="Arial"/>
                <w:sz w:val="24"/>
                <w:szCs w:val="24"/>
              </w:rPr>
              <w:t>kiekvienas tiekėjų grupės partneris, atsižvelgiant į prisiimamus įsipareigojimus pirkimo sutarčiai vykdyti, kiti ūkio subjektai, kurių pajėgumais remiasi tiekėjas (kiekvienas toje srityje, kurioje vykdys veiklą</w:t>
            </w:r>
            <w:r w:rsidRPr="00A044C1">
              <w:rPr>
                <w:rFonts w:ascii="Arial" w:eastAsia="Calibri" w:hAnsi="Arial" w:cs="Arial"/>
                <w:sz w:val="24"/>
                <w:szCs w:val="24"/>
              </w:rPr>
              <w:t xml:space="preserve">) </w:t>
            </w:r>
            <w:r w:rsidRPr="0023792E">
              <w:rPr>
                <w:rFonts w:ascii="Arial" w:eastAsia="Calibri" w:hAnsi="Arial" w:cs="Arial"/>
                <w:b/>
                <w:bCs/>
                <w:sz w:val="24"/>
                <w:szCs w:val="24"/>
              </w:rPr>
              <w:t>atliekamiems statybos darbams</w:t>
            </w:r>
            <w:r w:rsidR="00E259FB">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w:t>
            </w:r>
            <w:r w:rsidRPr="00A044C1">
              <w:rPr>
                <w:rFonts w:ascii="Arial" w:eastAsia="Calibri" w:hAnsi="Arial" w:cs="Arial"/>
                <w:sz w:val="24"/>
                <w:szCs w:val="24"/>
              </w:rPr>
              <w:lastRenderedPageBreak/>
              <w:t xml:space="preserve">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8D6549">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A044C1">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lastRenderedPageBreak/>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w:t>
            </w:r>
            <w:proofErr w:type="spellStart"/>
            <w:r w:rsidRPr="00A044C1">
              <w:rPr>
                <w:rFonts w:ascii="Arial" w:eastAsia="Arial Unicode MS" w:hAnsi="Arial" w:cs="Arial"/>
                <w:bCs/>
                <w:sz w:val="22"/>
                <w:szCs w:val="22"/>
                <w:bdr w:val="none" w:sz="0" w:space="0" w:color="auto" w:frame="1"/>
                <w:lang w:val="lt-LT" w:eastAsia="ar-SA"/>
              </w:rPr>
              <w:t>Kvazisubtiekėjas</w:t>
            </w:r>
            <w:proofErr w:type="spellEnd"/>
            <w:r w:rsidRPr="00A044C1">
              <w:rPr>
                <w:rFonts w:ascii="Arial" w:eastAsia="Arial Unicode MS" w:hAnsi="Arial" w:cs="Arial"/>
                <w:bCs/>
                <w:sz w:val="22"/>
                <w:szCs w:val="22"/>
                <w:bdr w:val="none" w:sz="0" w:space="0" w:color="auto" w:frame="1"/>
                <w:lang w:val="lt-LT" w:eastAsia="ar-SA"/>
              </w:rPr>
              <w:t xml:space="preserve">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7223E688"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15EC5513"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6A387B65"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D6549">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D6549">
            <w:pPr>
              <w:rPr>
                <w:rFonts w:ascii="Arial" w:hAnsi="Arial" w:cs="Arial"/>
                <w:sz w:val="20"/>
                <w:szCs w:val="20"/>
              </w:rPr>
            </w:pPr>
          </w:p>
        </w:tc>
        <w:tc>
          <w:tcPr>
            <w:tcW w:w="0" w:type="auto"/>
            <w:hideMark/>
          </w:tcPr>
          <w:p w14:paraId="1E619944" w14:textId="77777777" w:rsidR="00F47E51" w:rsidRPr="00A044C1" w:rsidRDefault="00F47E51" w:rsidP="008D6549">
            <w:pPr>
              <w:rPr>
                <w:rFonts w:ascii="Arial" w:hAnsi="Arial" w:cs="Arial"/>
                <w:sz w:val="20"/>
                <w:szCs w:val="20"/>
              </w:rPr>
            </w:pPr>
          </w:p>
        </w:tc>
        <w:tc>
          <w:tcPr>
            <w:tcW w:w="0" w:type="auto"/>
            <w:hideMark/>
          </w:tcPr>
          <w:p w14:paraId="2141859F" w14:textId="77777777" w:rsidR="00F47E51" w:rsidRPr="00A044C1" w:rsidRDefault="00F47E51" w:rsidP="008D6549">
            <w:pPr>
              <w:rPr>
                <w:rFonts w:ascii="Arial" w:hAnsi="Arial" w:cs="Arial"/>
                <w:sz w:val="20"/>
                <w:szCs w:val="20"/>
              </w:rPr>
            </w:pPr>
          </w:p>
        </w:tc>
        <w:tc>
          <w:tcPr>
            <w:tcW w:w="0" w:type="auto"/>
            <w:hideMark/>
          </w:tcPr>
          <w:p w14:paraId="69AFD5EA" w14:textId="77777777" w:rsidR="00F47E51" w:rsidRPr="00A044C1" w:rsidRDefault="00F47E51" w:rsidP="008D6549">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D6549">
            <w:pPr>
              <w:rPr>
                <w:rFonts w:ascii="Arial" w:hAnsi="Arial" w:cs="Arial"/>
                <w:sz w:val="20"/>
                <w:szCs w:val="20"/>
              </w:rPr>
            </w:pPr>
          </w:p>
        </w:tc>
        <w:tc>
          <w:tcPr>
            <w:tcW w:w="0" w:type="auto"/>
            <w:hideMark/>
          </w:tcPr>
          <w:p w14:paraId="4F868B28" w14:textId="77777777" w:rsidR="00F47E51" w:rsidRPr="00A044C1" w:rsidRDefault="00F47E51" w:rsidP="008D6549">
            <w:pPr>
              <w:rPr>
                <w:rFonts w:ascii="Arial" w:hAnsi="Arial" w:cs="Arial"/>
                <w:sz w:val="20"/>
                <w:szCs w:val="20"/>
              </w:rPr>
            </w:pPr>
          </w:p>
        </w:tc>
      </w:tr>
      <w:tr w:rsidR="00F47E51" w:rsidRPr="00A044C1" w14:paraId="60051BAA" w14:textId="77777777" w:rsidTr="008D6549">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D6549">
            <w:pPr>
              <w:rPr>
                <w:rFonts w:ascii="Arial" w:eastAsia="Times New Roman" w:hAnsi="Arial" w:cs="Arial"/>
                <w:sz w:val="18"/>
                <w:szCs w:val="18"/>
              </w:rPr>
            </w:pPr>
          </w:p>
        </w:tc>
        <w:tc>
          <w:tcPr>
            <w:tcW w:w="0" w:type="auto"/>
            <w:hideMark/>
          </w:tcPr>
          <w:p w14:paraId="69DE716A" w14:textId="77777777" w:rsidR="00F47E51" w:rsidRPr="00A044C1" w:rsidRDefault="00F47E51" w:rsidP="008D6549">
            <w:pPr>
              <w:spacing w:after="0"/>
              <w:rPr>
                <w:rFonts w:ascii="Arial" w:hAnsi="Arial" w:cs="Arial"/>
                <w:sz w:val="20"/>
                <w:szCs w:val="20"/>
              </w:rPr>
            </w:pPr>
          </w:p>
        </w:tc>
        <w:tc>
          <w:tcPr>
            <w:tcW w:w="0" w:type="auto"/>
            <w:hideMark/>
          </w:tcPr>
          <w:p w14:paraId="15B1CCCC" w14:textId="77777777" w:rsidR="00F47E51" w:rsidRPr="00A044C1" w:rsidRDefault="00F47E51" w:rsidP="008D654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D6549">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xml:space="preserve">)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8D6549">
        <w:tc>
          <w:tcPr>
            <w:tcW w:w="10070" w:type="dxa"/>
            <w:gridSpan w:val="3"/>
          </w:tcPr>
          <w:p w14:paraId="5D4DA7A7"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8D6549">
        <w:tc>
          <w:tcPr>
            <w:tcW w:w="856" w:type="dxa"/>
          </w:tcPr>
          <w:p w14:paraId="4917ACD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C4F55B4"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8D6549">
        <w:tc>
          <w:tcPr>
            <w:tcW w:w="856" w:type="dxa"/>
          </w:tcPr>
          <w:p w14:paraId="29266A64"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1CC4DF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8D6549">
        <w:tc>
          <w:tcPr>
            <w:tcW w:w="856" w:type="dxa"/>
          </w:tcPr>
          <w:p w14:paraId="660A448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2F2F0D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8D6549">
        <w:tc>
          <w:tcPr>
            <w:tcW w:w="856" w:type="dxa"/>
          </w:tcPr>
          <w:p w14:paraId="3A2F9D8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FBB7F70"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8D6549">
        <w:tc>
          <w:tcPr>
            <w:tcW w:w="856" w:type="dxa"/>
          </w:tcPr>
          <w:p w14:paraId="248B6AF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3934905"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8D6549">
        <w:tc>
          <w:tcPr>
            <w:tcW w:w="856" w:type="dxa"/>
          </w:tcPr>
          <w:p w14:paraId="013CDF6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8D6549">
        <w:tc>
          <w:tcPr>
            <w:tcW w:w="856" w:type="dxa"/>
          </w:tcPr>
          <w:p w14:paraId="1DFA07D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8D6549">
        <w:tc>
          <w:tcPr>
            <w:tcW w:w="856" w:type="dxa"/>
          </w:tcPr>
          <w:p w14:paraId="1326F53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8D6549">
        <w:tc>
          <w:tcPr>
            <w:tcW w:w="856" w:type="dxa"/>
          </w:tcPr>
          <w:p w14:paraId="00FAE99D"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4E0DB64"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8D6549">
        <w:tc>
          <w:tcPr>
            <w:tcW w:w="856" w:type="dxa"/>
          </w:tcPr>
          <w:p w14:paraId="00040D4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67CF22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8D6549">
        <w:tc>
          <w:tcPr>
            <w:tcW w:w="856" w:type="dxa"/>
          </w:tcPr>
          <w:p w14:paraId="5002DA6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8807EE7" w14:textId="77777777" w:rsidR="00840D8D" w:rsidRPr="00A044C1" w:rsidRDefault="00840D8D"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8D6549">
        <w:tc>
          <w:tcPr>
            <w:tcW w:w="856" w:type="dxa"/>
          </w:tcPr>
          <w:p w14:paraId="3FD00A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B3B4C3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8D6549">
        <w:tc>
          <w:tcPr>
            <w:tcW w:w="856" w:type="dxa"/>
          </w:tcPr>
          <w:p w14:paraId="7E5DA2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3BB1D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8D6549">
        <w:tc>
          <w:tcPr>
            <w:tcW w:w="856" w:type="dxa"/>
          </w:tcPr>
          <w:p w14:paraId="7366621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9CDFF39"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8D6549">
        <w:tc>
          <w:tcPr>
            <w:tcW w:w="856" w:type="dxa"/>
          </w:tcPr>
          <w:p w14:paraId="54A03B7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216D832"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8D6549">
        <w:tc>
          <w:tcPr>
            <w:tcW w:w="856" w:type="dxa"/>
          </w:tcPr>
          <w:p w14:paraId="3A0EEB6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6A199F"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8D6549">
        <w:tc>
          <w:tcPr>
            <w:tcW w:w="856" w:type="dxa"/>
          </w:tcPr>
          <w:p w14:paraId="2C68374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51D17AD"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8D6549">
        <w:tc>
          <w:tcPr>
            <w:tcW w:w="856" w:type="dxa"/>
          </w:tcPr>
          <w:p w14:paraId="0EFA9F8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FC7C063"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8D6549">
        <w:tc>
          <w:tcPr>
            <w:tcW w:w="856" w:type="dxa"/>
          </w:tcPr>
          <w:p w14:paraId="59716A0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EFE283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8D6549">
        <w:tc>
          <w:tcPr>
            <w:tcW w:w="856" w:type="dxa"/>
          </w:tcPr>
          <w:p w14:paraId="1C1CC412"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69A9C5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8D6549">
        <w:tc>
          <w:tcPr>
            <w:tcW w:w="856" w:type="dxa"/>
          </w:tcPr>
          <w:p w14:paraId="106F40A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0F13F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8D6549">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8D6549">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8D6549">
        <w:tc>
          <w:tcPr>
            <w:tcW w:w="856" w:type="dxa"/>
          </w:tcPr>
          <w:p w14:paraId="270BFC5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1DCD4A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8D6549">
        <w:tc>
          <w:tcPr>
            <w:tcW w:w="856" w:type="dxa"/>
          </w:tcPr>
          <w:p w14:paraId="6FD609A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013DBAC5"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8D6549">
        <w:tc>
          <w:tcPr>
            <w:tcW w:w="856" w:type="dxa"/>
          </w:tcPr>
          <w:p w14:paraId="0D70D00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BE9106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8D6549">
        <w:tc>
          <w:tcPr>
            <w:tcW w:w="10070" w:type="dxa"/>
            <w:gridSpan w:val="3"/>
          </w:tcPr>
          <w:p w14:paraId="354DE4A1"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8D6549">
              <w:tc>
                <w:tcPr>
                  <w:tcW w:w="872" w:type="dxa"/>
                  <w:tcBorders>
                    <w:top w:val="nil"/>
                    <w:left w:val="nil"/>
                    <w:bottom w:val="nil"/>
                    <w:right w:val="nil"/>
                  </w:tcBorders>
                </w:tcPr>
                <w:p w14:paraId="0848B7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tcPr>
                <w:p w14:paraId="68B66580" w14:textId="6FF5F60C" w:rsidR="00840D8D" w:rsidRPr="00A044C1" w:rsidRDefault="00840D8D" w:rsidP="008D6549">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8D6549">
        <w:tc>
          <w:tcPr>
            <w:tcW w:w="856" w:type="dxa"/>
          </w:tcPr>
          <w:p w14:paraId="17F1354A" w14:textId="77777777" w:rsidR="00840D8D" w:rsidRPr="00A044C1" w:rsidRDefault="00840D8D" w:rsidP="008D6549">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8D6549">
        <w:tc>
          <w:tcPr>
            <w:tcW w:w="856" w:type="dxa"/>
          </w:tcPr>
          <w:p w14:paraId="0E1AD4E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3666FA89" w14:textId="77777777" w:rsidR="00840D8D" w:rsidRPr="00A044C1" w:rsidRDefault="00840D8D" w:rsidP="008D6549">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8D6549">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8D6549">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8D6549">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8D6549">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8D6549">
        <w:tc>
          <w:tcPr>
            <w:tcW w:w="856" w:type="dxa"/>
          </w:tcPr>
          <w:p w14:paraId="7CA0380C"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2993137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8D6549">
        <w:tc>
          <w:tcPr>
            <w:tcW w:w="856" w:type="dxa"/>
          </w:tcPr>
          <w:p w14:paraId="7D1722B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7B9C6E1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8D6549">
        <w:tc>
          <w:tcPr>
            <w:tcW w:w="856" w:type="dxa"/>
          </w:tcPr>
          <w:p w14:paraId="5EDEAEF6" w14:textId="77777777" w:rsidR="00840D8D" w:rsidRPr="00A044C1" w:rsidRDefault="00840D8D" w:rsidP="008D6549">
            <w:pPr>
              <w:spacing w:before="200" w:after="0" w:line="240" w:lineRule="auto"/>
              <w:contextualSpacing/>
              <w:jc w:val="both"/>
              <w:rPr>
                <w:rFonts w:ascii="Arial" w:eastAsia="Times New Roman" w:hAnsi="Arial" w:cs="Arial"/>
                <w:sz w:val="22"/>
                <w:szCs w:val="22"/>
                <w:lang w:eastAsia="en-US"/>
              </w:rPr>
            </w:pPr>
          </w:p>
        </w:tc>
        <w:tc>
          <w:tcPr>
            <w:tcW w:w="9214" w:type="dxa"/>
            <w:gridSpan w:val="2"/>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8D6549">
              <w:tc>
                <w:tcPr>
                  <w:tcW w:w="3408" w:type="dxa"/>
                  <w:tcBorders>
                    <w:top w:val="nil"/>
                    <w:left w:val="nil"/>
                    <w:bottom w:val="dashed" w:sz="4" w:space="0" w:color="auto"/>
                    <w:right w:val="dashed" w:sz="4" w:space="0" w:color="auto"/>
                  </w:tcBorders>
                </w:tcPr>
                <w:p w14:paraId="1FEB03C3"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15FC1500"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02BE6D95"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8D6549">
              <w:tc>
                <w:tcPr>
                  <w:tcW w:w="3408" w:type="dxa"/>
                  <w:tcBorders>
                    <w:top w:val="nil"/>
                    <w:left w:val="nil"/>
                    <w:bottom w:val="dashed" w:sz="4" w:space="0" w:color="auto"/>
                    <w:right w:val="dashed" w:sz="4" w:space="0" w:color="auto"/>
                  </w:tcBorders>
                </w:tcPr>
                <w:p w14:paraId="38CD840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3F4F3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5DE0A935"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8D6549">
              <w:tc>
                <w:tcPr>
                  <w:tcW w:w="3408" w:type="dxa"/>
                  <w:tcBorders>
                    <w:top w:val="nil"/>
                    <w:left w:val="nil"/>
                    <w:bottom w:val="dashed" w:sz="4" w:space="0" w:color="auto"/>
                    <w:right w:val="dashed" w:sz="4" w:space="0" w:color="auto"/>
                  </w:tcBorders>
                </w:tcPr>
                <w:p w14:paraId="351A0A27"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tcPr>
                <w:p w14:paraId="430450EF"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17A1C7B4" w14:textId="77777777" w:rsidR="00840D8D" w:rsidRPr="00A044C1" w:rsidRDefault="00840D8D"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8D6549">
              <w:tc>
                <w:tcPr>
                  <w:tcW w:w="3408" w:type="dxa"/>
                  <w:tcBorders>
                    <w:top w:val="dashed" w:sz="4" w:space="0" w:color="auto"/>
                    <w:left w:val="nil"/>
                    <w:bottom w:val="dashed" w:sz="4" w:space="0" w:color="auto"/>
                    <w:right w:val="dashed" w:sz="4" w:space="0" w:color="auto"/>
                  </w:tcBorders>
                </w:tcPr>
                <w:p w14:paraId="55519753"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362734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190A7BB2" w14:textId="728BB7E0"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8D6549">
              <w:tc>
                <w:tcPr>
                  <w:tcW w:w="3408" w:type="dxa"/>
                  <w:tcBorders>
                    <w:top w:val="dashed" w:sz="4" w:space="0" w:color="auto"/>
                    <w:left w:val="nil"/>
                    <w:bottom w:val="dashed" w:sz="4" w:space="0" w:color="auto"/>
                    <w:right w:val="dashed" w:sz="4" w:space="0" w:color="auto"/>
                  </w:tcBorders>
                </w:tcPr>
                <w:p w14:paraId="7CB4FDB8"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6767BF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4A7ECA4F" w14:textId="77777777"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8D6549">
              <w:tc>
                <w:tcPr>
                  <w:tcW w:w="3408" w:type="dxa"/>
                  <w:tcBorders>
                    <w:top w:val="dashed" w:sz="4" w:space="0" w:color="auto"/>
                    <w:left w:val="nil"/>
                    <w:bottom w:val="dashed" w:sz="4" w:space="0" w:color="auto"/>
                    <w:right w:val="dashed" w:sz="4" w:space="0" w:color="auto"/>
                  </w:tcBorders>
                </w:tcPr>
                <w:p w14:paraId="6E8B8B6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7A70319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3D2BE7E4" w14:textId="7E0F01EA"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per dieną</w:t>
                  </w:r>
                </w:p>
              </w:tc>
            </w:tr>
            <w:tr w:rsidR="00840D8D" w:rsidRPr="00A044C1" w14:paraId="60BBAA22" w14:textId="77777777" w:rsidTr="008D6549">
              <w:tc>
                <w:tcPr>
                  <w:tcW w:w="3408" w:type="dxa"/>
                  <w:tcBorders>
                    <w:top w:val="dashed" w:sz="4" w:space="0" w:color="auto"/>
                    <w:left w:val="nil"/>
                    <w:bottom w:val="dashed" w:sz="4" w:space="0" w:color="auto"/>
                    <w:right w:val="dashed" w:sz="4" w:space="0" w:color="auto"/>
                  </w:tcBorders>
                </w:tcPr>
                <w:p w14:paraId="409F7BBE"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tcPr>
                <w:p w14:paraId="415AED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58557022"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8D6549">
              <w:tc>
                <w:tcPr>
                  <w:tcW w:w="3408" w:type="dxa"/>
                  <w:tcBorders>
                    <w:top w:val="dashed" w:sz="4" w:space="0" w:color="auto"/>
                    <w:left w:val="nil"/>
                    <w:bottom w:val="dashed" w:sz="4" w:space="0" w:color="auto"/>
                    <w:right w:val="dashed" w:sz="4" w:space="0" w:color="auto"/>
                  </w:tcBorders>
                </w:tcPr>
                <w:p w14:paraId="1A7AB5C4"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709BEA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2889E40D" w14:textId="77777777" w:rsidR="00840D8D" w:rsidRPr="00A044C1" w:rsidRDefault="00840D8D" w:rsidP="008D6549">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8D6549">
              <w:tc>
                <w:tcPr>
                  <w:tcW w:w="3408" w:type="dxa"/>
                  <w:tcBorders>
                    <w:top w:val="dashed" w:sz="4" w:space="0" w:color="auto"/>
                    <w:left w:val="nil"/>
                    <w:bottom w:val="dashed" w:sz="4" w:space="0" w:color="auto"/>
                    <w:right w:val="dashed" w:sz="4" w:space="0" w:color="auto"/>
                  </w:tcBorders>
                </w:tcPr>
                <w:p w14:paraId="3487132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3CF7D4A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0AA6F28D"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8D6549">
              <w:tc>
                <w:tcPr>
                  <w:tcW w:w="3408" w:type="dxa"/>
                  <w:tcBorders>
                    <w:top w:val="dashed" w:sz="4" w:space="0" w:color="auto"/>
                    <w:left w:val="nil"/>
                    <w:bottom w:val="dashed" w:sz="4" w:space="0" w:color="auto"/>
                    <w:right w:val="dashed" w:sz="4" w:space="0" w:color="auto"/>
                  </w:tcBorders>
                </w:tcPr>
                <w:p w14:paraId="2A11AEE5"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036F5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624C28B0"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8D6549">
              <w:tc>
                <w:tcPr>
                  <w:tcW w:w="3408" w:type="dxa"/>
                  <w:tcBorders>
                    <w:top w:val="dashed" w:sz="4" w:space="0" w:color="auto"/>
                    <w:left w:val="nil"/>
                    <w:bottom w:val="dashed" w:sz="4" w:space="0" w:color="auto"/>
                    <w:right w:val="dashed" w:sz="4" w:space="0" w:color="auto"/>
                  </w:tcBorders>
                </w:tcPr>
                <w:p w14:paraId="0F5B259C"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36BE78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4432498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8D6549">
              <w:tc>
                <w:tcPr>
                  <w:tcW w:w="3408" w:type="dxa"/>
                  <w:tcBorders>
                    <w:top w:val="dashed" w:sz="4" w:space="0" w:color="auto"/>
                    <w:left w:val="nil"/>
                    <w:bottom w:val="dashed" w:sz="4" w:space="0" w:color="auto"/>
                    <w:right w:val="dashed" w:sz="4" w:space="0" w:color="auto"/>
                  </w:tcBorders>
                </w:tcPr>
                <w:p w14:paraId="2CA6744B"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08C82B9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23C877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8D6549">
              <w:tc>
                <w:tcPr>
                  <w:tcW w:w="3408" w:type="dxa"/>
                  <w:tcBorders>
                    <w:top w:val="dashed" w:sz="4" w:space="0" w:color="auto"/>
                    <w:left w:val="nil"/>
                    <w:bottom w:val="dashed" w:sz="4" w:space="0" w:color="auto"/>
                    <w:right w:val="dashed" w:sz="4" w:space="0" w:color="auto"/>
                  </w:tcBorders>
                </w:tcPr>
                <w:p w14:paraId="00ACB91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D44574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41D52F0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8D6549">
              <w:tc>
                <w:tcPr>
                  <w:tcW w:w="3408" w:type="dxa"/>
                  <w:tcBorders>
                    <w:top w:val="dashed" w:sz="4" w:space="0" w:color="auto"/>
                    <w:left w:val="nil"/>
                    <w:bottom w:val="dashed" w:sz="4" w:space="0" w:color="auto"/>
                    <w:right w:val="dashed" w:sz="4" w:space="0" w:color="auto"/>
                  </w:tcBorders>
                </w:tcPr>
                <w:p w14:paraId="322AD776"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3098A6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6B3A6382" w14:textId="77777777" w:rsidR="00840D8D" w:rsidRPr="00A044C1" w:rsidRDefault="00840D8D" w:rsidP="008D6549">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8D6549">
              <w:tc>
                <w:tcPr>
                  <w:tcW w:w="3408" w:type="dxa"/>
                  <w:tcBorders>
                    <w:top w:val="dashed" w:sz="4" w:space="0" w:color="auto"/>
                    <w:left w:val="nil"/>
                    <w:bottom w:val="dashed" w:sz="4" w:space="0" w:color="auto"/>
                    <w:right w:val="dashed" w:sz="4" w:space="0" w:color="auto"/>
                  </w:tcBorders>
                </w:tcPr>
                <w:p w14:paraId="7090BDEA"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BD2A0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5A5EC80E" w14:textId="0D1D5AB5"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0,03 % laiku neapmokėtos sumos</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 xml:space="preserve"> per dieną </w:t>
                  </w:r>
                </w:p>
              </w:tc>
            </w:tr>
          </w:tbl>
          <w:p w14:paraId="4FFEAC5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8D6549">
        <w:tc>
          <w:tcPr>
            <w:tcW w:w="10070" w:type="dxa"/>
            <w:gridSpan w:val="3"/>
          </w:tcPr>
          <w:p w14:paraId="05A3E0A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8D6549">
        <w:tc>
          <w:tcPr>
            <w:tcW w:w="856" w:type="dxa"/>
          </w:tcPr>
          <w:p w14:paraId="4937FFB9"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045A330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8D6549">
        <w:tc>
          <w:tcPr>
            <w:tcW w:w="856" w:type="dxa"/>
          </w:tcPr>
          <w:p w14:paraId="2E834CAC"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7E2121B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8D6549">
        <w:tc>
          <w:tcPr>
            <w:tcW w:w="856" w:type="dxa"/>
          </w:tcPr>
          <w:p w14:paraId="1CBE59EF"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4D8CE91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w:t>
            </w:r>
            <w:r w:rsidRPr="00A044C1">
              <w:rPr>
                <w:rFonts w:ascii="Arial" w:eastAsia="Times New Roman" w:hAnsi="Arial" w:cs="Arial"/>
                <w:sz w:val="22"/>
                <w:szCs w:val="22"/>
                <w:lang w:eastAsia="en-US"/>
              </w:rPr>
              <w:lastRenderedPageBreak/>
              <w:t>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8D6549">
        <w:tc>
          <w:tcPr>
            <w:tcW w:w="856" w:type="dxa"/>
          </w:tcPr>
          <w:p w14:paraId="3B554A43"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520EBCE3" w14:textId="397D5556"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8108F7">
              <w:rPr>
                <w:rFonts w:ascii="Arial" w:eastAsia="Calibri" w:hAnsi="Arial" w:cs="Arial"/>
                <w:sz w:val="22"/>
                <w:szCs w:val="22"/>
                <w:lang w:eastAsia="en-US"/>
              </w:rPr>
              <w:t>,</w:t>
            </w:r>
            <w:r w:rsidRPr="00A044C1">
              <w:rPr>
                <w:rFonts w:ascii="Arial" w:eastAsia="Calibri" w:hAnsi="Arial" w:cs="Arial"/>
                <w:sz w:val="22"/>
                <w:szCs w:val="22"/>
                <w:lang w:eastAsia="en-US"/>
              </w:rPr>
              <w:t xml:space="preserve"> </w:t>
            </w:r>
            <w:r w:rsidRPr="00A044C1">
              <w:rPr>
                <w:rFonts w:ascii="Arial" w:eastAsia="Times New Roman" w:hAnsi="Arial" w:cs="Arial"/>
                <w:sz w:val="22"/>
                <w:szCs w:val="22"/>
                <w:lang w:eastAsia="en-US"/>
              </w:rPr>
              <w:t>yra nurodytas 3.4 papunktyje.</w:t>
            </w:r>
          </w:p>
        </w:tc>
      </w:tr>
      <w:tr w:rsidR="00840D8D" w:rsidRPr="00A044C1" w14:paraId="06F84A80" w14:textId="77777777" w:rsidTr="008D6549">
        <w:tc>
          <w:tcPr>
            <w:tcW w:w="856" w:type="dxa"/>
          </w:tcPr>
          <w:p w14:paraId="03F4D28E"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8D6549">
        <w:tc>
          <w:tcPr>
            <w:tcW w:w="856" w:type="dxa"/>
          </w:tcPr>
          <w:p w14:paraId="7E4ECD30"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022AF9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8D6549">
        <w:tc>
          <w:tcPr>
            <w:tcW w:w="856" w:type="dxa"/>
          </w:tcPr>
          <w:p w14:paraId="1E8D7126"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33A762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8D6549">
        <w:tc>
          <w:tcPr>
            <w:tcW w:w="10070" w:type="dxa"/>
            <w:gridSpan w:val="3"/>
          </w:tcPr>
          <w:p w14:paraId="471CF1B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8D6549">
        <w:tc>
          <w:tcPr>
            <w:tcW w:w="856" w:type="dxa"/>
          </w:tcPr>
          <w:p w14:paraId="7CB252A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01A38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8D6549">
        <w:tc>
          <w:tcPr>
            <w:tcW w:w="856" w:type="dxa"/>
          </w:tcPr>
          <w:p w14:paraId="0234A50F"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8D6549">
        <w:tc>
          <w:tcPr>
            <w:tcW w:w="856" w:type="dxa"/>
          </w:tcPr>
          <w:p w14:paraId="30865C6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8D6549">
        <w:tc>
          <w:tcPr>
            <w:tcW w:w="856" w:type="dxa"/>
          </w:tcPr>
          <w:p w14:paraId="4EFEDA5B"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20BA2D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8D6549">
        <w:tc>
          <w:tcPr>
            <w:tcW w:w="856" w:type="dxa"/>
          </w:tcPr>
          <w:p w14:paraId="7D9EE572"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3D53010" w14:textId="26B85A1E"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8D6549">
        <w:tc>
          <w:tcPr>
            <w:tcW w:w="856" w:type="dxa"/>
          </w:tcPr>
          <w:p w14:paraId="3A88E395"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08F937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8D6549">
        <w:tc>
          <w:tcPr>
            <w:tcW w:w="856" w:type="dxa"/>
          </w:tcPr>
          <w:p w14:paraId="2413612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8D6549">
        <w:tc>
          <w:tcPr>
            <w:tcW w:w="856" w:type="dxa"/>
          </w:tcPr>
          <w:p w14:paraId="3A94A67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73C400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8D6549">
        <w:tc>
          <w:tcPr>
            <w:tcW w:w="856" w:type="dxa"/>
          </w:tcPr>
          <w:p w14:paraId="48E0B7D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FF9FA4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8D6549">
        <w:tc>
          <w:tcPr>
            <w:tcW w:w="856" w:type="dxa"/>
          </w:tcPr>
          <w:p w14:paraId="4B900408"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EF7978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8D6549">
        <w:tc>
          <w:tcPr>
            <w:tcW w:w="856" w:type="dxa"/>
          </w:tcPr>
          <w:p w14:paraId="6D5464BF"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8D6549">
        <w:tc>
          <w:tcPr>
            <w:tcW w:w="856" w:type="dxa"/>
          </w:tcPr>
          <w:p w14:paraId="6176F62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8D6549">
        <w:tc>
          <w:tcPr>
            <w:tcW w:w="856" w:type="dxa"/>
          </w:tcPr>
          <w:p w14:paraId="33842F3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113B42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8D6549">
        <w:tc>
          <w:tcPr>
            <w:tcW w:w="856" w:type="dxa"/>
          </w:tcPr>
          <w:p w14:paraId="049D0E4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8D6549">
        <w:tc>
          <w:tcPr>
            <w:tcW w:w="856" w:type="dxa"/>
          </w:tcPr>
          <w:p w14:paraId="104142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2ADEC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8D6549">
        <w:tc>
          <w:tcPr>
            <w:tcW w:w="856" w:type="dxa"/>
          </w:tcPr>
          <w:p w14:paraId="2FF5CC5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3AD612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8D6549">
        <w:tc>
          <w:tcPr>
            <w:tcW w:w="856" w:type="dxa"/>
          </w:tcPr>
          <w:p w14:paraId="77F9A8C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FCDD13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8D6549">
        <w:tc>
          <w:tcPr>
            <w:tcW w:w="856" w:type="dxa"/>
          </w:tcPr>
          <w:p w14:paraId="2A7CF78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8D6549">
        <w:tc>
          <w:tcPr>
            <w:tcW w:w="856" w:type="dxa"/>
          </w:tcPr>
          <w:p w14:paraId="6B34237C"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4A424B4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8D6549">
        <w:tc>
          <w:tcPr>
            <w:tcW w:w="856" w:type="dxa"/>
          </w:tcPr>
          <w:p w14:paraId="20600A4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F777A2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8D6549">
        <w:tc>
          <w:tcPr>
            <w:tcW w:w="856" w:type="dxa"/>
          </w:tcPr>
          <w:p w14:paraId="1CD8A8F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ED7DEB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8D6549">
        <w:tc>
          <w:tcPr>
            <w:tcW w:w="856" w:type="dxa"/>
          </w:tcPr>
          <w:p w14:paraId="3E86ECF6"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3D79CC" w14:textId="77777777" w:rsidR="00840D8D" w:rsidRPr="00A044C1" w:rsidRDefault="00840D8D" w:rsidP="008D6549">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8D6549">
        <w:tc>
          <w:tcPr>
            <w:tcW w:w="856" w:type="dxa"/>
          </w:tcPr>
          <w:p w14:paraId="2AE188D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94C75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8D6549">
        <w:tc>
          <w:tcPr>
            <w:tcW w:w="856" w:type="dxa"/>
          </w:tcPr>
          <w:p w14:paraId="420788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619662A"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8D6549">
        <w:tc>
          <w:tcPr>
            <w:tcW w:w="856" w:type="dxa"/>
          </w:tcPr>
          <w:p w14:paraId="1C9321D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38692B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8D6549">
        <w:tc>
          <w:tcPr>
            <w:tcW w:w="856" w:type="dxa"/>
          </w:tcPr>
          <w:p w14:paraId="797E888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649AAF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8D6549">
        <w:tc>
          <w:tcPr>
            <w:tcW w:w="856" w:type="dxa"/>
          </w:tcPr>
          <w:p w14:paraId="34961B58"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DA3D77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8D6549">
        <w:tc>
          <w:tcPr>
            <w:tcW w:w="856" w:type="dxa"/>
          </w:tcPr>
          <w:p w14:paraId="7F08285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7018BF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8D6549">
        <w:tc>
          <w:tcPr>
            <w:tcW w:w="856" w:type="dxa"/>
          </w:tcPr>
          <w:p w14:paraId="55CABC2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DA0955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8D6549">
        <w:tc>
          <w:tcPr>
            <w:tcW w:w="10070" w:type="dxa"/>
            <w:gridSpan w:val="3"/>
          </w:tcPr>
          <w:p w14:paraId="1C7F35EC"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8D6549">
        <w:tc>
          <w:tcPr>
            <w:tcW w:w="856" w:type="dxa"/>
          </w:tcPr>
          <w:p w14:paraId="7401488D"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70494C3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8D6549">
        <w:tc>
          <w:tcPr>
            <w:tcW w:w="856" w:type="dxa"/>
          </w:tcPr>
          <w:p w14:paraId="7414FA7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63DA4A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8D6549">
        <w:tc>
          <w:tcPr>
            <w:tcW w:w="856" w:type="dxa"/>
          </w:tcPr>
          <w:p w14:paraId="3250B666"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5D7234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8D6549">
        <w:tc>
          <w:tcPr>
            <w:tcW w:w="856" w:type="dxa"/>
          </w:tcPr>
          <w:p w14:paraId="29BE8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8FA73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8D6549">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8D6549">
        <w:tc>
          <w:tcPr>
            <w:tcW w:w="856" w:type="dxa"/>
          </w:tcPr>
          <w:p w14:paraId="3BC84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9A8D8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8D6549">
        <w:tc>
          <w:tcPr>
            <w:tcW w:w="856" w:type="dxa"/>
          </w:tcPr>
          <w:p w14:paraId="0E77FC4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2C16AD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8D6549">
        <w:tc>
          <w:tcPr>
            <w:tcW w:w="856" w:type="dxa"/>
          </w:tcPr>
          <w:p w14:paraId="114B1EBB"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9E6AC3A" w14:textId="2803ABB4"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A044C1">
              <w:rPr>
                <w:rFonts w:ascii="Arial" w:eastAsia="Times New Roman" w:hAnsi="Arial" w:cs="Arial"/>
                <w:sz w:val="22"/>
                <w:szCs w:val="22"/>
                <w:lang w:eastAsia="en-US"/>
              </w:rPr>
              <w:lastRenderedPageBreak/>
              <w:t>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8D6549">
        <w:tc>
          <w:tcPr>
            <w:tcW w:w="10070" w:type="dxa"/>
            <w:gridSpan w:val="3"/>
          </w:tcPr>
          <w:p w14:paraId="04F7F69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8D6549">
        <w:tc>
          <w:tcPr>
            <w:tcW w:w="856" w:type="dxa"/>
          </w:tcPr>
          <w:p w14:paraId="66CF8E84"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39B563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A044C1">
              <w:rPr>
                <w:rFonts w:ascii="Arial" w:eastAsia="Times New Roman" w:hAnsi="Arial" w:cs="Arial"/>
                <w:sz w:val="22"/>
                <w:szCs w:val="22"/>
                <w:lang w:eastAsia="en-US"/>
              </w:rPr>
              <w:t>us</w:t>
            </w:r>
            <w:proofErr w:type="spellEnd"/>
            <w:r w:rsidRPr="00A044C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8D6549">
        <w:tc>
          <w:tcPr>
            <w:tcW w:w="856" w:type="dxa"/>
          </w:tcPr>
          <w:p w14:paraId="14E543C0"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8D6549">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A044C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840D8D" w:rsidRPr="00A044C1" w14:paraId="6AE996C5" w14:textId="77777777" w:rsidTr="008D6549">
        <w:tc>
          <w:tcPr>
            <w:tcW w:w="856" w:type="dxa"/>
          </w:tcPr>
          <w:p w14:paraId="1671EC23"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2B7CB203"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8D6549">
        <w:tc>
          <w:tcPr>
            <w:tcW w:w="856" w:type="dxa"/>
          </w:tcPr>
          <w:p w14:paraId="1E49E4E7"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13DF2399"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8D6549">
        <w:tc>
          <w:tcPr>
            <w:tcW w:w="856" w:type="dxa"/>
          </w:tcPr>
          <w:p w14:paraId="37658CCD"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759C8"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8D6549">
        <w:tc>
          <w:tcPr>
            <w:tcW w:w="856" w:type="dxa"/>
          </w:tcPr>
          <w:p w14:paraId="56BDE3A5"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30B9B"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8D6549">
        <w:tc>
          <w:tcPr>
            <w:tcW w:w="10070" w:type="dxa"/>
            <w:gridSpan w:val="3"/>
          </w:tcPr>
          <w:p w14:paraId="6FBC38B3"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8D6549">
        <w:tc>
          <w:tcPr>
            <w:tcW w:w="856" w:type="dxa"/>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DFF9001"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8D6549">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8D6549">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8D6549">
        <w:tc>
          <w:tcPr>
            <w:tcW w:w="856" w:type="dxa"/>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02907E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8D6549">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w:t>
            </w:r>
            <w:r w:rsidRPr="00A044C1">
              <w:rPr>
                <w:rFonts w:ascii="Arial" w:eastAsia="Times New Roman" w:hAnsi="Arial" w:cs="Arial"/>
                <w:sz w:val="22"/>
                <w:szCs w:val="22"/>
                <w:lang w:eastAsia="en-US"/>
              </w:rPr>
              <w:lastRenderedPageBreak/>
              <w:t xml:space="preserve">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8D6549">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8D6549">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8D6549">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8D6549">
        <w:tc>
          <w:tcPr>
            <w:tcW w:w="856" w:type="dxa"/>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3725E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8D6549">
        <w:tc>
          <w:tcPr>
            <w:tcW w:w="856" w:type="dxa"/>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5813A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8D6549">
        <w:tc>
          <w:tcPr>
            <w:tcW w:w="856" w:type="dxa"/>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550BC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8D6549">
        <w:trPr>
          <w:trHeight w:val="625"/>
        </w:trPr>
        <w:tc>
          <w:tcPr>
            <w:tcW w:w="10070" w:type="dxa"/>
            <w:gridSpan w:val="3"/>
          </w:tcPr>
          <w:p w14:paraId="19AB250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8D6549">
        <w:tc>
          <w:tcPr>
            <w:tcW w:w="856" w:type="dxa"/>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E3F0F8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8D6549">
        <w:tc>
          <w:tcPr>
            <w:tcW w:w="856" w:type="dxa"/>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BF4B1A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8D6549">
        <w:tc>
          <w:tcPr>
            <w:tcW w:w="856" w:type="dxa"/>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20DA0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8D6549">
        <w:tc>
          <w:tcPr>
            <w:tcW w:w="856" w:type="dxa"/>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80BCB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8D6549">
        <w:tc>
          <w:tcPr>
            <w:tcW w:w="856" w:type="dxa"/>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64A461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1C649D0"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F0A58A7"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4DD83D7E" w14:textId="3AF7B8F7" w:rsidR="00840D8D" w:rsidRPr="00A044C1"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840D8D" w:rsidRPr="00A044C1" w14:paraId="1E378FA6" w14:textId="77777777" w:rsidTr="008D6549">
        <w:trPr>
          <w:trHeight w:val="146"/>
        </w:trPr>
        <w:tc>
          <w:tcPr>
            <w:tcW w:w="856" w:type="dxa"/>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0BB0F1C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8D6549">
        <w:tc>
          <w:tcPr>
            <w:tcW w:w="856" w:type="dxa"/>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A59DDE3"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8D6549">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8D6549">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8D6549">
        <w:tc>
          <w:tcPr>
            <w:tcW w:w="856" w:type="dxa"/>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A2034C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8D6549">
        <w:tc>
          <w:tcPr>
            <w:tcW w:w="856" w:type="dxa"/>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587597C"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8D6549">
        <w:tc>
          <w:tcPr>
            <w:tcW w:w="856" w:type="dxa"/>
          </w:tcPr>
          <w:p w14:paraId="2FDB541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C365AE4"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8D6549">
        <w:tc>
          <w:tcPr>
            <w:tcW w:w="856" w:type="dxa"/>
          </w:tcPr>
          <w:p w14:paraId="4AF3E00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8E6D98B"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8D6549">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9" o:title=""/>
                </v:shape>
                <o:OLEObject Type="Embed" ProgID="Equation.3" ShapeID="_x0000_i1025" DrawAspect="Content" ObjectID="_1825583075" r:id="rId20"/>
              </w:object>
            </w:r>
          </w:p>
          <w:p w14:paraId="51E679B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4pt;height:18pt" o:ole="">
                  <v:imagedata r:id="rId21" o:title=""/>
                </v:shape>
                <o:OLEObject Type="Embed" ProgID="Equation.3" ShapeID="_x0000_i1026" DrawAspect="Content" ObjectID="_1825583076"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25583077"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4pt;height:18pt" o:ole="">
                  <v:imagedata r:id="rId25" o:title=""/>
                </v:shape>
                <o:OLEObject Type="Embed" ProgID="Equation.3" ShapeID="_x0000_i1028" DrawAspect="Content" ObjectID="_1825583078"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6pt;height:18pt" o:ole="">
                  <v:imagedata r:id="rId27" o:title=""/>
                </v:shape>
                <o:OLEObject Type="Embed" ProgID="Equation.3" ShapeID="_x0000_i1029" DrawAspect="Content" ObjectID="_1825583079"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8D6549">
        <w:tc>
          <w:tcPr>
            <w:tcW w:w="856" w:type="dxa"/>
          </w:tcPr>
          <w:p w14:paraId="2E040718"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6B9100B4"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 = </w:t>
            </w:r>
            <w:proofErr w:type="spellStart"/>
            <w:r w:rsidRPr="00A044C1">
              <w:rPr>
                <w:rFonts w:ascii="Arial" w:eastAsia="Times New Roman" w:hAnsi="Arial" w:cs="Arial"/>
                <w:sz w:val="22"/>
                <w:szCs w:val="22"/>
                <w:lang w:eastAsia="en-US"/>
              </w:rPr>
              <w:t>IPb</w:t>
            </w:r>
            <w:proofErr w:type="spellEnd"/>
            <w:r w:rsidRPr="00A044C1">
              <w:rPr>
                <w:rFonts w:ascii="Arial" w:eastAsia="Times New Roman" w:hAnsi="Arial" w:cs="Arial"/>
                <w:sz w:val="22"/>
                <w:szCs w:val="22"/>
                <w:lang w:eastAsia="en-US"/>
              </w:rPr>
              <w:t xml:space="preserve"> / </w:t>
            </w:r>
            <w:proofErr w:type="spellStart"/>
            <w:r w:rsidRPr="00A044C1">
              <w:rPr>
                <w:rFonts w:ascii="Arial" w:eastAsia="Times New Roman" w:hAnsi="Arial" w:cs="Arial"/>
                <w:sz w:val="22"/>
                <w:szCs w:val="22"/>
                <w:lang w:eastAsia="en-US"/>
              </w:rPr>
              <w:t>IPr</w:t>
            </w:r>
            <w:proofErr w:type="spellEnd"/>
          </w:p>
          <w:p w14:paraId="5BB5619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8D6549">
            <w:pPr>
              <w:spacing w:after="120" w:line="240" w:lineRule="auto"/>
              <w:jc w:val="both"/>
              <w:rPr>
                <w:rFonts w:ascii="Arial" w:eastAsia="Times New Roman" w:hAnsi="Arial" w:cs="Arial"/>
                <w:sz w:val="22"/>
                <w:szCs w:val="22"/>
                <w:lang w:eastAsia="en-US"/>
              </w:rPr>
            </w:pPr>
            <w:proofErr w:type="spellStart"/>
            <w:r w:rsidRPr="00A044C1">
              <w:rPr>
                <w:rFonts w:ascii="Arial" w:eastAsia="Times New Roman" w:hAnsi="Arial" w:cs="Arial"/>
                <w:sz w:val="22"/>
                <w:szCs w:val="22"/>
                <w:lang w:eastAsia="en-US"/>
              </w:rPr>
              <w:t>IPr</w:t>
            </w:r>
            <w:proofErr w:type="spellEnd"/>
            <w:r w:rsidRPr="00A044C1">
              <w:rPr>
                <w:rFonts w:ascii="Arial" w:eastAsia="Times New Roman" w:hAnsi="Arial" w:cs="Arial"/>
                <w:sz w:val="22"/>
                <w:szCs w:val="22"/>
                <w:lang w:eastAsia="en-US"/>
              </w:rPr>
              <w:t xml:space="preserve"> – Indekso reikšmė laikotarpio pradžioje;</w:t>
            </w:r>
          </w:p>
          <w:p w14:paraId="1A8C6ED7" w14:textId="77777777" w:rsidR="00840D8D" w:rsidRPr="00A044C1" w:rsidRDefault="00840D8D" w:rsidP="008D6549">
            <w:pPr>
              <w:spacing w:after="120" w:line="240" w:lineRule="auto"/>
              <w:jc w:val="both"/>
              <w:rPr>
                <w:rFonts w:ascii="Arial" w:eastAsia="Times New Roman" w:hAnsi="Arial" w:cs="Arial"/>
                <w:sz w:val="22"/>
                <w:szCs w:val="22"/>
                <w:lang w:eastAsia="en-US"/>
              </w:rPr>
            </w:pPr>
            <w:proofErr w:type="spellStart"/>
            <w:r w:rsidRPr="00A044C1">
              <w:rPr>
                <w:rFonts w:ascii="Arial" w:eastAsia="Times New Roman" w:hAnsi="Arial" w:cs="Arial"/>
                <w:sz w:val="22"/>
                <w:szCs w:val="22"/>
                <w:lang w:eastAsia="en-US"/>
              </w:rPr>
              <w:t>IPb</w:t>
            </w:r>
            <w:proofErr w:type="spellEnd"/>
            <w:r w:rsidRPr="00A044C1">
              <w:rPr>
                <w:rFonts w:ascii="Arial" w:eastAsia="Times New Roman" w:hAnsi="Arial" w:cs="Arial"/>
                <w:sz w:val="22"/>
                <w:szCs w:val="22"/>
                <w:lang w:eastAsia="en-US"/>
              </w:rPr>
              <w:t xml:space="preserve"> – Indekso reikšmė laikotarpio pabaigoje;</w:t>
            </w:r>
          </w:p>
          <w:p w14:paraId="1884E4A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8D6549">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8D6549">
        <w:tc>
          <w:tcPr>
            <w:tcW w:w="856" w:type="dxa"/>
          </w:tcPr>
          <w:p w14:paraId="594BB1EC"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tcPr>
          <w:p w14:paraId="47F581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A044C1">
              <w:rPr>
                <w:rFonts w:ascii="Arial" w:eastAsia="Times New Roman" w:hAnsi="Arial" w:cs="Arial"/>
                <w:sz w:val="22"/>
                <w:szCs w:val="22"/>
                <w:lang w:eastAsia="en-US"/>
              </w:rPr>
              <w:lastRenderedPageBreak/>
              <w:t>nustatytus reikalavimus. Rangovas turi teisę prieštarauti nepagrįstiems mokėjimams Subrangovui trišalėje sutartyje nustatyta tvarka.</w:t>
            </w:r>
          </w:p>
        </w:tc>
      </w:tr>
      <w:tr w:rsidR="00840D8D" w:rsidRPr="00A044C1" w14:paraId="21B6D42F" w14:textId="77777777" w:rsidTr="008D6549">
        <w:tc>
          <w:tcPr>
            <w:tcW w:w="856" w:type="dxa"/>
          </w:tcPr>
          <w:p w14:paraId="7EC68E35"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9.11.</w:t>
            </w:r>
          </w:p>
        </w:tc>
        <w:tc>
          <w:tcPr>
            <w:tcW w:w="9214" w:type="dxa"/>
            <w:gridSpan w:val="2"/>
          </w:tcPr>
          <w:p w14:paraId="224A915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8D6549">
        <w:tc>
          <w:tcPr>
            <w:tcW w:w="10070" w:type="dxa"/>
            <w:gridSpan w:val="3"/>
          </w:tcPr>
          <w:p w14:paraId="7DF6C22C" w14:textId="77777777" w:rsidR="00840D8D" w:rsidRPr="00A044C1" w:rsidRDefault="00840D8D" w:rsidP="008D6549">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10. PAKEITIMAI</w:t>
            </w:r>
          </w:p>
        </w:tc>
      </w:tr>
      <w:tr w:rsidR="00840D8D" w:rsidRPr="00A044C1" w14:paraId="785B7490" w14:textId="77777777" w:rsidTr="008D6549">
        <w:trPr>
          <w:cantSplit/>
          <w:trHeight w:val="1455"/>
        </w:trPr>
        <w:tc>
          <w:tcPr>
            <w:tcW w:w="856" w:type="dxa"/>
          </w:tcPr>
          <w:p w14:paraId="2B085534" w14:textId="77777777" w:rsidR="00840D8D" w:rsidRPr="00A044C1" w:rsidRDefault="00840D8D" w:rsidP="008D6549">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tcPr>
          <w:p w14:paraId="79B97F48"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8D6549">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Pakeitimas pagrindžiamas dokumentais (pvz. defektiniu (pakeitimų) aktu, brėžiniais (</w:t>
            </w:r>
            <w:proofErr w:type="spellStart"/>
            <w:r w:rsidRPr="00A044C1">
              <w:rPr>
                <w:rFonts w:ascii="Arial" w:eastAsia="Times New Roman" w:hAnsi="Arial" w:cs="Arial"/>
                <w:sz w:val="22"/>
                <w:szCs w:val="22"/>
              </w:rPr>
              <w:t>įsk</w:t>
            </w:r>
            <w:proofErr w:type="spellEnd"/>
            <w:r w:rsidRPr="00A044C1">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8D6549">
        <w:trPr>
          <w:cantSplit/>
          <w:trHeight w:val="4528"/>
        </w:trPr>
        <w:tc>
          <w:tcPr>
            <w:tcW w:w="856" w:type="dxa"/>
          </w:tcPr>
          <w:p w14:paraId="6793B7D7"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290092F1"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8D6549">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8D6549">
        <w:trPr>
          <w:cantSplit/>
          <w:trHeight w:val="613"/>
        </w:trPr>
        <w:tc>
          <w:tcPr>
            <w:tcW w:w="856" w:type="dxa"/>
          </w:tcPr>
          <w:p w14:paraId="18D11190" w14:textId="77777777" w:rsidR="00840D8D" w:rsidRPr="00A044C1" w:rsidRDefault="00840D8D" w:rsidP="008D6549">
            <w:pPr>
              <w:numPr>
                <w:ilvl w:val="0"/>
                <w:numId w:val="46"/>
              </w:numPr>
              <w:spacing w:before="120" w:after="0" w:line="240" w:lineRule="auto"/>
              <w:rPr>
                <w:rFonts w:ascii="Arial" w:eastAsia="Times New Roman" w:hAnsi="Arial" w:cs="Arial"/>
                <w:sz w:val="22"/>
                <w:szCs w:val="22"/>
                <w:lang w:eastAsia="en-US"/>
              </w:rPr>
            </w:pPr>
          </w:p>
        </w:tc>
        <w:tc>
          <w:tcPr>
            <w:tcW w:w="9214" w:type="dxa"/>
            <w:gridSpan w:val="2"/>
          </w:tcPr>
          <w:p w14:paraId="279B783D"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w:t>
            </w:r>
            <w:proofErr w:type="spellStart"/>
            <w:r w:rsidRPr="00A044C1">
              <w:rPr>
                <w:rFonts w:ascii="Arial" w:eastAsia="Calibri" w:hAnsi="Arial" w:cs="Arial"/>
                <w:sz w:val="22"/>
                <w:szCs w:val="22"/>
                <w:lang w:eastAsia="en-US"/>
              </w:rPr>
              <w:t>įsk</w:t>
            </w:r>
            <w:proofErr w:type="spellEnd"/>
            <w:r w:rsidRPr="00A044C1">
              <w:rPr>
                <w:rFonts w:ascii="Arial" w:eastAsia="Calibri" w:hAnsi="Arial" w:cs="Arial"/>
                <w:sz w:val="22"/>
                <w:szCs w:val="22"/>
                <w:lang w:eastAsia="en-US"/>
              </w:rPr>
              <w:t xml:space="preserve">.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8D6549">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8D6549">
        <w:trPr>
          <w:cantSplit/>
          <w:trHeight w:val="613"/>
        </w:trPr>
        <w:tc>
          <w:tcPr>
            <w:tcW w:w="856" w:type="dxa"/>
          </w:tcPr>
          <w:p w14:paraId="4E8C2A7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244F229"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8D6549">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8D6549">
        <w:trPr>
          <w:cantSplit/>
          <w:trHeight w:val="613"/>
        </w:trPr>
        <w:tc>
          <w:tcPr>
            <w:tcW w:w="856" w:type="dxa"/>
          </w:tcPr>
          <w:p w14:paraId="5271FAC6"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9AE5930" w14:textId="77777777" w:rsidR="00840D8D" w:rsidRPr="00A044C1" w:rsidRDefault="00840D8D" w:rsidP="008D6549">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8D6549">
        <w:trPr>
          <w:cantSplit/>
          <w:trHeight w:val="613"/>
        </w:trPr>
        <w:tc>
          <w:tcPr>
            <w:tcW w:w="856" w:type="dxa"/>
          </w:tcPr>
          <w:p w14:paraId="1AB8C38D"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3D32AE2C"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8D6549">
        <w:tc>
          <w:tcPr>
            <w:tcW w:w="856" w:type="dxa"/>
          </w:tcPr>
          <w:p w14:paraId="1C0129D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3ADC4C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8D6549">
        <w:tc>
          <w:tcPr>
            <w:tcW w:w="856" w:type="dxa"/>
          </w:tcPr>
          <w:p w14:paraId="3734FDA2"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06F301E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8D6549">
        <w:tc>
          <w:tcPr>
            <w:tcW w:w="856" w:type="dxa"/>
          </w:tcPr>
          <w:p w14:paraId="1C42D138"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8D6549">
        <w:tc>
          <w:tcPr>
            <w:tcW w:w="10070" w:type="dxa"/>
            <w:gridSpan w:val="3"/>
          </w:tcPr>
          <w:p w14:paraId="653CBB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8D6549">
        <w:tc>
          <w:tcPr>
            <w:tcW w:w="856" w:type="dxa"/>
          </w:tcPr>
          <w:p w14:paraId="1EFF57ED" w14:textId="77777777" w:rsidR="00840D8D" w:rsidRPr="00A044C1" w:rsidRDefault="00840D8D" w:rsidP="008D6549">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tcPr>
          <w:p w14:paraId="44DCD9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8D6549">
        <w:tc>
          <w:tcPr>
            <w:tcW w:w="856" w:type="dxa"/>
          </w:tcPr>
          <w:p w14:paraId="43C11EC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8D6549">
        <w:tc>
          <w:tcPr>
            <w:tcW w:w="856" w:type="dxa"/>
          </w:tcPr>
          <w:p w14:paraId="61B1F21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02A2176F"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8D6549">
        <w:tc>
          <w:tcPr>
            <w:tcW w:w="10070" w:type="dxa"/>
            <w:gridSpan w:val="3"/>
          </w:tcPr>
          <w:p w14:paraId="3388677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8D6549">
        <w:tc>
          <w:tcPr>
            <w:tcW w:w="856" w:type="dxa"/>
          </w:tcPr>
          <w:p w14:paraId="0A130B05"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179A76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8D6549">
        <w:tc>
          <w:tcPr>
            <w:tcW w:w="856" w:type="dxa"/>
          </w:tcPr>
          <w:p w14:paraId="40D5D2A3" w14:textId="77777777" w:rsidR="00840D8D" w:rsidRPr="00A044C1" w:rsidRDefault="00840D8D" w:rsidP="008D6549">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65FE9A6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8D6549">
        <w:tc>
          <w:tcPr>
            <w:tcW w:w="856" w:type="dxa"/>
          </w:tcPr>
          <w:p w14:paraId="339F7B33" w14:textId="77777777" w:rsidR="00840D8D" w:rsidRPr="00A044C1" w:rsidRDefault="00840D8D" w:rsidP="008D6549">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tcPr>
          <w:p w14:paraId="08462A5F"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8D6549">
        <w:tc>
          <w:tcPr>
            <w:tcW w:w="856" w:type="dxa"/>
          </w:tcPr>
          <w:p w14:paraId="3E21D03F" w14:textId="77777777" w:rsidR="00840D8D" w:rsidRPr="00A044C1" w:rsidRDefault="00840D8D" w:rsidP="008D6549">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23EE345"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8D6549">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8D6549">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8D6549">
        <w:tc>
          <w:tcPr>
            <w:tcW w:w="856" w:type="dxa"/>
          </w:tcPr>
          <w:p w14:paraId="07859E9E"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2C22D689"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8D6549">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8D6549">
        <w:tc>
          <w:tcPr>
            <w:tcW w:w="856" w:type="dxa"/>
          </w:tcPr>
          <w:p w14:paraId="79689E29"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D8884C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8D6549">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8D6549">
        <w:tc>
          <w:tcPr>
            <w:tcW w:w="856" w:type="dxa"/>
          </w:tcPr>
          <w:p w14:paraId="73D306F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01BE3607"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8D6549">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8D6549">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8D6549">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8D6549">
        <w:tc>
          <w:tcPr>
            <w:tcW w:w="856" w:type="dxa"/>
          </w:tcPr>
          <w:p w14:paraId="67D8458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6EEF52A8"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8D6549">
        <w:tc>
          <w:tcPr>
            <w:tcW w:w="856" w:type="dxa"/>
          </w:tcPr>
          <w:p w14:paraId="18981B9E"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1E683D5D"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8D6549">
        <w:tc>
          <w:tcPr>
            <w:tcW w:w="10070" w:type="dxa"/>
            <w:gridSpan w:val="3"/>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8D6549">
        <w:tc>
          <w:tcPr>
            <w:tcW w:w="856" w:type="dxa"/>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8D6549">
        <w:tc>
          <w:tcPr>
            <w:tcW w:w="10070" w:type="dxa"/>
            <w:gridSpan w:val="3"/>
          </w:tcPr>
          <w:p w14:paraId="164D90AF"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8D6549">
        <w:tc>
          <w:tcPr>
            <w:tcW w:w="856" w:type="dxa"/>
          </w:tcPr>
          <w:p w14:paraId="772F1B07" w14:textId="77777777" w:rsidR="00840D8D" w:rsidRPr="00A044C1" w:rsidRDefault="00840D8D" w:rsidP="008D6549">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8D6549">
        <w:tc>
          <w:tcPr>
            <w:tcW w:w="856" w:type="dxa"/>
          </w:tcPr>
          <w:p w14:paraId="7D64B793"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8D6549">
        <w:tc>
          <w:tcPr>
            <w:tcW w:w="856" w:type="dxa"/>
          </w:tcPr>
          <w:p w14:paraId="6465D4CA"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8D6549">
        <w:tc>
          <w:tcPr>
            <w:tcW w:w="10070" w:type="dxa"/>
            <w:gridSpan w:val="3"/>
          </w:tcPr>
          <w:p w14:paraId="4F678F55"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8D6549">
        <w:tc>
          <w:tcPr>
            <w:tcW w:w="898" w:type="dxa"/>
            <w:gridSpan w:val="2"/>
          </w:tcPr>
          <w:p w14:paraId="3EB0FCF9" w14:textId="77777777" w:rsidR="00840D8D" w:rsidRPr="00A044C1" w:rsidRDefault="00840D8D" w:rsidP="008D6549">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tcPr>
          <w:p w14:paraId="26E5A5BD" w14:textId="77777777" w:rsidR="00840D8D" w:rsidRPr="00A044C1" w:rsidRDefault="00840D8D" w:rsidP="008D6549">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8D6549">
        <w:tc>
          <w:tcPr>
            <w:tcW w:w="898" w:type="dxa"/>
            <w:gridSpan w:val="2"/>
          </w:tcPr>
          <w:p w14:paraId="43B160B6"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tcPr>
          <w:p w14:paraId="06D7EE47"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8D6549">
        <w:tc>
          <w:tcPr>
            <w:tcW w:w="898" w:type="dxa"/>
            <w:gridSpan w:val="2"/>
          </w:tcPr>
          <w:p w14:paraId="4545C70A"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tcPr>
          <w:p w14:paraId="20F1B38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8D6549">
        <w:tc>
          <w:tcPr>
            <w:tcW w:w="898" w:type="dxa"/>
            <w:gridSpan w:val="2"/>
          </w:tcPr>
          <w:p w14:paraId="428C28E7"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8D6549">
        <w:tc>
          <w:tcPr>
            <w:tcW w:w="898" w:type="dxa"/>
            <w:gridSpan w:val="2"/>
          </w:tcPr>
          <w:p w14:paraId="41CEE783"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172" w:type="dxa"/>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8D6549">
              <w:tc>
                <w:tcPr>
                  <w:tcW w:w="5076" w:type="dxa"/>
                </w:tcPr>
                <w:p w14:paraId="3994769D" w14:textId="77777777" w:rsidR="00840D8D" w:rsidRPr="00A044C1" w:rsidRDefault="00840D8D" w:rsidP="008D6549">
                  <w:pPr>
                    <w:spacing w:after="0" w:line="240" w:lineRule="auto"/>
                    <w:rPr>
                      <w:rFonts w:ascii="Arial" w:hAnsi="Arial" w:cs="Arial"/>
                      <w:sz w:val="22"/>
                      <w:szCs w:val="22"/>
                    </w:rPr>
                  </w:pPr>
                </w:p>
                <w:p w14:paraId="0F973FB4"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8D6549">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8D6549">
                  <w:pPr>
                    <w:spacing w:after="0" w:line="240" w:lineRule="auto"/>
                    <w:rPr>
                      <w:rFonts w:ascii="Arial" w:hAnsi="Arial" w:cs="Arial"/>
                      <w:sz w:val="22"/>
                      <w:szCs w:val="22"/>
                    </w:rPr>
                  </w:pPr>
                </w:p>
              </w:tc>
              <w:tc>
                <w:tcPr>
                  <w:tcW w:w="3702" w:type="dxa"/>
                </w:tcPr>
                <w:p w14:paraId="5E5ED147" w14:textId="77777777" w:rsidR="00840D8D" w:rsidRPr="00A044C1" w:rsidRDefault="00840D8D" w:rsidP="008D6549">
                  <w:pPr>
                    <w:spacing w:after="0" w:line="240" w:lineRule="auto"/>
                    <w:rPr>
                      <w:rFonts w:ascii="Arial" w:hAnsi="Arial" w:cs="Arial"/>
                      <w:sz w:val="22"/>
                      <w:szCs w:val="22"/>
                    </w:rPr>
                  </w:pPr>
                </w:p>
                <w:p w14:paraId="768F87C7"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8D6549">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8D6549">
                  <w:pPr>
                    <w:spacing w:after="0" w:line="240" w:lineRule="auto"/>
                    <w:jc w:val="both"/>
                    <w:rPr>
                      <w:rFonts w:ascii="Arial" w:hAnsi="Arial" w:cs="Arial"/>
                      <w:sz w:val="22"/>
                      <w:szCs w:val="22"/>
                    </w:rPr>
                  </w:pPr>
                </w:p>
              </w:tc>
            </w:tr>
            <w:tr w:rsidR="00840D8D" w:rsidRPr="00A044C1" w14:paraId="07EC5B67" w14:textId="77777777" w:rsidTr="008D6549">
              <w:tc>
                <w:tcPr>
                  <w:tcW w:w="5076" w:type="dxa"/>
                </w:tcPr>
                <w:p w14:paraId="75421741"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8D6549">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w:t>
      </w:r>
      <w:proofErr w:type="spellStart"/>
      <w:r w:rsidR="007D43DC" w:rsidRPr="00A044C1">
        <w:rPr>
          <w:rFonts w:ascii="Arial" w:hAnsi="Arial" w:cs="Arial"/>
          <w:color w:val="000000" w:themeColor="text1"/>
          <w:sz w:val="24"/>
          <w:szCs w:val="24"/>
        </w:rPr>
        <w:t>Un</w:t>
      </w:r>
      <w:proofErr w:type="spellEnd"/>
      <w:r w:rsidR="007D43DC" w:rsidRPr="00A044C1">
        <w:rPr>
          <w:rFonts w:ascii="Arial" w:hAnsi="Arial" w:cs="Arial"/>
          <w:color w:val="000000" w:themeColor="text1"/>
          <w:sz w:val="24"/>
          <w:szCs w:val="24"/>
        </w:rPr>
        <w:t>.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8D6549">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8D6549">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8D6549">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8D6549">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8D6549">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8D6549">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8D6549">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8D6549">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8D6549">
        <w:trPr>
          <w:trHeight w:val="277"/>
        </w:trPr>
        <w:tc>
          <w:tcPr>
            <w:tcW w:w="8156" w:type="dxa"/>
            <w:gridSpan w:val="6"/>
            <w:tcBorders>
              <w:right w:val="single" w:sz="4" w:space="0" w:color="auto"/>
            </w:tcBorders>
          </w:tcPr>
          <w:p w14:paraId="6310BE4C" w14:textId="77777777" w:rsidR="00DE2415" w:rsidRPr="00A044C1" w:rsidRDefault="00DE2415" w:rsidP="008D6549">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8D6549">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8D6549">
        <w:trPr>
          <w:trHeight w:val="147"/>
        </w:trPr>
        <w:tc>
          <w:tcPr>
            <w:tcW w:w="8156" w:type="dxa"/>
            <w:gridSpan w:val="6"/>
          </w:tcPr>
          <w:p w14:paraId="2A884509"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8D6549">
        <w:trPr>
          <w:trHeight w:val="147"/>
        </w:trPr>
        <w:tc>
          <w:tcPr>
            <w:tcW w:w="8156" w:type="dxa"/>
            <w:gridSpan w:val="6"/>
          </w:tcPr>
          <w:p w14:paraId="4B92511C"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8D6549">
        <w:trPr>
          <w:trHeight w:hRule="exact" w:val="1021"/>
        </w:trPr>
        <w:tc>
          <w:tcPr>
            <w:tcW w:w="2552" w:type="dxa"/>
            <w:vAlign w:val="center"/>
          </w:tcPr>
          <w:p w14:paraId="3D90B88F"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8D6549">
        <w:trPr>
          <w:trHeight w:val="567"/>
        </w:trPr>
        <w:tc>
          <w:tcPr>
            <w:tcW w:w="2552" w:type="dxa"/>
            <w:vAlign w:val="center"/>
          </w:tcPr>
          <w:p w14:paraId="4F382B4D" w14:textId="77777777" w:rsidR="00E10348" w:rsidRPr="00A044C1" w:rsidRDefault="00E10348" w:rsidP="008D6549">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8D6549">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8D6549">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8D6549">
            <w:pPr>
              <w:spacing w:after="0" w:line="240" w:lineRule="auto"/>
              <w:jc w:val="center"/>
              <w:rPr>
                <w:rFonts w:ascii="Arial" w:hAnsi="Arial" w:cs="Arial"/>
                <w:sz w:val="24"/>
                <w:szCs w:val="24"/>
                <w:lang w:eastAsia="en-US"/>
              </w:rPr>
            </w:pPr>
          </w:p>
          <w:p w14:paraId="097F0FCB"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8D6549">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5B0028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05136E8F"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8D6549">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DF13DD5"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49FE1689"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489429A"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F344F1B"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2722FFC4"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AAFCB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02466386"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0DAABC5"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5194699" w14:textId="77777777" w:rsidTr="008D6549">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B08BA8C" w14:textId="77777777" w:rsidTr="008D6549">
        <w:trPr>
          <w:trHeight w:val="240"/>
        </w:trPr>
        <w:tc>
          <w:tcPr>
            <w:tcW w:w="540" w:type="dxa"/>
            <w:tcBorders>
              <w:top w:val="single" w:sz="4" w:space="0" w:color="auto"/>
              <w:left w:val="nil"/>
              <w:bottom w:val="nil"/>
              <w:right w:val="nil"/>
            </w:tcBorders>
          </w:tcPr>
          <w:p w14:paraId="45B64681" w14:textId="77777777" w:rsidR="006E79CB" w:rsidRPr="00A044C1" w:rsidRDefault="006E79CB" w:rsidP="008D6549">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8D6549">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8D6549">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387724D" w14:textId="77777777" w:rsidTr="008D6549">
        <w:trPr>
          <w:trHeight w:val="240"/>
        </w:trPr>
        <w:tc>
          <w:tcPr>
            <w:tcW w:w="540" w:type="dxa"/>
          </w:tcPr>
          <w:p w14:paraId="78E97335" w14:textId="77777777" w:rsidR="006E79CB" w:rsidRPr="00A044C1" w:rsidRDefault="006E79CB" w:rsidP="008D6549">
            <w:pPr>
              <w:spacing w:after="0" w:line="240" w:lineRule="auto"/>
              <w:rPr>
                <w:rFonts w:ascii="Arial" w:hAnsi="Arial" w:cs="Arial"/>
                <w:sz w:val="24"/>
                <w:szCs w:val="24"/>
              </w:rPr>
            </w:pPr>
          </w:p>
        </w:tc>
        <w:tc>
          <w:tcPr>
            <w:tcW w:w="2796" w:type="dxa"/>
          </w:tcPr>
          <w:p w14:paraId="2EF5BD1A" w14:textId="77777777" w:rsidR="006E79CB" w:rsidRPr="00A044C1" w:rsidRDefault="006E79CB" w:rsidP="008D6549">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8D6549">
            <w:pPr>
              <w:spacing w:after="0" w:line="240" w:lineRule="auto"/>
              <w:jc w:val="center"/>
              <w:rPr>
                <w:rFonts w:ascii="Arial" w:hAnsi="Arial" w:cs="Arial"/>
                <w:b/>
                <w:bCs/>
                <w:sz w:val="24"/>
                <w:szCs w:val="24"/>
              </w:rPr>
            </w:pPr>
          </w:p>
        </w:tc>
      </w:tr>
      <w:tr w:rsidR="006E79CB" w:rsidRPr="00A044C1" w14:paraId="3FAB82E6" w14:textId="77777777" w:rsidTr="008D6549">
        <w:trPr>
          <w:trHeight w:val="255"/>
        </w:trPr>
        <w:tc>
          <w:tcPr>
            <w:tcW w:w="540" w:type="dxa"/>
          </w:tcPr>
          <w:p w14:paraId="6E38B109" w14:textId="77777777" w:rsidR="006E79CB" w:rsidRPr="00A044C1" w:rsidRDefault="006E79CB" w:rsidP="008D6549">
            <w:pPr>
              <w:spacing w:after="0" w:line="240" w:lineRule="auto"/>
              <w:rPr>
                <w:rFonts w:ascii="Arial" w:hAnsi="Arial" w:cs="Arial"/>
                <w:bCs/>
                <w:sz w:val="24"/>
                <w:szCs w:val="24"/>
              </w:rPr>
            </w:pPr>
          </w:p>
        </w:tc>
        <w:tc>
          <w:tcPr>
            <w:tcW w:w="2796" w:type="dxa"/>
          </w:tcPr>
          <w:p w14:paraId="0FECA7E6" w14:textId="77777777" w:rsidR="006E79CB" w:rsidRPr="00A044C1" w:rsidRDefault="006E79CB" w:rsidP="008D6549">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8D6549">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8D6549">
        <w:trPr>
          <w:trHeight w:val="375"/>
        </w:trPr>
        <w:tc>
          <w:tcPr>
            <w:tcW w:w="556" w:type="dxa"/>
            <w:vMerge w:val="restart"/>
            <w:vAlign w:val="center"/>
          </w:tcPr>
          <w:p w14:paraId="40C1B0D8"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8D6549">
        <w:trPr>
          <w:trHeight w:val="510"/>
        </w:trPr>
        <w:tc>
          <w:tcPr>
            <w:tcW w:w="556" w:type="dxa"/>
            <w:vMerge/>
            <w:vAlign w:val="center"/>
          </w:tcPr>
          <w:p w14:paraId="1A8A7591"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8D6549">
        <w:trPr>
          <w:trHeight w:val="510"/>
        </w:trPr>
        <w:tc>
          <w:tcPr>
            <w:tcW w:w="556" w:type="dxa"/>
            <w:vMerge/>
            <w:vAlign w:val="center"/>
          </w:tcPr>
          <w:p w14:paraId="0865CA26"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8D6549">
        <w:tc>
          <w:tcPr>
            <w:tcW w:w="556" w:type="dxa"/>
          </w:tcPr>
          <w:p w14:paraId="61BDCF7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8D6549">
            <w:pPr>
              <w:spacing w:before="60" w:after="60" w:line="240" w:lineRule="auto"/>
              <w:jc w:val="both"/>
              <w:rPr>
                <w:rFonts w:ascii="Arial" w:hAnsi="Arial" w:cs="Arial"/>
                <w:sz w:val="24"/>
                <w:szCs w:val="24"/>
                <w:lang w:eastAsia="en-US"/>
              </w:rPr>
            </w:pPr>
          </w:p>
        </w:tc>
      </w:tr>
      <w:tr w:rsidR="008A1457" w:rsidRPr="00A044C1" w14:paraId="710B016D" w14:textId="77777777" w:rsidTr="008D6549">
        <w:tc>
          <w:tcPr>
            <w:tcW w:w="556" w:type="dxa"/>
          </w:tcPr>
          <w:p w14:paraId="30185A2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8D6549">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8D6549">
        <w:trPr>
          <w:trHeight w:val="869"/>
          <w:jc w:val="center"/>
        </w:trPr>
        <w:tc>
          <w:tcPr>
            <w:tcW w:w="8647" w:type="dxa"/>
          </w:tcPr>
          <w:p w14:paraId="6C4BD3CD" w14:textId="77777777" w:rsidR="00933C28" w:rsidRPr="00A044C1" w:rsidRDefault="00933C28" w:rsidP="008D6549">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8D6549">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8D6549">
        <w:trPr>
          <w:jc w:val="center"/>
        </w:trPr>
        <w:tc>
          <w:tcPr>
            <w:tcW w:w="8647" w:type="dxa"/>
          </w:tcPr>
          <w:p w14:paraId="6065B901" w14:textId="77777777" w:rsidR="00933C28" w:rsidRPr="00A044C1" w:rsidRDefault="00933C28" w:rsidP="008D6549">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8D6549">
        <w:trPr>
          <w:trHeight w:val="423"/>
          <w:jc w:val="center"/>
        </w:trPr>
        <w:tc>
          <w:tcPr>
            <w:tcW w:w="8647" w:type="dxa"/>
          </w:tcPr>
          <w:p w14:paraId="2D8B9A34"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8D6549">
        <w:trPr>
          <w:jc w:val="center"/>
        </w:trPr>
        <w:tc>
          <w:tcPr>
            <w:tcW w:w="8647" w:type="dxa"/>
          </w:tcPr>
          <w:p w14:paraId="36AE0AE3"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8D6549">
            <w:pPr>
              <w:spacing w:after="0" w:line="240" w:lineRule="auto"/>
              <w:jc w:val="both"/>
              <w:rPr>
                <w:rFonts w:ascii="Arial" w:hAnsi="Arial" w:cs="Arial"/>
                <w:sz w:val="24"/>
                <w:szCs w:val="24"/>
                <w:lang w:eastAsia="en-US"/>
              </w:rPr>
            </w:pPr>
          </w:p>
        </w:tc>
      </w:tr>
      <w:tr w:rsidR="00933C28" w:rsidRPr="00A044C1" w14:paraId="541F8353" w14:textId="77777777" w:rsidTr="008D6549">
        <w:trPr>
          <w:jc w:val="center"/>
        </w:trPr>
        <w:tc>
          <w:tcPr>
            <w:tcW w:w="8647" w:type="dxa"/>
          </w:tcPr>
          <w:p w14:paraId="6D78F36D" w14:textId="77777777" w:rsidR="00933C28" w:rsidRPr="00A044C1" w:rsidRDefault="00933C28" w:rsidP="008D6549">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8D6549">
        <w:trPr>
          <w:jc w:val="center"/>
        </w:trPr>
        <w:tc>
          <w:tcPr>
            <w:tcW w:w="8647" w:type="dxa"/>
          </w:tcPr>
          <w:p w14:paraId="57FDE230"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8D6549">
        <w:trPr>
          <w:jc w:val="center"/>
        </w:trPr>
        <w:tc>
          <w:tcPr>
            <w:tcW w:w="8647" w:type="dxa"/>
          </w:tcPr>
          <w:p w14:paraId="740813CD"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8D6549">
        <w:trPr>
          <w:gridAfter w:val="1"/>
          <w:wAfter w:w="6" w:type="dxa"/>
          <w:trHeight w:val="150"/>
        </w:trPr>
        <w:tc>
          <w:tcPr>
            <w:tcW w:w="4299" w:type="dxa"/>
          </w:tcPr>
          <w:p w14:paraId="204DBFDE"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8D6549">
        <w:trPr>
          <w:gridAfter w:val="1"/>
          <w:wAfter w:w="6" w:type="dxa"/>
          <w:trHeight w:val="150"/>
        </w:trPr>
        <w:tc>
          <w:tcPr>
            <w:tcW w:w="4299" w:type="dxa"/>
          </w:tcPr>
          <w:p w14:paraId="7572DAB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8D6549">
        <w:trPr>
          <w:gridAfter w:val="1"/>
          <w:wAfter w:w="6" w:type="dxa"/>
          <w:trHeight w:val="150"/>
        </w:trPr>
        <w:tc>
          <w:tcPr>
            <w:tcW w:w="4299" w:type="dxa"/>
          </w:tcPr>
          <w:p w14:paraId="2440E2D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8D6549">
        <w:trPr>
          <w:gridAfter w:val="1"/>
          <w:wAfter w:w="6" w:type="dxa"/>
          <w:trHeight w:val="150"/>
        </w:trPr>
        <w:tc>
          <w:tcPr>
            <w:tcW w:w="4299" w:type="dxa"/>
          </w:tcPr>
          <w:p w14:paraId="1394ED09"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8D6549">
        <w:trPr>
          <w:gridAfter w:val="1"/>
          <w:wAfter w:w="6" w:type="dxa"/>
          <w:trHeight w:val="150"/>
        </w:trPr>
        <w:tc>
          <w:tcPr>
            <w:tcW w:w="4299" w:type="dxa"/>
          </w:tcPr>
          <w:p w14:paraId="01482F47"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8D6549">
        <w:trPr>
          <w:gridAfter w:val="1"/>
          <w:wAfter w:w="6" w:type="dxa"/>
          <w:trHeight w:val="150"/>
        </w:trPr>
        <w:tc>
          <w:tcPr>
            <w:tcW w:w="4299" w:type="dxa"/>
          </w:tcPr>
          <w:p w14:paraId="4149729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8D6549">
        <w:trPr>
          <w:gridAfter w:val="1"/>
          <w:wAfter w:w="6" w:type="dxa"/>
          <w:trHeight w:val="150"/>
        </w:trPr>
        <w:tc>
          <w:tcPr>
            <w:tcW w:w="4299" w:type="dxa"/>
          </w:tcPr>
          <w:p w14:paraId="777C2C80"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6351AD29" w14:textId="77777777" w:rsidTr="008D6549">
        <w:trPr>
          <w:gridAfter w:val="1"/>
          <w:wAfter w:w="6" w:type="dxa"/>
          <w:trHeight w:val="453"/>
        </w:trPr>
        <w:tc>
          <w:tcPr>
            <w:tcW w:w="4299" w:type="dxa"/>
          </w:tcPr>
          <w:p w14:paraId="534F60CE"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8D6549">
        <w:trPr>
          <w:gridAfter w:val="1"/>
          <w:wAfter w:w="6" w:type="dxa"/>
          <w:trHeight w:val="150"/>
        </w:trPr>
        <w:tc>
          <w:tcPr>
            <w:tcW w:w="4299" w:type="dxa"/>
          </w:tcPr>
          <w:p w14:paraId="4F6CD69C"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B31974B" w14:textId="77777777" w:rsidTr="008D6549">
        <w:trPr>
          <w:trHeight w:val="309"/>
        </w:trPr>
        <w:tc>
          <w:tcPr>
            <w:tcW w:w="4299" w:type="dxa"/>
          </w:tcPr>
          <w:p w14:paraId="5A539F3B"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551074A5"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8D6549">
        <w:trPr>
          <w:trHeight w:val="150"/>
        </w:trPr>
        <w:tc>
          <w:tcPr>
            <w:tcW w:w="4299" w:type="dxa"/>
          </w:tcPr>
          <w:p w14:paraId="0885C22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0E755A7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8D6549">
        <w:trPr>
          <w:trHeight w:val="150"/>
        </w:trPr>
        <w:tc>
          <w:tcPr>
            <w:tcW w:w="4299" w:type="dxa"/>
          </w:tcPr>
          <w:p w14:paraId="7745A44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45BB608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8D6549">
        <w:trPr>
          <w:trHeight w:val="150"/>
        </w:trPr>
        <w:tc>
          <w:tcPr>
            <w:tcW w:w="4299" w:type="dxa"/>
          </w:tcPr>
          <w:p w14:paraId="6F2A0969"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AB7EE51"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F5B0589" w14:textId="77777777" w:rsidTr="008D6549">
        <w:trPr>
          <w:trHeight w:val="302"/>
        </w:trPr>
        <w:tc>
          <w:tcPr>
            <w:tcW w:w="4299" w:type="dxa"/>
          </w:tcPr>
          <w:p w14:paraId="1DD92066"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DBCA0B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37E9" w14:textId="77777777" w:rsidR="00B8350C" w:rsidRDefault="00B8350C" w:rsidP="00D05666">
      <w:r>
        <w:separator/>
      </w:r>
    </w:p>
  </w:endnote>
  <w:endnote w:type="continuationSeparator" w:id="0">
    <w:p w14:paraId="4EAB27FB" w14:textId="77777777" w:rsidR="00B8350C" w:rsidRDefault="00B8350C" w:rsidP="00D05666">
      <w:r>
        <w:continuationSeparator/>
      </w:r>
    </w:p>
  </w:endnote>
  <w:endnote w:type="continuationNotice" w:id="1">
    <w:p w14:paraId="33F18993" w14:textId="77777777" w:rsidR="00B8350C" w:rsidRDefault="00B83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8D6549" w:rsidRDefault="008D6549">
    <w:pPr>
      <w:pStyle w:val="Porat"/>
      <w:jc w:val="right"/>
    </w:pPr>
  </w:p>
  <w:p w14:paraId="055126EA" w14:textId="77777777" w:rsidR="008D6549" w:rsidRDefault="008D65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8A24" w14:textId="77777777" w:rsidR="00B8350C" w:rsidRDefault="00B8350C" w:rsidP="00D05666">
      <w:r>
        <w:separator/>
      </w:r>
    </w:p>
  </w:footnote>
  <w:footnote w:type="continuationSeparator" w:id="0">
    <w:p w14:paraId="64CEE810" w14:textId="77777777" w:rsidR="00B8350C" w:rsidRDefault="00B8350C" w:rsidP="00D05666">
      <w:r>
        <w:continuationSeparator/>
      </w:r>
    </w:p>
  </w:footnote>
  <w:footnote w:type="continuationNotice" w:id="1">
    <w:p w14:paraId="36357BC4" w14:textId="77777777" w:rsidR="00B8350C" w:rsidRDefault="00B8350C">
      <w:pPr>
        <w:spacing w:after="0" w:line="240" w:lineRule="auto"/>
      </w:pPr>
    </w:p>
  </w:footnote>
  <w:footnote w:id="2">
    <w:p w14:paraId="4E4A915A" w14:textId="77777777" w:rsidR="008D6549" w:rsidRDefault="008D6549" w:rsidP="00F25A9B">
      <w:pPr>
        <w:pStyle w:val="Puslapioinaostekstas"/>
        <w:tabs>
          <w:tab w:val="left" w:pos="3276"/>
        </w:tabs>
      </w:pPr>
    </w:p>
  </w:footnote>
  <w:footnote w:id="3">
    <w:p w14:paraId="1DB712F9" w14:textId="77777777" w:rsidR="008D6549" w:rsidRPr="00FD6131" w:rsidRDefault="008D6549"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8D6549" w:rsidRPr="00FD6131" w:rsidRDefault="008D6549"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8D6549" w:rsidRPr="00FD6131" w:rsidRDefault="008D6549"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D6549" w:rsidRPr="00FD6131" w:rsidRDefault="008D6549"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D6549" w:rsidRPr="00854D2A" w:rsidRDefault="008D6549"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8D6549" w:rsidRPr="00FD6131" w:rsidRDefault="008D6549"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8D6549" w:rsidRPr="00F96972" w:rsidRDefault="008D6549"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8D6549" w:rsidRPr="00FD6131" w:rsidRDefault="008D6549"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8D6549" w:rsidRPr="00F96972" w:rsidRDefault="008D6549"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D6549" w:rsidRPr="00045915" w:rsidRDefault="008D6549"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841966">
    <w:abstractNumId w:val="25"/>
  </w:num>
  <w:num w:numId="2" w16cid:durableId="1457680997">
    <w:abstractNumId w:val="5"/>
  </w:num>
  <w:num w:numId="3" w16cid:durableId="810559733">
    <w:abstractNumId w:val="57"/>
  </w:num>
  <w:num w:numId="4" w16cid:durableId="269356812">
    <w:abstractNumId w:val="46"/>
  </w:num>
  <w:num w:numId="5" w16cid:durableId="802962442">
    <w:abstractNumId w:val="3"/>
  </w:num>
  <w:num w:numId="6" w16cid:durableId="1265575693">
    <w:abstractNumId w:val="72"/>
  </w:num>
  <w:num w:numId="7" w16cid:durableId="1063797224">
    <w:abstractNumId w:val="61"/>
  </w:num>
  <w:num w:numId="8" w16cid:durableId="185024364">
    <w:abstractNumId w:val="33"/>
  </w:num>
  <w:num w:numId="9" w16cid:durableId="855311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219372">
    <w:abstractNumId w:val="49"/>
  </w:num>
  <w:num w:numId="11" w16cid:durableId="361327720">
    <w:abstractNumId w:val="73"/>
  </w:num>
  <w:num w:numId="12" w16cid:durableId="1825704704">
    <w:abstractNumId w:val="74"/>
  </w:num>
  <w:num w:numId="13" w16cid:durableId="448621772">
    <w:abstractNumId w:val="15"/>
  </w:num>
  <w:num w:numId="14" w16cid:durableId="2128431901">
    <w:abstractNumId w:val="35"/>
  </w:num>
  <w:num w:numId="15" w16cid:durableId="332296652">
    <w:abstractNumId w:val="7"/>
  </w:num>
  <w:num w:numId="16" w16cid:durableId="1525258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62989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6573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36470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0108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3528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945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767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492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974549">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887898">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794455">
    <w:abstractNumId w:val="26"/>
  </w:num>
  <w:num w:numId="28" w16cid:durableId="1853496158">
    <w:abstractNumId w:val="0"/>
  </w:num>
  <w:num w:numId="29" w16cid:durableId="1644237748">
    <w:abstractNumId w:val="54"/>
  </w:num>
  <w:num w:numId="30" w16cid:durableId="1409690616">
    <w:abstractNumId w:val="59"/>
  </w:num>
  <w:num w:numId="31" w16cid:durableId="113519829">
    <w:abstractNumId w:val="53"/>
  </w:num>
  <w:num w:numId="32" w16cid:durableId="2090887766">
    <w:abstractNumId w:val="24"/>
  </w:num>
  <w:num w:numId="33" w16cid:durableId="1779060897">
    <w:abstractNumId w:val="8"/>
  </w:num>
  <w:num w:numId="34" w16cid:durableId="11996863">
    <w:abstractNumId w:val="41"/>
  </w:num>
  <w:num w:numId="35" w16cid:durableId="344674877">
    <w:abstractNumId w:val="48"/>
  </w:num>
  <w:num w:numId="36" w16cid:durableId="1064178080">
    <w:abstractNumId w:val="69"/>
  </w:num>
  <w:num w:numId="37" w16cid:durableId="345833692">
    <w:abstractNumId w:val="18"/>
  </w:num>
  <w:num w:numId="38" w16cid:durableId="1928340484">
    <w:abstractNumId w:val="36"/>
  </w:num>
  <w:num w:numId="39" w16cid:durableId="1074858269">
    <w:abstractNumId w:val="47"/>
  </w:num>
  <w:num w:numId="40" w16cid:durableId="1792046604">
    <w:abstractNumId w:val="27"/>
  </w:num>
  <w:num w:numId="41" w16cid:durableId="904686582">
    <w:abstractNumId w:val="77"/>
  </w:num>
  <w:num w:numId="42" w16cid:durableId="1773158581">
    <w:abstractNumId w:val="6"/>
  </w:num>
  <w:num w:numId="43" w16cid:durableId="991837695">
    <w:abstractNumId w:val="60"/>
  </w:num>
  <w:num w:numId="44" w16cid:durableId="1432122414">
    <w:abstractNumId w:val="44"/>
  </w:num>
  <w:num w:numId="45" w16cid:durableId="1181237667">
    <w:abstractNumId w:val="13"/>
  </w:num>
  <w:num w:numId="46" w16cid:durableId="250968127">
    <w:abstractNumId w:val="2"/>
  </w:num>
  <w:num w:numId="47" w16cid:durableId="921455237">
    <w:abstractNumId w:val="65"/>
  </w:num>
  <w:num w:numId="48" w16cid:durableId="2073232512">
    <w:abstractNumId w:val="67"/>
  </w:num>
  <w:num w:numId="49" w16cid:durableId="250357922">
    <w:abstractNumId w:val="78"/>
  </w:num>
  <w:num w:numId="50" w16cid:durableId="681710037">
    <w:abstractNumId w:val="29"/>
  </w:num>
  <w:num w:numId="51" w16cid:durableId="1637443061">
    <w:abstractNumId w:val="16"/>
  </w:num>
  <w:num w:numId="52" w16cid:durableId="267743265">
    <w:abstractNumId w:val="9"/>
  </w:num>
  <w:num w:numId="53" w16cid:durableId="515657577">
    <w:abstractNumId w:val="1"/>
  </w:num>
  <w:num w:numId="54" w16cid:durableId="107626000">
    <w:abstractNumId w:val="28"/>
  </w:num>
  <w:num w:numId="55" w16cid:durableId="1525631380">
    <w:abstractNumId w:val="51"/>
  </w:num>
  <w:num w:numId="56" w16cid:durableId="1216353664">
    <w:abstractNumId w:val="45"/>
  </w:num>
  <w:num w:numId="57" w16cid:durableId="1733573635">
    <w:abstractNumId w:val="30"/>
  </w:num>
  <w:num w:numId="58" w16cid:durableId="1164853850">
    <w:abstractNumId w:val="31"/>
  </w:num>
  <w:num w:numId="59" w16cid:durableId="337776757">
    <w:abstractNumId w:val="17"/>
  </w:num>
  <w:num w:numId="60" w16cid:durableId="748422872">
    <w:abstractNumId w:val="63"/>
  </w:num>
  <w:num w:numId="61" w16cid:durableId="1548222755">
    <w:abstractNumId w:val="20"/>
  </w:num>
  <w:num w:numId="62" w16cid:durableId="430274597">
    <w:abstractNumId w:val="64"/>
  </w:num>
  <w:num w:numId="63" w16cid:durableId="1531529204">
    <w:abstractNumId w:val="56"/>
  </w:num>
  <w:num w:numId="64" w16cid:durableId="1024357166">
    <w:abstractNumId w:val="55"/>
  </w:num>
  <w:num w:numId="65" w16cid:durableId="1901399301">
    <w:abstractNumId w:val="66"/>
  </w:num>
  <w:num w:numId="66" w16cid:durableId="29307237">
    <w:abstractNumId w:val="81"/>
  </w:num>
  <w:num w:numId="67" w16cid:durableId="1506701993">
    <w:abstractNumId w:val="50"/>
  </w:num>
  <w:num w:numId="68" w16cid:durableId="402800853">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4147358">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4663495">
    <w:abstractNumId w:val="42"/>
  </w:num>
  <w:num w:numId="71" w16cid:durableId="1635523076">
    <w:abstractNumId w:val="37"/>
  </w:num>
  <w:num w:numId="72" w16cid:durableId="1425764997">
    <w:abstractNumId w:val="11"/>
  </w:num>
  <w:num w:numId="73" w16cid:durableId="971595505">
    <w:abstractNumId w:val="71"/>
  </w:num>
  <w:num w:numId="74" w16cid:durableId="1462990061">
    <w:abstractNumId w:val="80"/>
  </w:num>
  <w:num w:numId="75" w16cid:durableId="2069453496">
    <w:abstractNumId w:val="10"/>
  </w:num>
  <w:num w:numId="76" w16cid:durableId="1733043395">
    <w:abstractNumId w:val="58"/>
  </w:num>
  <w:num w:numId="77" w16cid:durableId="1010253285">
    <w:abstractNumId w:val="82"/>
  </w:num>
  <w:num w:numId="78" w16cid:durableId="2099014725">
    <w:abstractNumId w:val="76"/>
  </w:num>
  <w:num w:numId="79" w16cid:durableId="985668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6045863">
    <w:abstractNumId w:val="62"/>
  </w:num>
  <w:num w:numId="81" w16cid:durableId="291443020">
    <w:abstractNumId w:val="34"/>
  </w:num>
  <w:num w:numId="82" w16cid:durableId="533033765">
    <w:abstractNumId w:val="70"/>
  </w:num>
  <w:num w:numId="83" w16cid:durableId="991133603">
    <w:abstractNumId w:val="43"/>
  </w:num>
  <w:num w:numId="84" w16cid:durableId="1704944299">
    <w:abstractNumId w:val="14"/>
  </w:num>
  <w:num w:numId="85" w16cid:durableId="1101494176">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4"/>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5D1A"/>
    <w:rsid w:val="00086C16"/>
    <w:rsid w:val="00086D57"/>
    <w:rsid w:val="00086DDB"/>
    <w:rsid w:val="000871EE"/>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64B"/>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2CA8"/>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1C1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8F7"/>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0B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08D"/>
    <w:rsid w:val="008D51AF"/>
    <w:rsid w:val="008D5D5C"/>
    <w:rsid w:val="008D6117"/>
    <w:rsid w:val="008D6549"/>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A10"/>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6EE5"/>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4C37"/>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50C"/>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1EE"/>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C84"/>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51"/>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079"/>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1C3"/>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73</Pages>
  <Words>105566</Words>
  <Characters>60174</Characters>
  <Application>Microsoft Office Word</Application>
  <DocSecurity>0</DocSecurity>
  <Lines>501</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26</cp:revision>
  <dcterms:created xsi:type="dcterms:W3CDTF">2025-03-04T19:58:00Z</dcterms:created>
  <dcterms:modified xsi:type="dcterms:W3CDTF">2025-11-25T11:38:00Z</dcterms:modified>
</cp:coreProperties>
</file>