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1A05CCB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F79116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2024-</w:t>
                            </w:r>
                            <w:r w:rsidR="00CC1E62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74816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95455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74816">
                              <w:rPr>
                                <w:rFonts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F79116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2024-</w:t>
                      </w:r>
                      <w:r w:rsidR="00CC1E62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C74816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95455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C74816">
                        <w:rPr>
                          <w:rFonts w:cs="Arial"/>
                          <w:sz w:val="24"/>
                          <w:szCs w:val="24"/>
                        </w:rPr>
                        <w:t>9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C74816">
        <w:rPr>
          <w:rFonts w:cs="Arial"/>
          <w:sz w:val="24"/>
          <w:szCs w:val="24"/>
        </w:rPr>
        <w:t xml:space="preserve"> </w:t>
      </w:r>
      <w:r w:rsidR="000A4377">
        <w:rPr>
          <w:rFonts w:cs="Arial"/>
          <w:sz w:val="24"/>
          <w:szCs w:val="24"/>
        </w:rPr>
        <w:t>5599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6BE8FB01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C74816" w:rsidRPr="00C74816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Rėklių gatvės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6BE8FB01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C74816" w:rsidRPr="00C74816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Rėklių gatvės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72E86B04" w14:textId="77777777" w:rsidR="005359B4" w:rsidRDefault="005359B4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1E60BF8" w14:textId="77777777" w:rsidR="00572B6D" w:rsidRDefault="00572B6D" w:rsidP="00954550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69F7C01" w14:textId="6E935BE4" w:rsidR="009908C3" w:rsidRDefault="009908C3" w:rsidP="009908C3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908C3">
        <w:rPr>
          <w:sz w:val="24"/>
          <w:szCs w:val="24"/>
          <w:lang w:eastAsia="ar-SA"/>
        </w:rPr>
        <w:t>Viešųjų pirkimų komisija, atsakydama į tiekėjo prašymą patikslinti supaprastinto pirkimo „</w:t>
      </w:r>
      <w:r w:rsidR="00C74816" w:rsidRPr="00C74816">
        <w:rPr>
          <w:sz w:val="24"/>
          <w:szCs w:val="24"/>
          <w:lang w:eastAsia="ar-SA"/>
        </w:rPr>
        <w:t>Panevėžio miesto Rėklių gatvės kapitalinio remonto darbai</w:t>
      </w:r>
      <w:r w:rsidRPr="009908C3">
        <w:rPr>
          <w:sz w:val="24"/>
          <w:szCs w:val="24"/>
          <w:lang w:eastAsia="ar-SA"/>
        </w:rPr>
        <w:t>“, vykdomo atviro konkurso būdu (toliau – Pirkimas), sąlygas, paaiškina:</w:t>
      </w:r>
    </w:p>
    <w:p w14:paraId="7F802F11" w14:textId="77777777" w:rsidR="009908C3" w:rsidRPr="009908C3" w:rsidRDefault="009908C3" w:rsidP="009908C3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01F8EEB4" w14:textId="77777777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1 Klausimas.</w:t>
      </w:r>
      <w:r w:rsidRPr="00C74816">
        <w:rPr>
          <w:sz w:val="24"/>
          <w:szCs w:val="24"/>
          <w:lang w:eastAsia="ar-SA"/>
        </w:rPr>
        <w:t xml:space="preserve"> „Ar pėsčiųjų ir dviračių tako asfalto pagrindo-dangos sluoksnis įrengiamas iš raudonos spalvos asfaltbetonio AC 16 PD?“</w:t>
      </w:r>
    </w:p>
    <w:p w14:paraId="45EA33A6" w14:textId="77777777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Atsakymas.</w:t>
      </w:r>
      <w:r w:rsidRPr="00C74816">
        <w:rPr>
          <w:sz w:val="24"/>
          <w:szCs w:val="24"/>
          <w:lang w:eastAsia="ar-SA"/>
        </w:rPr>
        <w:t xml:space="preserve"> Taip, pėsčiųjų ir dviračių tako asfalto pagrindo – dangos sluoksnis įrengiamas iš raudonos spalvos asfaltbetonio AC 16 PD.</w:t>
      </w:r>
    </w:p>
    <w:p w14:paraId="56D728A7" w14:textId="77777777" w:rsid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4CC535B" w14:textId="4CF46518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2 Klausimas.</w:t>
      </w:r>
      <w:r w:rsidRPr="00C74816">
        <w:rPr>
          <w:sz w:val="24"/>
          <w:szCs w:val="24"/>
          <w:lang w:eastAsia="ar-SA"/>
        </w:rPr>
        <w:t xml:space="preserve"> „Ar asfaltbetonio pagrindo-dangos sluoksnio mišinyje AC 16 PD gali būti naudojamos naudoto asfalto granulės (NAG)?“</w:t>
      </w:r>
    </w:p>
    <w:p w14:paraId="6DA691B0" w14:textId="77777777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Atsakymas.</w:t>
      </w:r>
      <w:r w:rsidRPr="00C74816">
        <w:rPr>
          <w:sz w:val="24"/>
          <w:szCs w:val="24"/>
          <w:lang w:eastAsia="ar-SA"/>
        </w:rPr>
        <w:t xml:space="preserve"> Taip, gali būti naudojamos naudoto asfalto granulės (NAG).</w:t>
      </w:r>
    </w:p>
    <w:p w14:paraId="77652BB7" w14:textId="77777777" w:rsid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A2FFFA8" w14:textId="173F6DD4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3 Klausimas.</w:t>
      </w:r>
      <w:r w:rsidRPr="00C74816">
        <w:rPr>
          <w:sz w:val="24"/>
          <w:szCs w:val="24"/>
          <w:lang w:eastAsia="ar-SA"/>
        </w:rPr>
        <w:t xml:space="preserve"> „Ar teikiant pasiūlymą reikia įvertinti pašalintų medžių atkuriamąją vertę iš pateikto želdinių pašalinimo ir atkuriamosios vertės žiniaraščio?“</w:t>
      </w:r>
    </w:p>
    <w:p w14:paraId="0E6F871B" w14:textId="77777777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Atsakymas.</w:t>
      </w:r>
      <w:r w:rsidRPr="00C74816">
        <w:rPr>
          <w:sz w:val="24"/>
          <w:szCs w:val="24"/>
          <w:lang w:eastAsia="ar-SA"/>
        </w:rPr>
        <w:t xml:space="preserve"> Paaiškiname, kad teikiant pasiūlymą turite įsivertinti numatytų šalinti želdinių atkuriamąją vertę.</w:t>
      </w:r>
    </w:p>
    <w:p w14:paraId="79601488" w14:textId="77777777" w:rsid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79EDDB0" w14:textId="7F4AF32D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4 Klausimas.</w:t>
      </w:r>
      <w:r w:rsidRPr="00C74816">
        <w:rPr>
          <w:sz w:val="24"/>
          <w:szCs w:val="24"/>
          <w:lang w:eastAsia="ar-SA"/>
        </w:rPr>
        <w:t xml:space="preserve"> „</w:t>
      </w:r>
      <w:r w:rsidRPr="00C74816">
        <w:rPr>
          <w:sz w:val="24"/>
          <w:szCs w:val="24"/>
          <w:lang w:val="fi-FI" w:eastAsia="ar-SA"/>
        </w:rPr>
        <w:t>Pašalinti medžiai lieka Užsakovui ar Rangovui?</w:t>
      </w:r>
      <w:r w:rsidRPr="00C74816">
        <w:rPr>
          <w:sz w:val="24"/>
          <w:szCs w:val="24"/>
          <w:lang w:eastAsia="ar-SA"/>
        </w:rPr>
        <w:t>“</w:t>
      </w:r>
    </w:p>
    <w:p w14:paraId="54ABA2B2" w14:textId="77777777" w:rsidR="00C74816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Atsakymas.</w:t>
      </w:r>
      <w:r w:rsidRPr="00C74816">
        <w:rPr>
          <w:sz w:val="24"/>
          <w:szCs w:val="24"/>
          <w:lang w:eastAsia="ar-SA"/>
        </w:rPr>
        <w:t xml:space="preserve"> Paaiškiname, kad pirkimo sąlygų 4 priedo Sutarties projekto 9.4.12 punkte nurodyta:</w:t>
      </w:r>
    </w:p>
    <w:p w14:paraId="727F4256" w14:textId="578D66DF" w:rsidR="009908C3" w:rsidRPr="00C74816" w:rsidRDefault="00C74816" w:rsidP="00C74816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sz w:val="24"/>
          <w:szCs w:val="24"/>
          <w:lang w:eastAsia="ar-SA"/>
        </w:rPr>
        <w:t>„</w:t>
      </w:r>
      <w:r w:rsidRPr="00BE2D52">
        <w:rPr>
          <w:sz w:val="24"/>
          <w:szCs w:val="24"/>
          <w:lang w:eastAsia="ar-SA"/>
        </w:rPr>
        <w:t xml:space="preserve">9.4.12. atlikti Statybos darbus tvarkingai, neteršiant teritorijos, kompaktiškai laikyti statybos atliekas, tvarkyti jas teisės aktų nustatyta tvarka, bei išvežus jas iš teritorijos pateikti Užsakovui patvirtinančius dokumentus apie statybinio laužo, grunto išvežimą į tam specialiai skirtas vietas. Ardymo ir kasimo darbų metu susidarančias atliekas, medžiagas, tinkančias antriniam panaudojimui, ar gruntą bei juodžemį pristatyti utilizavimui ar sandėliavimui į Užsakovo nurodytas vietas ar įmones. Nupjautus medžius, </w:t>
      </w:r>
      <w:r w:rsidRPr="00BE2D52">
        <w:rPr>
          <w:sz w:val="24"/>
          <w:szCs w:val="24"/>
          <w:lang w:eastAsia="ar-SA"/>
        </w:rPr>
        <w:lastRenderedPageBreak/>
        <w:t>jeigu jie bus pjaunami, pristatyti į Panevėžio RK-1, Pušaloto g. 191, Panevėžys, ir Užsakovui pateikti tai patvirtinančius dokumentus;</w:t>
      </w:r>
      <w:r w:rsidRPr="00C74816">
        <w:rPr>
          <w:sz w:val="24"/>
          <w:szCs w:val="24"/>
          <w:lang w:eastAsia="ar-SA"/>
        </w:rPr>
        <w:t>“.</w:t>
      </w:r>
    </w:p>
    <w:p w14:paraId="48802DFF" w14:textId="77777777" w:rsidR="009908C3" w:rsidRDefault="009908C3" w:rsidP="009908C3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65F1E595" w14:textId="77777777" w:rsidR="00C74816" w:rsidRPr="00C74816" w:rsidRDefault="00C74816" w:rsidP="00C74816">
      <w:pPr>
        <w:spacing w:line="240" w:lineRule="auto"/>
        <w:ind w:firstLine="0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5 Klausimas. „Projektinė situacija:</w:t>
      </w:r>
      <w:r w:rsidRPr="00C74816">
        <w:rPr>
          <w:sz w:val="24"/>
          <w:szCs w:val="24"/>
          <w:lang w:eastAsia="ar-SA"/>
        </w:rPr>
        <w:t xml:space="preserve"> Techninio darbo projekto, susisiekimo dalies brėžiniuose yra pateiktas Pk 14+74 D800 metalinės pralaidos brėžinys, tačiau projekte nėra pateiktos pralaidos techninės specifikacijos. </w:t>
      </w:r>
    </w:p>
    <w:p w14:paraId="0C0179DF" w14:textId="77777777" w:rsidR="00C74816" w:rsidRPr="00C74816" w:rsidRDefault="00C74816" w:rsidP="00C74816">
      <w:pPr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Prašymas patikslinti:</w:t>
      </w:r>
      <w:r w:rsidRPr="00C74816">
        <w:rPr>
          <w:sz w:val="24"/>
          <w:szCs w:val="24"/>
          <w:lang w:eastAsia="ar-SA"/>
        </w:rPr>
        <w:t xml:space="preserve"> Prašome pateikti plieninės pralaidos technines specifikacijas.“</w:t>
      </w:r>
    </w:p>
    <w:p w14:paraId="2FAD1357" w14:textId="77777777" w:rsidR="00C74816" w:rsidRDefault="00C74816" w:rsidP="00C74816">
      <w:pPr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C74816">
        <w:rPr>
          <w:b/>
          <w:bCs/>
          <w:sz w:val="24"/>
          <w:szCs w:val="24"/>
          <w:lang w:eastAsia="ar-SA"/>
        </w:rPr>
        <w:t>Atsakymas.</w:t>
      </w:r>
      <w:r w:rsidRPr="00C74816">
        <w:rPr>
          <w:sz w:val="24"/>
          <w:szCs w:val="24"/>
          <w:lang w:eastAsia="ar-SA"/>
        </w:rPr>
        <w:t xml:space="preserve"> Brėžinyje „Pralaidos po keliu įrengimo brėžinys M 1:50“ yra įsivėlusi klaida. Turi būti </w:t>
      </w:r>
      <w:r w:rsidRPr="00C74816">
        <w:rPr>
          <w:sz w:val="24"/>
          <w:szCs w:val="24"/>
          <w:u w:val="single"/>
          <w:lang w:eastAsia="ar-SA"/>
        </w:rPr>
        <w:t>plastikinė</w:t>
      </w:r>
      <w:r w:rsidRPr="00C74816">
        <w:rPr>
          <w:sz w:val="24"/>
          <w:szCs w:val="24"/>
          <w:lang w:eastAsia="ar-SA"/>
        </w:rPr>
        <w:t xml:space="preserve"> pralaida, o ne metalinė. Techninėse specifikacijose, aiškinamajame rašte ir dangų ir eismo organizavimo planuose yra minima plastikinė pralaida. </w:t>
      </w:r>
    </w:p>
    <w:p w14:paraId="1DCBB458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2AD24F3D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  <w:r w:rsidRPr="00C74816">
        <w:rPr>
          <w:rFonts w:ascii="Times New Roman" w:eastAsia="Calibri" w:hAnsi="Times New Roman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2F2F326F" wp14:editId="40AE89EA">
            <wp:simplePos x="0" y="0"/>
            <wp:positionH relativeFrom="column">
              <wp:posOffset>333375</wp:posOffset>
            </wp:positionH>
            <wp:positionV relativeFrom="paragraph">
              <wp:posOffset>12065</wp:posOffset>
            </wp:positionV>
            <wp:extent cx="4200525" cy="3836670"/>
            <wp:effectExtent l="0" t="0" r="9525" b="0"/>
            <wp:wrapTight wrapText="bothSides">
              <wp:wrapPolygon edited="0">
                <wp:start x="0" y="0"/>
                <wp:lineTo x="0" y="21450"/>
                <wp:lineTo x="21551" y="21450"/>
                <wp:lineTo x="21551" y="0"/>
                <wp:lineTo x="0" y="0"/>
              </wp:wrapPolygon>
            </wp:wrapTight>
            <wp:docPr id="568878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47795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" b="7901"/>
                    <a:stretch/>
                  </pic:blipFill>
                  <pic:spPr bwMode="auto">
                    <a:xfrm>
                      <a:off x="0" y="0"/>
                      <a:ext cx="4200525" cy="383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6A4A2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0856D404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061045EB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3956FF25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5986FFD0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2B10B272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3A9A77C3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52F13E18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0BE7F8C9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5D3FF73B" w14:textId="77777777" w:rsidR="00C74816" w:rsidRP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79FC85D2" w14:textId="77777777" w:rsid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792A93D8" w14:textId="77777777" w:rsidR="00F3176A" w:rsidRDefault="00F3176A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7173ACB8" w14:textId="77777777" w:rsidR="00F3176A" w:rsidRDefault="00F3176A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49BA3025" w14:textId="77777777" w:rsidR="00F3176A" w:rsidRPr="00C74816" w:rsidRDefault="00F3176A" w:rsidP="00C74816">
      <w:pPr>
        <w:spacing w:line="240" w:lineRule="auto"/>
        <w:ind w:firstLine="0"/>
        <w:jc w:val="both"/>
        <w:rPr>
          <w:rFonts w:ascii="Times New Roman" w:eastAsia="Calibri" w:hAnsi="Times New Roman"/>
          <w:szCs w:val="24"/>
        </w:rPr>
      </w:pPr>
    </w:p>
    <w:p w14:paraId="1CC73F6B" w14:textId="3354E89E" w:rsidR="00C74816" w:rsidRPr="00C74816" w:rsidRDefault="00C74816" w:rsidP="00C74816">
      <w:pPr>
        <w:spacing w:line="240" w:lineRule="auto"/>
        <w:ind w:firstLine="0"/>
        <w:rPr>
          <w:rFonts w:ascii="Times New Roman" w:eastAsia="Calibri" w:hAnsi="Times New Roman"/>
          <w:sz w:val="20"/>
        </w:rPr>
      </w:pPr>
      <w:r w:rsidRPr="00C74816">
        <w:rPr>
          <w:rFonts w:ascii="Times New Roman" w:eastAsia="Calibri" w:hAnsi="Times New Roman"/>
          <w:sz w:val="20"/>
        </w:rPr>
        <w:t>Dangų ir eismo organizavimo planas Pk 10+20 – Pk 14+75</w:t>
      </w:r>
    </w:p>
    <w:p w14:paraId="22D8B3A8" w14:textId="77777777" w:rsidR="00C74816" w:rsidRPr="00C74816" w:rsidRDefault="00C74816" w:rsidP="00C74816">
      <w:pPr>
        <w:spacing w:line="240" w:lineRule="auto"/>
        <w:ind w:firstLine="0"/>
        <w:rPr>
          <w:rFonts w:ascii="Times New Roman" w:eastAsia="Calibri" w:hAnsi="Times New Roman"/>
          <w:szCs w:val="24"/>
        </w:rPr>
      </w:pPr>
    </w:p>
    <w:p w14:paraId="6E70E7F4" w14:textId="77777777" w:rsidR="00C74816" w:rsidRDefault="00C74816" w:rsidP="00C74816">
      <w:pPr>
        <w:spacing w:line="240" w:lineRule="auto"/>
        <w:ind w:firstLine="0"/>
        <w:jc w:val="both"/>
        <w:rPr>
          <w:rFonts w:ascii="Times New Roman" w:eastAsia="Calibri" w:hAnsi="Times New Roman"/>
          <w:i/>
          <w:iCs/>
          <w:sz w:val="20"/>
        </w:rPr>
      </w:pPr>
      <w:r w:rsidRPr="00C74816">
        <w:rPr>
          <w:rFonts w:ascii="Times New Roman" w:eastAsia="Calibri" w:hAns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02EDBBB1" wp14:editId="75461511">
            <wp:simplePos x="0" y="0"/>
            <wp:positionH relativeFrom="column">
              <wp:posOffset>266700</wp:posOffset>
            </wp:positionH>
            <wp:positionV relativeFrom="paragraph">
              <wp:posOffset>337185</wp:posOffset>
            </wp:positionV>
            <wp:extent cx="5943600" cy="758825"/>
            <wp:effectExtent l="0" t="0" r="0" b="3175"/>
            <wp:wrapSquare wrapText="bothSides"/>
            <wp:docPr id="138458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5986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0"/>
                    <a:stretch/>
                  </pic:blipFill>
                  <pic:spPr bwMode="auto">
                    <a:xfrm>
                      <a:off x="0" y="0"/>
                      <a:ext cx="5943600" cy="75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4816">
        <w:rPr>
          <w:rFonts w:ascii="Times New Roman" w:eastAsia="Calibri" w:hAnsi="Times New Roman"/>
          <w:i/>
          <w:iCs/>
          <w:sz w:val="20"/>
        </w:rPr>
        <w:t>PS20-14-TDP</w:t>
      </w:r>
      <w:r w:rsidRPr="00C74816">
        <w:rPr>
          <w:rFonts w:ascii="Times New Roman" w:eastAsia="Calibri" w:hAnsi="Times New Roman"/>
          <w:i/>
          <w:iCs/>
          <w:szCs w:val="24"/>
        </w:rPr>
        <w:t xml:space="preserve"> </w:t>
      </w:r>
      <w:r w:rsidRPr="00C74816">
        <w:rPr>
          <w:rFonts w:ascii="Times New Roman" w:eastAsia="Calibri" w:hAnsi="Times New Roman"/>
          <w:i/>
          <w:iCs/>
          <w:sz w:val="20"/>
        </w:rPr>
        <w:t>– S.BR-01</w:t>
      </w:r>
    </w:p>
    <w:p w14:paraId="4D4B52BD" w14:textId="77777777" w:rsidR="00F3176A" w:rsidRDefault="00F3176A" w:rsidP="00C74816">
      <w:pPr>
        <w:spacing w:line="240" w:lineRule="auto"/>
        <w:ind w:firstLine="0"/>
        <w:jc w:val="both"/>
        <w:rPr>
          <w:rFonts w:ascii="Times New Roman" w:eastAsia="Calibri" w:hAnsi="Times New Roman"/>
          <w:i/>
          <w:iCs/>
          <w:sz w:val="20"/>
        </w:rPr>
      </w:pPr>
    </w:p>
    <w:p w14:paraId="4109C74A" w14:textId="77777777" w:rsidR="00C74816" w:rsidRPr="00C74816" w:rsidRDefault="00C74816" w:rsidP="00C74816">
      <w:pPr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C74816">
        <w:rPr>
          <w:sz w:val="24"/>
          <w:szCs w:val="24"/>
          <w:lang w:eastAsia="ar-SA"/>
        </w:rPr>
        <w:t>Susisiekimo dalies aiškinamasis raštas PS20-14-TDP – S-AR  3.3 poskyris.</w:t>
      </w:r>
    </w:p>
    <w:p w14:paraId="26475D40" w14:textId="77777777" w:rsidR="00C74816" w:rsidRDefault="00C74816" w:rsidP="009908C3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32BFD79F" w14:textId="77777777" w:rsidR="00EB3E95" w:rsidRPr="00EB3E95" w:rsidRDefault="00EB3E95" w:rsidP="00EB3E95">
      <w:pPr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>6 Klausimas.</w:t>
      </w:r>
      <w:r w:rsidRPr="00EB3E95">
        <w:rPr>
          <w:sz w:val="24"/>
          <w:szCs w:val="24"/>
          <w:lang w:eastAsia="ar-SA"/>
        </w:rPr>
        <w:t xml:space="preserve"> „</w:t>
      </w:r>
      <w:r w:rsidRPr="00EB3E95">
        <w:rPr>
          <w:b/>
          <w:bCs/>
          <w:sz w:val="24"/>
          <w:szCs w:val="24"/>
          <w:lang w:eastAsia="ar-SA"/>
        </w:rPr>
        <w:t>Esama situacija.</w:t>
      </w:r>
      <w:r w:rsidRPr="00EB3E95">
        <w:rPr>
          <w:sz w:val="24"/>
          <w:szCs w:val="24"/>
          <w:lang w:eastAsia="ar-SA"/>
        </w:rPr>
        <w:t xml:space="preserve"> Techninio darbo projekto, susisiekimo dalies, techninių specifikacijų 2 skyriuje pateiktos geotinklo 30/30 kN/m techninės specifikacijos, kuriose nurodoma, kad medžiagos žaliava turi būti polipropilenas (PP).</w:t>
      </w:r>
    </w:p>
    <w:p w14:paraId="04BFCF6C" w14:textId="77777777" w:rsidR="00EB3E95" w:rsidRPr="00EB3E95" w:rsidRDefault="00EB3E95" w:rsidP="00EB3E95">
      <w:pPr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>Klausimas.</w:t>
      </w:r>
      <w:r w:rsidRPr="00EB3E95">
        <w:rPr>
          <w:sz w:val="24"/>
          <w:szCs w:val="24"/>
          <w:lang w:eastAsia="ar-SA"/>
        </w:rPr>
        <w:t xml:space="preserve"> Prašome patvirtinti, kad rangovas gali vertintis ir ne prastesnių savybių geotinklus, kurių medžiagos žaliava poliesteris (PET).“</w:t>
      </w:r>
    </w:p>
    <w:p w14:paraId="4D8521D9" w14:textId="77777777" w:rsidR="00EB3E95" w:rsidRPr="00EB3E95" w:rsidRDefault="00EB3E95" w:rsidP="007A0808">
      <w:pPr>
        <w:spacing w:line="240" w:lineRule="auto"/>
        <w:ind w:firstLine="0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>Atsakymas.</w:t>
      </w:r>
      <w:r w:rsidRPr="00EB3E95">
        <w:rPr>
          <w:sz w:val="24"/>
          <w:szCs w:val="24"/>
          <w:lang w:eastAsia="ar-SA"/>
        </w:rPr>
        <w:t xml:space="preserve"> Patvirtiname, kad Rangovas gali vertinis geotinklus, kurių medžiagos žaliava poliesteris, o savybės ne prastesnės nei nurodyta projekte.</w:t>
      </w:r>
    </w:p>
    <w:p w14:paraId="54206108" w14:textId="77777777" w:rsidR="00EB3E95" w:rsidRDefault="00EB3E95" w:rsidP="007A0808">
      <w:pPr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077063D8" w14:textId="4C36246E" w:rsidR="00EB3E95" w:rsidRPr="00EB3E95" w:rsidRDefault="00EB3E95" w:rsidP="007A0808">
      <w:pPr>
        <w:spacing w:line="240" w:lineRule="auto"/>
        <w:ind w:firstLine="0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>7 Klausimas. „Esama situacija</w:t>
      </w:r>
      <w:r w:rsidRPr="00EB3E95">
        <w:rPr>
          <w:sz w:val="24"/>
          <w:szCs w:val="24"/>
          <w:lang w:eastAsia="ar-SA"/>
        </w:rPr>
        <w:t xml:space="preserve">. Techninio darbo projekto, susisiekimo dalies, techninių specifikacijų 2 skyriuje pateiktos geotinklų techninės specifikacijos, kuriose nurodoma, kad gaminio atmosferos poveikio atsparumas ≥ 90%. Šis reikalavimas perteklinis, kadangi prieštarauja MN Geosint ŽD 13, 6 lentelei, LST EN 13249 ir LST EN 12224 standartams. Šiuose dokumentuose nurodoma, kad didžiausias galimas armavimo medžiagų </w:t>
      </w:r>
      <w:r w:rsidRPr="00EB3E95">
        <w:rPr>
          <w:sz w:val="24"/>
          <w:szCs w:val="24"/>
          <w:lang w:eastAsia="ar-SA"/>
        </w:rPr>
        <w:lastRenderedPageBreak/>
        <w:t>atsparumas atmosferos poveikiui yra &gt;80%. Todėl gamintojai, net ir gavus ir didesnes vertes pagal EN13249 ir LST EN 12224 standartų reikalavimus privalo deklaruoti tik &gt;80%, kuris ir yra pakankamas. Todėl techninėje specifikacijoje pateiktiems geotinklų reikalavimai atsparumui atmosferos poveikiui ≥ 90% neatitinka LST EN 13249 ir LST EN 12224 standartų reikalavimų ir yra pertekliniai.</w:t>
      </w:r>
    </w:p>
    <w:p w14:paraId="7DB2F90E" w14:textId="77777777" w:rsidR="00EB3E95" w:rsidRPr="00EB3E95" w:rsidRDefault="00EB3E95" w:rsidP="007A0808">
      <w:pPr>
        <w:spacing w:line="240" w:lineRule="auto"/>
        <w:ind w:firstLine="0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 xml:space="preserve">Klausimas. </w:t>
      </w:r>
      <w:r w:rsidRPr="00EB3E95">
        <w:rPr>
          <w:sz w:val="24"/>
          <w:szCs w:val="24"/>
          <w:lang w:eastAsia="ar-SA"/>
        </w:rPr>
        <w:t>Prašome pašalinti perteklinius reikalavimus ir patvirtinti, kad Rangovas gali vertintis geotinklus iš, kurių atmosferos poveikio atsparumas yra &gt; 80% pagal MN Geosint ŽD 13, 6 lentelę, LST EN 13249 ir LST EN 12224 standartų reikalavimus.“</w:t>
      </w:r>
    </w:p>
    <w:p w14:paraId="56099901" w14:textId="6176CE4E" w:rsidR="00EB3E95" w:rsidRPr="00EB3E95" w:rsidRDefault="00EB3E95" w:rsidP="007A0808">
      <w:pPr>
        <w:spacing w:line="240" w:lineRule="auto"/>
        <w:ind w:firstLine="0"/>
        <w:rPr>
          <w:sz w:val="24"/>
          <w:szCs w:val="24"/>
          <w:lang w:eastAsia="ar-SA"/>
        </w:rPr>
      </w:pPr>
      <w:r w:rsidRPr="00EB3E95">
        <w:rPr>
          <w:b/>
          <w:bCs/>
          <w:sz w:val="24"/>
          <w:szCs w:val="24"/>
          <w:lang w:eastAsia="ar-SA"/>
        </w:rPr>
        <w:t>Atsakymas.</w:t>
      </w:r>
      <w:r w:rsidRPr="00EB3E95">
        <w:rPr>
          <w:sz w:val="24"/>
          <w:szCs w:val="24"/>
          <w:lang w:eastAsia="ar-SA"/>
        </w:rPr>
        <w:t xml:space="preserve"> Patvirtiname, kad Rangovas gali vertintis geotinklus iš kurių</w:t>
      </w:r>
      <w:r w:rsidR="003C39C8">
        <w:rPr>
          <w:sz w:val="24"/>
          <w:szCs w:val="24"/>
          <w:lang w:eastAsia="ar-SA"/>
        </w:rPr>
        <w:t>,</w:t>
      </w:r>
      <w:r w:rsidRPr="00EB3E95">
        <w:rPr>
          <w:sz w:val="24"/>
          <w:szCs w:val="24"/>
          <w:lang w:eastAsia="ar-SA"/>
        </w:rPr>
        <w:t xml:space="preserve"> atmosferos poveikio atsparumas yra &gt; 80% pagal MN Geosint ŽD 13.</w:t>
      </w:r>
    </w:p>
    <w:p w14:paraId="7E988D31" w14:textId="5B1F0CE5" w:rsidR="009908C3" w:rsidRDefault="00EB3E95" w:rsidP="007A080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EB3E95">
        <w:rPr>
          <w:sz w:val="24"/>
          <w:szCs w:val="24"/>
          <w:lang w:eastAsia="ar-SA"/>
        </w:rPr>
        <w:t>Patikslinta informacija paskelbta CVP IS sistemoje.</w:t>
      </w:r>
    </w:p>
    <w:p w14:paraId="2E66904A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37D96FB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353211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9D2D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4341CEC" w14:textId="29C08D17" w:rsidR="00572B6D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8D539F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CE1AE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FF5712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91362F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BD43583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7F8F8FC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FD21CAD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5B5B918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013CA8C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F94EBAE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108E930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7B49225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EB6D2B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27BA647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124ADF9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68EC046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E8DBA93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71A81B8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1EFBF4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6E57F90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F76AC2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82D7D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58D230C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8155D" w14:textId="77777777" w:rsidR="00EB3E95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6480F8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ADDA66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8FDAF7" w:rsidR="00C54544" w:rsidRPr="00093F9E" w:rsidRDefault="00EB3E95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="00093F9E"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="00093F9E"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4" w:history="1">
        <w:r w:rsidRPr="005E3664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5"/>
      <w:footerReference w:type="first" r:id="rId16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15C4F"/>
    <w:rsid w:val="006219D0"/>
    <w:rsid w:val="006324E5"/>
    <w:rsid w:val="0063304D"/>
    <w:rsid w:val="006357F0"/>
    <w:rsid w:val="00642123"/>
    <w:rsid w:val="006474A0"/>
    <w:rsid w:val="00650B6B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34CC1"/>
    <w:rsid w:val="00834DAD"/>
    <w:rsid w:val="00842A0E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eva.adomeniene@panevezy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4762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12</cp:revision>
  <cp:lastPrinted>2022-12-07T14:03:00Z</cp:lastPrinted>
  <dcterms:created xsi:type="dcterms:W3CDTF">2024-10-17T13:57:00Z</dcterms:created>
  <dcterms:modified xsi:type="dcterms:W3CDTF">2024-12-19T12:57:00Z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