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ED99" w14:textId="0696C235" w:rsidR="00693FF9" w:rsidRDefault="00693FF9" w:rsidP="00693FF9">
      <w:pPr>
        <w:pStyle w:val="Heading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Pr>
          <w:rFonts w:asciiTheme="minorHAnsi" w:eastAsia="Calibri" w:hAnsiTheme="minorHAnsi" w:cstheme="minorHAnsi"/>
          <w:color w:val="0070C0"/>
          <w:sz w:val="21"/>
          <w:szCs w:val="21"/>
        </w:rPr>
        <w:t>Pirkimo sąlygų 2 priedas „Techninė specifikacija“</w:t>
      </w:r>
      <w:bookmarkEnd w:id="0"/>
      <w:bookmarkEnd w:id="1"/>
      <w:bookmarkEnd w:id="2"/>
    </w:p>
    <w:p w14:paraId="6A11C42C" w14:textId="77777777" w:rsidR="00693FF9" w:rsidRDefault="00693FF9" w:rsidP="00693FF9">
      <w:pPr>
        <w:jc w:val="center"/>
        <w:rPr>
          <w:rFonts w:eastAsiaTheme="minorEastAsia" w:cstheme="minorHAnsi"/>
          <w:b/>
          <w:bCs/>
          <w:smallCaps/>
        </w:rPr>
      </w:pPr>
    </w:p>
    <w:p w14:paraId="6E0C1201" w14:textId="77777777" w:rsidR="00693FF9" w:rsidRDefault="00693FF9" w:rsidP="00B3261A">
      <w:pPr>
        <w:ind w:firstLine="851"/>
        <w:jc w:val="center"/>
        <w:rPr>
          <w:rFonts w:ascii="Times New Roman" w:hAnsi="Times New Roman" w:cs="Times New Roman"/>
          <w:b/>
          <w:bCs/>
          <w:sz w:val="24"/>
          <w:szCs w:val="24"/>
        </w:rPr>
      </w:pPr>
    </w:p>
    <w:p w14:paraId="2BA23232" w14:textId="394D85A0" w:rsidR="009740ED" w:rsidRDefault="009740ED" w:rsidP="00B3261A">
      <w:pPr>
        <w:ind w:firstLine="851"/>
        <w:jc w:val="center"/>
        <w:rPr>
          <w:rFonts w:ascii="Times New Roman" w:hAnsi="Times New Roman" w:cs="Times New Roman"/>
          <w:b/>
          <w:bCs/>
          <w:sz w:val="24"/>
          <w:szCs w:val="24"/>
        </w:rPr>
      </w:pPr>
      <w:r w:rsidRPr="009740ED">
        <w:rPr>
          <w:rFonts w:ascii="Times New Roman" w:hAnsi="Times New Roman" w:cs="Times New Roman"/>
          <w:b/>
          <w:bCs/>
          <w:sz w:val="24"/>
          <w:szCs w:val="24"/>
        </w:rPr>
        <w:t>TECHNINĖ SPECIFIKACIJA</w:t>
      </w:r>
    </w:p>
    <w:p w14:paraId="35D9591F" w14:textId="77777777" w:rsidR="00A55301" w:rsidRPr="009740ED" w:rsidRDefault="00A55301" w:rsidP="00B3261A">
      <w:pPr>
        <w:ind w:firstLine="851"/>
        <w:jc w:val="center"/>
        <w:rPr>
          <w:rFonts w:ascii="Times New Roman" w:hAnsi="Times New Roman" w:cs="Times New Roman"/>
          <w:b/>
          <w:bCs/>
          <w:sz w:val="24"/>
          <w:szCs w:val="24"/>
        </w:rPr>
      </w:pPr>
    </w:p>
    <w:p w14:paraId="1E6E2857" w14:textId="4415C26C" w:rsidR="00A55301" w:rsidRPr="00A55301" w:rsidRDefault="00A55301" w:rsidP="00B3261A">
      <w:pPr>
        <w:pStyle w:val="ListParagraph"/>
        <w:numPr>
          <w:ilvl w:val="0"/>
          <w:numId w:val="1"/>
        </w:numPr>
        <w:ind w:left="0" w:firstLine="851"/>
        <w:jc w:val="center"/>
        <w:rPr>
          <w:rFonts w:ascii="Times New Roman" w:hAnsi="Times New Roman" w:cs="Times New Roman"/>
          <w:b/>
          <w:bCs/>
          <w:caps/>
          <w:sz w:val="24"/>
          <w:szCs w:val="24"/>
        </w:rPr>
      </w:pPr>
      <w:r w:rsidRPr="00A55301">
        <w:rPr>
          <w:rFonts w:ascii="Times New Roman" w:hAnsi="Times New Roman" w:cs="Times New Roman"/>
          <w:b/>
          <w:bCs/>
          <w:caps/>
          <w:sz w:val="24"/>
          <w:szCs w:val="24"/>
        </w:rPr>
        <w:t>Bendra informacija</w:t>
      </w:r>
    </w:p>
    <w:p w14:paraId="7F72C390" w14:textId="77777777" w:rsidR="007255D8" w:rsidRDefault="007255D8" w:rsidP="00B3261A">
      <w:pPr>
        <w:pStyle w:val="ListParagraph"/>
        <w:ind w:left="0" w:firstLine="851"/>
        <w:jc w:val="both"/>
        <w:rPr>
          <w:rFonts w:ascii="Times New Roman" w:hAnsi="Times New Roman" w:cs="Times New Roman"/>
          <w:sz w:val="24"/>
          <w:szCs w:val="24"/>
        </w:rPr>
      </w:pPr>
    </w:p>
    <w:p w14:paraId="5AAFA59E" w14:textId="2D07BEEF" w:rsidR="0023529A" w:rsidRDefault="007255D8" w:rsidP="007255D8">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UAB „Giraitės vandenys“ įgyvendina projektą „</w:t>
      </w:r>
      <w:r w:rsidRPr="00A55301">
        <w:rPr>
          <w:rFonts w:ascii="Times New Roman" w:hAnsi="Times New Roman" w:cs="Times New Roman"/>
          <w:sz w:val="24"/>
          <w:szCs w:val="24"/>
        </w:rPr>
        <w:t>Geriamojo vandens tiekimo ir nuotekų tvarkymo infrastruktūros plėtra ir atnaujinimas Kauno rajone“</w:t>
      </w:r>
      <w:r>
        <w:rPr>
          <w:rFonts w:ascii="Times New Roman" w:hAnsi="Times New Roman" w:cs="Times New Roman"/>
          <w:sz w:val="24"/>
          <w:szCs w:val="24"/>
        </w:rPr>
        <w:t xml:space="preserve"> (toliau – </w:t>
      </w:r>
      <w:r w:rsidR="00AB2E05">
        <w:rPr>
          <w:rFonts w:ascii="Times New Roman" w:hAnsi="Times New Roman" w:cs="Times New Roman"/>
          <w:sz w:val="24"/>
          <w:szCs w:val="24"/>
        </w:rPr>
        <w:t>P</w:t>
      </w:r>
      <w:r>
        <w:rPr>
          <w:rFonts w:ascii="Times New Roman" w:hAnsi="Times New Roman" w:cs="Times New Roman"/>
          <w:sz w:val="24"/>
          <w:szCs w:val="24"/>
        </w:rPr>
        <w:t xml:space="preserve">rojektas). </w:t>
      </w:r>
      <w:r w:rsidR="0023529A">
        <w:rPr>
          <w:rFonts w:ascii="Times New Roman" w:hAnsi="Times New Roman" w:cs="Times New Roman"/>
          <w:sz w:val="24"/>
          <w:szCs w:val="24"/>
        </w:rPr>
        <w:t xml:space="preserve">Projektas dalinai finansuojamas ES lėšomis. Pasirašyta projekto sutartis su </w:t>
      </w:r>
      <w:r w:rsidR="00AB2E05">
        <w:rPr>
          <w:rFonts w:ascii="Times New Roman" w:hAnsi="Times New Roman" w:cs="Times New Roman"/>
          <w:sz w:val="24"/>
          <w:szCs w:val="24"/>
        </w:rPr>
        <w:t xml:space="preserve">VšĮ </w:t>
      </w:r>
      <w:r w:rsidR="0023529A">
        <w:rPr>
          <w:rFonts w:ascii="Times New Roman" w:hAnsi="Times New Roman" w:cs="Times New Roman"/>
          <w:sz w:val="24"/>
          <w:szCs w:val="24"/>
        </w:rPr>
        <w:t>Centrine projektų valdymo agentūra.</w:t>
      </w:r>
    </w:p>
    <w:p w14:paraId="14BE7990" w14:textId="09741DAC" w:rsidR="007255D8" w:rsidRPr="00A55301" w:rsidRDefault="007255D8" w:rsidP="009C511D">
      <w:pPr>
        <w:pStyle w:val="ListParagraph"/>
        <w:tabs>
          <w:tab w:val="left" w:pos="5529"/>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Sėkmingam </w:t>
      </w:r>
      <w:r w:rsidR="00AB2E05">
        <w:rPr>
          <w:rFonts w:ascii="Times New Roman" w:hAnsi="Times New Roman" w:cs="Times New Roman"/>
          <w:sz w:val="24"/>
          <w:szCs w:val="24"/>
        </w:rPr>
        <w:t>P</w:t>
      </w:r>
      <w:r>
        <w:rPr>
          <w:rFonts w:ascii="Times New Roman" w:hAnsi="Times New Roman" w:cs="Times New Roman"/>
          <w:sz w:val="24"/>
          <w:szCs w:val="24"/>
        </w:rPr>
        <w:t xml:space="preserve">rojekto įgyvendinimui yra perkamos </w:t>
      </w:r>
      <w:r w:rsidR="00AB2E05">
        <w:rPr>
          <w:rFonts w:ascii="Times New Roman" w:hAnsi="Times New Roman" w:cs="Times New Roman"/>
          <w:sz w:val="24"/>
          <w:szCs w:val="24"/>
        </w:rPr>
        <w:t>P</w:t>
      </w:r>
      <w:r>
        <w:rPr>
          <w:rFonts w:ascii="Times New Roman" w:hAnsi="Times New Roman" w:cs="Times New Roman"/>
          <w:sz w:val="24"/>
          <w:szCs w:val="24"/>
        </w:rPr>
        <w:t>rojekto administravimo paslaugos, kurios detalizuotos šioje techninėje specifikacijoje.</w:t>
      </w:r>
    </w:p>
    <w:p w14:paraId="50721829" w14:textId="77777777" w:rsidR="00A55301" w:rsidRDefault="00A55301" w:rsidP="00A55301">
      <w:pPr>
        <w:pStyle w:val="ListParagraph"/>
        <w:ind w:left="1571"/>
        <w:jc w:val="both"/>
        <w:rPr>
          <w:rFonts w:ascii="Times New Roman" w:hAnsi="Times New Roman" w:cs="Times New Roman"/>
          <w:sz w:val="24"/>
          <w:szCs w:val="24"/>
        </w:rPr>
      </w:pPr>
    </w:p>
    <w:p w14:paraId="5E928645" w14:textId="3733B5B5" w:rsidR="00A55301" w:rsidRDefault="00A55301" w:rsidP="00A55301">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Informacija apie įgyvendinamą projektą:</w:t>
      </w:r>
    </w:p>
    <w:p w14:paraId="795B29F2" w14:textId="77777777" w:rsidR="007255D8" w:rsidRDefault="007255D8" w:rsidP="00A55301">
      <w:pPr>
        <w:spacing w:after="0" w:line="240" w:lineRule="auto"/>
        <w:ind w:firstLine="851"/>
        <w:jc w:val="both"/>
        <w:rPr>
          <w:rFonts w:ascii="Times New Roman" w:hAnsi="Times New Roman" w:cs="Times New Roman"/>
          <w:b/>
          <w:bCs/>
          <w:sz w:val="24"/>
          <w:szCs w:val="24"/>
        </w:rPr>
      </w:pPr>
    </w:p>
    <w:p w14:paraId="42795103" w14:textId="4F67605D" w:rsidR="007255D8" w:rsidRPr="007255D8" w:rsidRDefault="007255D8" w:rsidP="0023529A">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3529A">
        <w:rPr>
          <w:rFonts w:ascii="Times New Roman" w:eastAsia="Calibri" w:hAnsi="Times New Roman" w:cs="Times New Roman"/>
          <w:b/>
          <w:bCs/>
          <w:sz w:val="24"/>
          <w:szCs w:val="24"/>
        </w:rPr>
        <w:t>Projekto įgyvendinančioji institucija</w:t>
      </w:r>
      <w:r w:rsidR="00FA4B8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VšĮ </w:t>
      </w:r>
      <w:r w:rsidRPr="007255D8">
        <w:rPr>
          <w:rFonts w:ascii="Times New Roman" w:eastAsia="Calibri" w:hAnsi="Times New Roman" w:cs="Times New Roman"/>
          <w:sz w:val="24"/>
          <w:szCs w:val="24"/>
        </w:rPr>
        <w:t>Centrinė projektų valdymo agentūra (toliau –</w:t>
      </w:r>
      <w:r>
        <w:rPr>
          <w:rFonts w:ascii="Times New Roman" w:eastAsia="Calibri" w:hAnsi="Times New Roman" w:cs="Times New Roman"/>
          <w:sz w:val="24"/>
          <w:szCs w:val="24"/>
        </w:rPr>
        <w:t xml:space="preserve"> </w:t>
      </w:r>
      <w:r w:rsidRPr="007255D8">
        <w:rPr>
          <w:rFonts w:ascii="Times New Roman" w:eastAsia="Calibri" w:hAnsi="Times New Roman" w:cs="Times New Roman"/>
          <w:sz w:val="24"/>
          <w:szCs w:val="24"/>
        </w:rPr>
        <w:t>CPVA</w:t>
      </w:r>
      <w:r w:rsidR="007C1C7F">
        <w:rPr>
          <w:rFonts w:ascii="Times New Roman" w:eastAsia="Calibri" w:hAnsi="Times New Roman" w:cs="Times New Roman"/>
          <w:sz w:val="24"/>
          <w:szCs w:val="24"/>
        </w:rPr>
        <w:t xml:space="preserve"> arba agentūra</w:t>
      </w:r>
      <w:r w:rsidRPr="007255D8">
        <w:rPr>
          <w:rFonts w:ascii="Times New Roman" w:eastAsia="Calibri" w:hAnsi="Times New Roman" w:cs="Times New Roman"/>
          <w:sz w:val="24"/>
          <w:szCs w:val="24"/>
        </w:rPr>
        <w:t>).</w:t>
      </w:r>
    </w:p>
    <w:p w14:paraId="4325B2F6" w14:textId="32A3A539" w:rsidR="007255D8" w:rsidRPr="007255D8" w:rsidRDefault="007255D8" w:rsidP="007255D8">
      <w:pPr>
        <w:numPr>
          <w:ilvl w:val="1"/>
          <w:numId w:val="5"/>
        </w:numPr>
        <w:spacing w:after="0" w:line="240" w:lineRule="auto"/>
        <w:ind w:left="0" w:firstLine="851"/>
        <w:contextualSpacing/>
        <w:rPr>
          <w:rFonts w:ascii="Times New Roman" w:eastAsia="Calibri" w:hAnsi="Times New Roman" w:cs="Times New Roman"/>
          <w:color w:val="00000A"/>
          <w:sz w:val="24"/>
          <w:szCs w:val="24"/>
        </w:rPr>
      </w:pPr>
      <w:r w:rsidRPr="0023529A">
        <w:rPr>
          <w:rFonts w:ascii="Times New Roman" w:eastAsia="Calibri" w:hAnsi="Times New Roman" w:cs="Times New Roman"/>
          <w:b/>
          <w:bCs/>
          <w:sz w:val="24"/>
          <w:szCs w:val="24"/>
        </w:rPr>
        <w:t>Objektas</w:t>
      </w:r>
      <w:r w:rsidRPr="007255D8">
        <w:rPr>
          <w:rFonts w:ascii="Times New Roman" w:eastAsia="Calibri" w:hAnsi="Times New Roman" w:cs="Times New Roman"/>
          <w:sz w:val="24"/>
          <w:szCs w:val="24"/>
        </w:rPr>
        <w:t xml:space="preserve"> – 10 </w:t>
      </w:r>
      <w:r>
        <w:rPr>
          <w:rFonts w:ascii="Times New Roman" w:eastAsia="Calibri" w:hAnsi="Times New Roman" w:cs="Times New Roman"/>
          <w:sz w:val="24"/>
          <w:szCs w:val="24"/>
        </w:rPr>
        <w:t xml:space="preserve">projekto </w:t>
      </w:r>
      <w:r w:rsidRPr="007255D8">
        <w:rPr>
          <w:rFonts w:ascii="Times New Roman" w:eastAsia="Calibri" w:hAnsi="Times New Roman" w:cs="Times New Roman"/>
          <w:sz w:val="24"/>
          <w:szCs w:val="24"/>
        </w:rPr>
        <w:t>veiklų administravimo</w:t>
      </w:r>
      <w:r w:rsidRPr="007255D8">
        <w:rPr>
          <w:rFonts w:ascii="Times New Roman" w:eastAsia="Calibri" w:hAnsi="Times New Roman" w:cs="Times New Roman"/>
          <w:color w:val="00000A"/>
          <w:sz w:val="24"/>
          <w:szCs w:val="24"/>
        </w:rPr>
        <w:t xml:space="preserve"> paslaugos (toliau – Paslaugos</w:t>
      </w:r>
      <w:r w:rsidR="0023529A">
        <w:rPr>
          <w:rFonts w:ascii="Times New Roman" w:eastAsia="Calibri" w:hAnsi="Times New Roman" w:cs="Times New Roman"/>
          <w:color w:val="00000A"/>
          <w:sz w:val="24"/>
          <w:szCs w:val="24"/>
        </w:rPr>
        <w:t>)</w:t>
      </w:r>
      <w:r w:rsidRPr="007255D8">
        <w:rPr>
          <w:rFonts w:ascii="Times New Roman" w:eastAsia="Calibri" w:hAnsi="Times New Roman" w:cs="Times New Roman"/>
          <w:color w:val="00000A"/>
          <w:sz w:val="24"/>
          <w:szCs w:val="24"/>
        </w:rPr>
        <w:t xml:space="preserve">. </w:t>
      </w:r>
    </w:p>
    <w:p w14:paraId="161B5860" w14:textId="7305521A" w:rsidR="00320789" w:rsidRPr="007255D8" w:rsidRDefault="00FA4B84" w:rsidP="007255D8">
      <w:pPr>
        <w:pStyle w:val="ListParagraph"/>
        <w:numPr>
          <w:ilvl w:val="1"/>
          <w:numId w:val="5"/>
        </w:numPr>
        <w:spacing w:after="0" w:line="240" w:lineRule="auto"/>
        <w:ind w:left="0" w:firstLine="851"/>
        <w:jc w:val="both"/>
        <w:rPr>
          <w:rFonts w:ascii="Times New Roman" w:hAnsi="Times New Roman" w:cs="Times New Roman"/>
          <w:sz w:val="24"/>
          <w:szCs w:val="24"/>
        </w:rPr>
      </w:pPr>
      <w:r>
        <w:rPr>
          <w:rFonts w:ascii="Times New Roman" w:hAnsi="Times New Roman" w:cs="Times New Roman"/>
          <w:b/>
          <w:bCs/>
          <w:sz w:val="24"/>
          <w:szCs w:val="24"/>
        </w:rPr>
        <w:t xml:space="preserve">Projekto aprašymas. </w:t>
      </w:r>
      <w:r w:rsidRPr="00FA4B84">
        <w:rPr>
          <w:rFonts w:ascii="Times New Roman" w:hAnsi="Times New Roman" w:cs="Times New Roman"/>
          <w:sz w:val="24"/>
          <w:szCs w:val="24"/>
        </w:rPr>
        <w:t>I</w:t>
      </w:r>
      <w:r w:rsidR="00320789" w:rsidRPr="007255D8">
        <w:rPr>
          <w:rFonts w:ascii="Times New Roman" w:hAnsi="Times New Roman" w:cs="Times New Roman"/>
          <w:sz w:val="24"/>
          <w:szCs w:val="24"/>
        </w:rPr>
        <w:t xml:space="preserve">šgaunamas požeminis vanduo, kuris tiekiamas Kauno rajono Užliedžių ir Giraitės gyvenviečių gyventojams neatitinka geriamojo vandens kokybės reikalavimų, kurias nustato Higienos norma HN24:2023. Užliedžių k. VGĮ – </w:t>
      </w:r>
      <w:r w:rsidR="00A55301" w:rsidRPr="007255D8">
        <w:rPr>
          <w:rFonts w:ascii="Times New Roman" w:hAnsi="Times New Roman" w:cs="Times New Roman"/>
          <w:sz w:val="24"/>
          <w:szCs w:val="24"/>
        </w:rPr>
        <w:t>ši</w:t>
      </w:r>
      <w:r w:rsidR="00320789" w:rsidRPr="007255D8">
        <w:rPr>
          <w:rFonts w:ascii="Times New Roman" w:hAnsi="Times New Roman" w:cs="Times New Roman"/>
          <w:sz w:val="24"/>
          <w:szCs w:val="24"/>
        </w:rPr>
        <w:t>uo metu žalias vanduo iš artezinių gręžinių paduodamas į vandens gerinimo įrenginių pastatą kur vanduo slėginiuose aeratoriuose yra prisotinamas oro deguonimi, kuris įterpiamas maišytuve, o po jo keliauja į bokštą. Iš bokšto paduodamas gyventojams į trasas. Geležies šalinimas iš vandens grindžiamas oksidacijos būdu, pavertimu netirpiais junginiais ir jų išfiltravimu iš vandens. Amonio pašalinimas iš vandens grindžiamas taip pat oksidacijos būdu, paverčiant jį nitratu. Oksidavimui reikalingo deguonies gaunama aeruojant ruošiamą vandenį kompresoriumi. Oksidavimo produktai nusikošia valomam vandeniui tekant pro įkrovą. Deguonį generuoja oro kompresorius. Po rekonstrukcijos – filtrų plovimo tobulinimas, vykdant plovimą automatizuotai, o ne rankiniu būdu. Griaunamas bokštas, o vietoj jo įrengiamas švaraus vandens rezervuaras su antro pakėlimo siurbliais. Rezervuaras, kuris išlygins vandens trūkumą piko metu</w:t>
      </w:r>
      <w:r w:rsidR="00A55301" w:rsidRPr="007255D8">
        <w:rPr>
          <w:rFonts w:ascii="Times New Roman" w:hAnsi="Times New Roman" w:cs="Times New Roman"/>
          <w:sz w:val="24"/>
          <w:szCs w:val="24"/>
        </w:rPr>
        <w:t xml:space="preserve"> </w:t>
      </w:r>
      <w:r w:rsidR="00320789" w:rsidRPr="007255D8">
        <w:rPr>
          <w:rFonts w:ascii="Times New Roman" w:hAnsi="Times New Roman" w:cs="Times New Roman"/>
          <w:sz w:val="24"/>
          <w:szCs w:val="24"/>
        </w:rPr>
        <w:t>Giraitės k. VGĮ – Šiuo metu žalias vanduo iš artezinių gręžinių paduodamas į vandens gerinimo įrenginių pastatą, kur vanduo slėginiuose aeratoriuose yra prisotinamas oro deguonimi, kuris įterpiamas maišytuve, o po jo keliauja į trasas. Geležies šalinimas iš vandens grindžiamas oksidacijos būdu, pavertimu netirpiais junginiais ir jų išfiltravimu iš vandens. Amonio pašalinimas iš vandens grindžiamas taip pat oksidacijos būdu, paverčiant jį nitratu. Oksidavimui reikalingo deguonies gaunama aeruojant ruošiamą vandenį kompresoriumi. Oksidavimo produktai nusikošia valomam vandeniui tekant pro įkrovą. Deguonį generuoja oro kompresorius. Rekonstrukcijos metu bus įrengiamas rezervuaras, kuris išlygins vandens trūkumą piko metu. Taip pat bus patobulinti – automatizuoti–vandens gerinimo įrenginiai, kur iki šiol filtrų plovimas buvo vykdomas rankiniu būdu.</w:t>
      </w:r>
    </w:p>
    <w:p w14:paraId="321A1432" w14:textId="77777777" w:rsidR="00320789" w:rsidRPr="00320789" w:rsidRDefault="00320789" w:rsidP="00A55301">
      <w:pPr>
        <w:spacing w:after="0" w:line="240" w:lineRule="auto"/>
        <w:ind w:firstLine="851"/>
        <w:jc w:val="both"/>
        <w:rPr>
          <w:rFonts w:ascii="Times New Roman" w:hAnsi="Times New Roman" w:cs="Times New Roman"/>
          <w:sz w:val="24"/>
          <w:szCs w:val="24"/>
        </w:rPr>
      </w:pPr>
      <w:r w:rsidRPr="00320789">
        <w:rPr>
          <w:rFonts w:ascii="Times New Roman" w:hAnsi="Times New Roman" w:cs="Times New Roman"/>
          <w:sz w:val="24"/>
          <w:szCs w:val="24"/>
        </w:rPr>
        <w:t xml:space="preserve">Taip pat daliai Ežerėlio, Juragių, Voškonių gyvenviečių gyventojams nėra teikiamos viešosios paslaugos kaip centralizuotas vandens tiekimas ir nuotekų tvarkymas pakankama apimtimi. Gyventojai neturi galimybės prisijungti prie centralizuotos vandens tiekimo ir nuotekų tvarkymo sistemos. </w:t>
      </w:r>
    </w:p>
    <w:p w14:paraId="2D859A48" w14:textId="77777777" w:rsidR="00320789" w:rsidRPr="00320789" w:rsidRDefault="00320789" w:rsidP="00A55301">
      <w:pPr>
        <w:spacing w:after="0" w:line="240" w:lineRule="auto"/>
        <w:ind w:firstLine="851"/>
        <w:jc w:val="both"/>
        <w:rPr>
          <w:rFonts w:ascii="Times New Roman" w:hAnsi="Times New Roman" w:cs="Times New Roman"/>
          <w:sz w:val="24"/>
          <w:szCs w:val="24"/>
        </w:rPr>
      </w:pPr>
      <w:r w:rsidRPr="00320789">
        <w:rPr>
          <w:rFonts w:ascii="Times New Roman" w:hAnsi="Times New Roman" w:cs="Times New Roman"/>
          <w:sz w:val="24"/>
          <w:szCs w:val="24"/>
        </w:rPr>
        <w:t xml:space="preserve">Juragių gyvenvietės teritorijoje, numatoma turėti apie 115 abonentų (219 gyv.), kurioje nėra centralizuotų nuotekų surinkimo tinklų bei nuotekų valymo įrenginių. Todėl šioje gyvenamojoje vietovėje būtina nuotekų surinkimo tinklų plėtra bei nuotekų valymo įrenginių nauja statyba, kurios </w:t>
      </w:r>
      <w:r w:rsidRPr="00320789">
        <w:rPr>
          <w:rFonts w:ascii="Times New Roman" w:hAnsi="Times New Roman" w:cs="Times New Roman"/>
          <w:sz w:val="24"/>
          <w:szCs w:val="24"/>
        </w:rPr>
        <w:lastRenderedPageBreak/>
        <w:t>reikalingas pajėgumas 499 GE. Planuojamas projektinis našumas 65 m3/d, projektuojama uždara, dviejų lygiagrečių biologinio valymo technologinių linijų (su galimybe ateityje numatyti trečią technologinę liniją su parengtiniu valymu (grotos ir smėliagaudė). Valykloje bus antriniai nusėsdintuvai, perteklinio dumblo tankintuvas. Esant poreikiui bus numatyta ir tretinio valymo įrenginys, o taip pat paėmimo šulinys mėginiams.</w:t>
      </w:r>
    </w:p>
    <w:p w14:paraId="797C8702" w14:textId="77777777" w:rsidR="00320789" w:rsidRPr="00320789" w:rsidRDefault="00320789" w:rsidP="00A55301">
      <w:pPr>
        <w:spacing w:after="0" w:line="240" w:lineRule="auto"/>
        <w:ind w:firstLine="851"/>
        <w:jc w:val="both"/>
        <w:rPr>
          <w:rFonts w:ascii="Times New Roman" w:hAnsi="Times New Roman" w:cs="Times New Roman"/>
          <w:sz w:val="24"/>
          <w:szCs w:val="24"/>
        </w:rPr>
      </w:pPr>
      <w:r w:rsidRPr="00320789">
        <w:rPr>
          <w:rFonts w:ascii="Times New Roman" w:hAnsi="Times New Roman" w:cs="Times New Roman"/>
          <w:sz w:val="24"/>
          <w:szCs w:val="24"/>
        </w:rPr>
        <w:t>Ežerėlio, Juragių, Voškonių gyvenvietėse nėra užtikrintas viešosios paslaugos tiekimas: Ežerėlyje prie centralizuoto geriamojo vandens tiekimo tinklų reikalinga prijungti papildomus 110 abonentų, kurie šiuo metu neturi centralizuotai tiekiamo vandens. Ežerėlio, Voškonių, Juragių gyvenvietėse prijungimo prie centralizuoto nuotekų surinkimo ir išleidimo tinklų laukia 301 abonentas.</w:t>
      </w:r>
    </w:p>
    <w:p w14:paraId="3954432D" w14:textId="77777777" w:rsidR="00320789" w:rsidRPr="00320789" w:rsidRDefault="00320789" w:rsidP="00A55301">
      <w:pPr>
        <w:spacing w:after="0" w:line="240" w:lineRule="auto"/>
        <w:ind w:firstLine="851"/>
        <w:jc w:val="both"/>
        <w:rPr>
          <w:rFonts w:ascii="Times New Roman" w:hAnsi="Times New Roman" w:cs="Times New Roman"/>
          <w:sz w:val="24"/>
          <w:szCs w:val="24"/>
        </w:rPr>
      </w:pPr>
      <w:r w:rsidRPr="00320789">
        <w:rPr>
          <w:rFonts w:ascii="Times New Roman" w:hAnsi="Times New Roman" w:cs="Times New Roman"/>
          <w:sz w:val="24"/>
          <w:szCs w:val="24"/>
        </w:rPr>
        <w:t>Voškonių (Eigirgalos NVĮ) ir Ežerėlio nuotekų centralizuota surinkimo sistema surinktos nuotekos nukreipiamos į senus nuotekų valymo įrenginius. Nuotekų valymo įrenginiai į gamtinę aplinką išleidžia pagal taršos leidime nustatytus reikalavimus neišvalytas nuotekas. Vertinant paskutinių trejų metų duomenis, pagal AIVIKS pateiktas nuotekų tvarkymo apskaitos metines ataskaitas užfiksuotos nepakankamai išvalytos arba nevalytos nuotekos.</w:t>
      </w:r>
    </w:p>
    <w:p w14:paraId="70A1DB1A" w14:textId="77777777" w:rsidR="00320789" w:rsidRPr="00320789" w:rsidRDefault="00320789" w:rsidP="00A55301">
      <w:pPr>
        <w:spacing w:after="0" w:line="240" w:lineRule="auto"/>
        <w:ind w:firstLine="851"/>
        <w:jc w:val="both"/>
        <w:rPr>
          <w:rFonts w:ascii="Times New Roman" w:hAnsi="Times New Roman" w:cs="Times New Roman"/>
          <w:sz w:val="24"/>
          <w:szCs w:val="24"/>
        </w:rPr>
      </w:pPr>
      <w:r w:rsidRPr="00320789">
        <w:rPr>
          <w:rFonts w:ascii="Times New Roman" w:hAnsi="Times New Roman" w:cs="Times New Roman"/>
          <w:sz w:val="24"/>
          <w:szCs w:val="24"/>
        </w:rPr>
        <w:t>Pagal Taršos leidimą Voškonių (Eigirgalos NVĮ) biologinių valymo įrenginių projektinis pajėgumas 200 m3/d (1000 GE). Išvalytos nuotekos išleidžiamos į melioracijos griovį, o toliau iš jo patenka į Gynios upelį. Nuotekų valymo būdas – biologinis, aerobinis , atviro tipo. Atitekančios nuotekos patenka į šulinyje esančias grotas, kur stambūs nešmenys nugrėbiami grėblio pagalba ir numetami į tam skirtą konteinerį. Toliau nuotekos latakais patenka į aerotanką, kuriame paduodant deguonį orapūčių pagalba, vykdomas aerobinis nuotekų valymo procesas. Nuotekos aeratoriuje nuolatos aeruojamos. Po aeratorių dumblo ir nuotekų mišinys patenka į antrinį nusėsdintuvą. Iš jo į nusosdintuvo dugną patenka aktyvusis dumblas, o nuskaidrėjęs vanduo persipylęs pro surinkimo lataką, išteka į išleistuvą. Remiantis AIVIKS ataskaitomis, vertinant paskutinių trejų metų  duomenis 2021, 2022 ir 2023 m. nuotekų valymo įrenginiai į gamtinę aplinką išleido pagal taršos leidime nustatytus reikalavimus nepakankamai išvalytas nuotekas. Vidutinė metinė tarša pagal bendrą fosforą viršijo Taršos leidime nustatytus normatyvus. Išleidžiamose nuotekose vidutinė metinė bendro fosforo koncentracija siekė 2,79 mg/l, kai normatyvas taršos 2 mg/l. Vertinant esamą situaciją ir atsižvelgiant į tai, kad įgyvendinus projektą prie nuotekų surinkimo sistemos bus prisijungta daugiau būstų bei siekiant užtikrinti, kad nuotekų išvalymo rodikliai atitiktų Taršos leidimo ir Nuotekų tvarkymo reglamento reikalavimus,  būtina rekonstruoti šiuos nuotekų valymo įrenginius. Po rekonstrukcijos – projektinis našumas 1000 m3/h, su uždaro tipo biologiniai valymo įrenginiais ir tretiniu nuotekų valymu.</w:t>
      </w:r>
    </w:p>
    <w:p w14:paraId="0C5F78C6" w14:textId="77777777" w:rsidR="00320789" w:rsidRPr="00320789" w:rsidRDefault="00320789" w:rsidP="00A55301">
      <w:pPr>
        <w:spacing w:after="0" w:line="240" w:lineRule="auto"/>
        <w:ind w:firstLine="851"/>
        <w:jc w:val="both"/>
        <w:rPr>
          <w:rFonts w:ascii="Times New Roman" w:hAnsi="Times New Roman" w:cs="Times New Roman"/>
          <w:sz w:val="24"/>
          <w:szCs w:val="24"/>
        </w:rPr>
      </w:pPr>
      <w:r w:rsidRPr="00320789">
        <w:rPr>
          <w:rFonts w:ascii="Times New Roman" w:hAnsi="Times New Roman" w:cs="Times New Roman"/>
          <w:sz w:val="24"/>
          <w:szCs w:val="24"/>
        </w:rPr>
        <w:t xml:space="preserve">Pagal Taršos leidimą Ežerėlio biologinių valymo įrenginių projektinis pajėgumas 151 m3/d (800 GE). Nuotekų valymo būdas – biologinis, aerobinis , atviro tipo. Atitekančios nuotekos iš miestelio patenka į grotas, kur stambūs nešmenys nugrėbiami grėblio pagalba ir numetami į tam skirtą konteinerį. Toliau nuotekos patenka į aerotanką, kuriame vyksta biologinis valymas. Nuotekos aeratoriuje nuolatos aeruojamos orapūčiu pagalba. Po aeratorių dumblo ir nuotekų mišinys patenka į antrinį nusėsdintuvą. Iš jo į nusosdintuvo dugną patenka aktyvusis dumblas, o nuskaidrėjęs vanduo persipylęs po surinkimo lataką, išteka į išleistuvą. Perteklinis susikaupęs dumblas yra perpumpuojamas į dumblo aikštelę. Po valymo nuotekos išleidžiamos į Skirpstaujos upelį. Nuotekų apskaita vykdoma tūrinio skaitiklio pagalba. Remiantis AIVIKS ataskaitomis, vertinant paskutinių trejų metų  duomenis 2021, 2022 ir 2023 m. nuotekų valymo įrenginiai į gamtinę aplinką išleido pagal taršos leidime nustatytus reikalavimus nepakankamai išvalytas nuotekas. Vidutinė metinė tarša pagal bendrą azotą viršijo Taršos leidime nustatytus normatyvus. Išleidžiamose nuotekose vidutinė metinė bendro azoto koncentracija siekė 29,351 mg/l, kai normatyvas taršos leidime 20 mg/l. Vertinant esamą situaciją ir atsižvelgiant į tai, kad įgyvendinus projektą prie nuotekų surinkimo sistemos bus prisijungta daugiau būstų bei siekiant užtikrinti, kad  nuotekų išvalymo rodikliai atitiktų Taršos leidimo ir Nuotekų tvarkymo reglamento reikalavimus,  būtina rekonstruoti Ežerėlio nuotekų valymo įrenginius. Vandžiogalos mstl. centralizuota nuotekų surinkimo sistema surinktos nuotekos nukreipiamos į senus nuotekų valymo įrenginius, kurių projektinis pajėgumas 200 m3/d  (1000 GE). Išvalytos nuotekos išleidžiamos į Mėklos upelį.  Nuotekų valymo principas yra aerobinis, </w:t>
      </w:r>
      <w:r w:rsidRPr="00320789">
        <w:rPr>
          <w:rFonts w:ascii="Times New Roman" w:hAnsi="Times New Roman" w:cs="Times New Roman"/>
          <w:sz w:val="24"/>
          <w:szCs w:val="24"/>
        </w:rPr>
        <w:lastRenderedPageBreak/>
        <w:t xml:space="preserve">aerotankuose su periodinio veikimo pneumatine aeracija. Nuotekos pirmiausia išvalomos grotose nuo didesnių nešmenų, po to latakais patenka į aerotanką, kuriame periodiškai veikiant orapūtėms paduodamas deguonis. Iš aerotanko patenka į antrinį nusėsdintuvą, kuriame nuskaidrėjęs vanduo per surinkimo latakų briaunas patenka į išleistuvą, o susikaupęs dumblas grąžinamas į aeracinę talpą. Remiantis AIVIKS ataskaitomis, vertinant paskutinių trejų metų  duomenis 2021, 2022 ir 2023 m. nuotekų valymo įrenginiai į gamtinę aplinką išleido nepakankamai išvalytas nuotekas. Išleidžiamose nuotekose vidutinė metinė bendro fosforo koncentracija siekė 2,417 mg/l, į taršos leidimą neįrašyti fosforo normatyvai, tačiau viršijo Nuotekų tvarkymo reglamente leistinas užterštumo normas, kurios taikomos nuo 2027 gruodžio 31 d. ir kur bendro fosforo normatyvas 2 mg/l.  Vertinant esamą situaciją ir atsižvelgiant į tai, kad įgyvendinus projektą prie nuotekų surinkimo sistemos bus prisijungta daugiau būstų bei siekiant užtikrinti, kad nuotekų išvalymo rodikliai atitiktų Taršos leidimo ir Nuotekų tvarkymo reglamento reikalavimus, būtina rekonstruoti Vandžiogalos mstl. nuotekų valymo įrenginius. </w:t>
      </w:r>
    </w:p>
    <w:p w14:paraId="30A3916D" w14:textId="1AEF79CB" w:rsidR="00781EA4" w:rsidRPr="007255D8" w:rsidRDefault="009740ED" w:rsidP="007255D8">
      <w:pPr>
        <w:pStyle w:val="ListParagraph"/>
        <w:numPr>
          <w:ilvl w:val="1"/>
          <w:numId w:val="5"/>
        </w:numPr>
        <w:spacing w:after="0" w:line="240" w:lineRule="auto"/>
        <w:ind w:left="0" w:firstLine="851"/>
        <w:jc w:val="both"/>
        <w:rPr>
          <w:rFonts w:ascii="Times New Roman" w:hAnsi="Times New Roman" w:cs="Times New Roman"/>
          <w:sz w:val="24"/>
          <w:szCs w:val="24"/>
        </w:rPr>
      </w:pPr>
      <w:r w:rsidRPr="007255D8">
        <w:rPr>
          <w:rFonts w:ascii="Times New Roman" w:hAnsi="Times New Roman" w:cs="Times New Roman"/>
          <w:b/>
          <w:bCs/>
          <w:sz w:val="24"/>
          <w:szCs w:val="24"/>
        </w:rPr>
        <w:t>Projekto tikslas</w:t>
      </w:r>
      <w:r w:rsidRPr="007255D8">
        <w:rPr>
          <w:rFonts w:ascii="Times New Roman" w:hAnsi="Times New Roman" w:cs="Times New Roman"/>
          <w:sz w:val="24"/>
          <w:szCs w:val="24"/>
        </w:rPr>
        <w:t xml:space="preserve"> – plėtoti ir atnaujinti centralizuoto geriamojo vandens tiekimo ir nuotekų tvarkymo infrastruktūrą, didinti paslaugų prieinamumą ir saugą, sudaryti sąlygas mažinti aplinkos taršą ir racionaliai naudoti vandens išteklius Kauno rajono savivaldybėje.</w:t>
      </w:r>
      <w:r w:rsidRPr="007255D8">
        <w:rPr>
          <w:rFonts w:ascii="Times New Roman" w:hAnsi="Times New Roman" w:cs="Times New Roman"/>
          <w:sz w:val="24"/>
          <w:szCs w:val="24"/>
        </w:rPr>
        <w:br/>
        <w:t>Projektas „Geriamojo vandens tiekimo ir nuotekų tvarkymo infrastruktūros plėtra Kauno rajone (2024–2029 m.)“ skirtas užtikrinti tiekiamo geriamojo vandens saugą ir kokybę Ežerėlio m. atliekant centralizuotų geriamojo vandens tiekimo tinklų plėtrą, Giraitės k. ir Užliedžių k. gyventojams rekonstruojant vandens gerinimo įrenginius, bei padidinti nuotekų tvarkymo paslaugų prieinamumą Juragių k. gyventojams pastatant naujus nuotekų valymo įrenginius bei rekonstruojant nuotekų valyklas Ežerėlio m., Voškonių k. (Eigirgalos NVĮ) ir Vandžiogalos mstl., bei tiesiant nuotekų tinklus Ežerėlio, Juragių ir Voškonių k. gyventojams. Šis projektas yra regioninio lygio.</w:t>
      </w:r>
    </w:p>
    <w:p w14:paraId="14A542D8" w14:textId="23020966" w:rsidR="009740ED" w:rsidRPr="00A55301" w:rsidRDefault="009740ED" w:rsidP="007255D8">
      <w:pPr>
        <w:spacing w:after="0" w:line="240" w:lineRule="auto"/>
        <w:ind w:firstLine="851"/>
        <w:jc w:val="both"/>
        <w:rPr>
          <w:rFonts w:ascii="Times New Roman" w:hAnsi="Times New Roman" w:cs="Times New Roman"/>
          <w:b/>
          <w:bCs/>
          <w:sz w:val="24"/>
          <w:szCs w:val="24"/>
        </w:rPr>
      </w:pPr>
      <w:r w:rsidRPr="009740ED">
        <w:rPr>
          <w:rFonts w:ascii="Times New Roman" w:hAnsi="Times New Roman" w:cs="Times New Roman"/>
          <w:sz w:val="24"/>
          <w:szCs w:val="24"/>
        </w:rPr>
        <w:t xml:space="preserve">Tiesioginė projekto tikslinė grupė – tai tiesiogiai projekto įgyvendinime dalyvaujanti grupė, tiesioginiai naudos gavėjai: Kauno rajono Ežerėlio, Užliedžių, Giraitės, Juragių, Voškonių, Eigirgalos, Vandžiogalos gyvenvietės gyventojai, kurie tiesiogiai pajus projekto naudą ir bus viešosios paslaugos naudotojai – </w:t>
      </w:r>
      <w:r w:rsidRPr="00A55301">
        <w:rPr>
          <w:rFonts w:ascii="Times New Roman" w:hAnsi="Times New Roman" w:cs="Times New Roman"/>
          <w:b/>
          <w:bCs/>
          <w:sz w:val="24"/>
          <w:szCs w:val="24"/>
        </w:rPr>
        <w:t>12.102 gyventojai.</w:t>
      </w:r>
    </w:p>
    <w:p w14:paraId="31B2F49D" w14:textId="59DB54D8" w:rsidR="009740ED" w:rsidRPr="007255D8" w:rsidRDefault="009740ED" w:rsidP="007255D8">
      <w:pPr>
        <w:pStyle w:val="ListParagraph"/>
        <w:numPr>
          <w:ilvl w:val="1"/>
          <w:numId w:val="5"/>
        </w:numPr>
        <w:ind w:left="0" w:firstLine="851"/>
        <w:jc w:val="both"/>
        <w:rPr>
          <w:rFonts w:ascii="Times New Roman" w:hAnsi="Times New Roman" w:cs="Times New Roman"/>
          <w:b/>
          <w:bCs/>
          <w:sz w:val="24"/>
          <w:szCs w:val="24"/>
        </w:rPr>
      </w:pPr>
      <w:r w:rsidRPr="007255D8">
        <w:rPr>
          <w:rFonts w:ascii="Times New Roman" w:hAnsi="Times New Roman" w:cs="Times New Roman"/>
          <w:b/>
          <w:bCs/>
          <w:sz w:val="24"/>
          <w:szCs w:val="24"/>
        </w:rPr>
        <w:t>Stebėsenos rodikliai: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345"/>
        <w:gridCol w:w="1504"/>
        <w:gridCol w:w="1824"/>
        <w:gridCol w:w="1264"/>
        <w:gridCol w:w="1546"/>
        <w:gridCol w:w="2106"/>
      </w:tblGrid>
      <w:tr w:rsidR="009740ED" w:rsidRPr="009740ED" w14:paraId="032BDA65" w14:textId="77777777" w:rsidTr="00555FEC">
        <w:trPr>
          <w:trHeight w:val="627"/>
        </w:trPr>
        <w:tc>
          <w:tcPr>
            <w:tcW w:w="702" w:type="pct"/>
            <w:shd w:val="clear" w:color="auto" w:fill="D9D9D9" w:themeFill="light1" w:themeFillShade="D9"/>
          </w:tcPr>
          <w:p w14:paraId="25C81A6E" w14:textId="77777777" w:rsidR="009740ED" w:rsidRPr="009740ED" w:rsidRDefault="009740ED" w:rsidP="00555FEC">
            <w:pPr>
              <w:rPr>
                <w:rFonts w:ascii="Times New Roman" w:hAnsi="Times New Roman" w:cs="Times New Roman"/>
                <w:b/>
                <w:sz w:val="18"/>
                <w:szCs w:val="18"/>
              </w:rPr>
            </w:pPr>
          </w:p>
          <w:p w14:paraId="08AAB7EB" w14:textId="77777777" w:rsidR="009740ED" w:rsidRPr="009740ED" w:rsidRDefault="009740ED" w:rsidP="00555FEC">
            <w:pPr>
              <w:jc w:val="center"/>
              <w:rPr>
                <w:rFonts w:ascii="Times New Roman" w:hAnsi="Times New Roman" w:cs="Times New Roman"/>
                <w:b/>
                <w:sz w:val="18"/>
                <w:szCs w:val="18"/>
              </w:rPr>
            </w:pPr>
            <w:r w:rsidRPr="009740ED">
              <w:rPr>
                <w:rFonts w:ascii="Times New Roman" w:hAnsi="Times New Roman" w:cs="Times New Roman"/>
                <w:b/>
                <w:sz w:val="18"/>
                <w:szCs w:val="18"/>
              </w:rPr>
              <w:t>Pažangos priemonės poveiklės numeris </w:t>
            </w:r>
          </w:p>
        </w:tc>
        <w:tc>
          <w:tcPr>
            <w:tcW w:w="784" w:type="pct"/>
            <w:shd w:val="clear" w:color="auto" w:fill="D9D9D9" w:themeFill="light1" w:themeFillShade="D9"/>
            <w:hideMark/>
          </w:tcPr>
          <w:p w14:paraId="185E7090" w14:textId="77777777" w:rsidR="009740ED" w:rsidRPr="009740ED" w:rsidRDefault="009740ED" w:rsidP="00555FEC">
            <w:pPr>
              <w:jc w:val="center"/>
              <w:rPr>
                <w:rFonts w:ascii="Times New Roman" w:hAnsi="Times New Roman" w:cs="Times New Roman"/>
                <w:b/>
                <w:sz w:val="18"/>
                <w:szCs w:val="18"/>
              </w:rPr>
            </w:pPr>
            <w:r w:rsidRPr="009740ED">
              <w:rPr>
                <w:rFonts w:ascii="Times New Roman" w:hAnsi="Times New Roman" w:cs="Times New Roman"/>
                <w:b/>
                <w:sz w:val="18"/>
                <w:szCs w:val="18"/>
              </w:rPr>
              <w:t>Stebėsenos rodiklio pavadinimas</w:t>
            </w:r>
          </w:p>
        </w:tc>
        <w:tc>
          <w:tcPr>
            <w:tcW w:w="951" w:type="pct"/>
            <w:shd w:val="clear" w:color="auto" w:fill="D9D9D9" w:themeFill="light1" w:themeFillShade="D9"/>
            <w:hideMark/>
          </w:tcPr>
          <w:p w14:paraId="7A111502" w14:textId="77777777" w:rsidR="009740ED" w:rsidRPr="009740ED" w:rsidRDefault="009740ED" w:rsidP="00555FEC">
            <w:pPr>
              <w:jc w:val="center"/>
              <w:rPr>
                <w:rFonts w:ascii="Times New Roman" w:hAnsi="Times New Roman" w:cs="Times New Roman"/>
                <w:b/>
                <w:sz w:val="18"/>
                <w:szCs w:val="18"/>
              </w:rPr>
            </w:pPr>
            <w:r w:rsidRPr="009740ED">
              <w:rPr>
                <w:rFonts w:ascii="Times New Roman" w:hAnsi="Times New Roman" w:cs="Times New Roman"/>
                <w:b/>
                <w:sz w:val="18"/>
                <w:szCs w:val="18"/>
              </w:rPr>
              <w:t>Stebėsenos rodiklio kodas</w:t>
            </w:r>
          </w:p>
        </w:tc>
        <w:tc>
          <w:tcPr>
            <w:tcW w:w="659" w:type="pct"/>
            <w:shd w:val="clear" w:color="auto" w:fill="D9D9D9" w:themeFill="light1" w:themeFillShade="D9"/>
            <w:hideMark/>
          </w:tcPr>
          <w:p w14:paraId="7C5FDF9D" w14:textId="77777777" w:rsidR="009740ED" w:rsidRPr="009740ED" w:rsidRDefault="009740ED" w:rsidP="00555FEC">
            <w:pPr>
              <w:jc w:val="center"/>
              <w:rPr>
                <w:rFonts w:ascii="Times New Roman" w:hAnsi="Times New Roman" w:cs="Times New Roman"/>
                <w:b/>
                <w:color w:val="000000"/>
                <w:sz w:val="18"/>
                <w:szCs w:val="18"/>
              </w:rPr>
            </w:pPr>
            <w:r w:rsidRPr="009740ED">
              <w:rPr>
                <w:rFonts w:ascii="Times New Roman" w:hAnsi="Times New Roman" w:cs="Times New Roman"/>
                <w:b/>
                <w:color w:val="000000"/>
                <w:sz w:val="18"/>
                <w:szCs w:val="18"/>
              </w:rPr>
              <w:t>Matavimo vienetas</w:t>
            </w:r>
          </w:p>
        </w:tc>
        <w:tc>
          <w:tcPr>
            <w:tcW w:w="806" w:type="pct"/>
            <w:shd w:val="clear" w:color="auto" w:fill="D9D9D9" w:themeFill="light1" w:themeFillShade="D9"/>
            <w:hideMark/>
          </w:tcPr>
          <w:p w14:paraId="05128DD7" w14:textId="77777777" w:rsidR="009740ED" w:rsidRPr="009740ED" w:rsidRDefault="009740ED" w:rsidP="00555FEC">
            <w:pPr>
              <w:jc w:val="center"/>
              <w:rPr>
                <w:rFonts w:ascii="Times New Roman" w:hAnsi="Times New Roman" w:cs="Times New Roman"/>
                <w:b/>
                <w:color w:val="000000"/>
                <w:sz w:val="18"/>
                <w:szCs w:val="18"/>
              </w:rPr>
            </w:pPr>
            <w:r w:rsidRPr="009740ED">
              <w:rPr>
                <w:rFonts w:ascii="Times New Roman" w:hAnsi="Times New Roman" w:cs="Times New Roman"/>
                <w:b/>
                <w:color w:val="000000"/>
                <w:sz w:val="18"/>
                <w:szCs w:val="18"/>
              </w:rPr>
              <w:t>Pradinė reikšmė</w:t>
            </w:r>
          </w:p>
        </w:tc>
        <w:tc>
          <w:tcPr>
            <w:tcW w:w="1098" w:type="pct"/>
            <w:shd w:val="clear" w:color="auto" w:fill="D9D9D9" w:themeFill="light1" w:themeFillShade="D9"/>
            <w:hideMark/>
          </w:tcPr>
          <w:p w14:paraId="33D811B3" w14:textId="77777777" w:rsidR="009740ED" w:rsidRPr="009740ED" w:rsidRDefault="009740ED" w:rsidP="00555FEC">
            <w:pPr>
              <w:jc w:val="center"/>
              <w:rPr>
                <w:rFonts w:ascii="Times New Roman" w:hAnsi="Times New Roman" w:cs="Times New Roman"/>
                <w:b/>
                <w:color w:val="000000"/>
                <w:sz w:val="18"/>
                <w:szCs w:val="18"/>
              </w:rPr>
            </w:pPr>
            <w:r w:rsidRPr="009740ED">
              <w:rPr>
                <w:rFonts w:ascii="Times New Roman" w:hAnsi="Times New Roman" w:cs="Times New Roman"/>
                <w:b/>
                <w:color w:val="000000"/>
                <w:sz w:val="18"/>
                <w:szCs w:val="18"/>
              </w:rPr>
              <w:t>Siektina reikšmė</w:t>
            </w:r>
          </w:p>
        </w:tc>
      </w:tr>
      <w:tr w:rsidR="009740ED" w:rsidRPr="009740ED" w14:paraId="394E355C" w14:textId="77777777" w:rsidTr="00555FEC">
        <w:trPr>
          <w:trHeight w:val="322"/>
        </w:trPr>
        <w:tc>
          <w:tcPr>
            <w:tcW w:w="702" w:type="pct"/>
          </w:tcPr>
          <w:p w14:paraId="44660A6A" w14:textId="77777777" w:rsidR="009740ED" w:rsidRPr="009740ED" w:rsidRDefault="009740ED" w:rsidP="00555FEC">
            <w:pPr>
              <w:shd w:val="clear" w:color="auto" w:fill="FFFFFF"/>
              <w:ind w:firstLine="720"/>
              <w:jc w:val="center"/>
              <w:rPr>
                <w:rFonts w:ascii="Times New Roman" w:hAnsi="Times New Roman" w:cs="Times New Roman"/>
                <w:color w:val="000000"/>
                <w:sz w:val="18"/>
                <w:szCs w:val="18"/>
                <w:highlight w:val="yellow"/>
              </w:rPr>
            </w:pPr>
          </w:p>
        </w:tc>
        <w:tc>
          <w:tcPr>
            <w:tcW w:w="4298" w:type="pct"/>
            <w:gridSpan w:val="5"/>
            <w:hideMark/>
          </w:tcPr>
          <w:p w14:paraId="19AA676B" w14:textId="6B76A163" w:rsidR="009740ED" w:rsidRPr="009740ED" w:rsidRDefault="009740ED" w:rsidP="00555FEC">
            <w:pPr>
              <w:shd w:val="clear" w:color="auto" w:fill="FFFFFF"/>
              <w:ind w:firstLine="78"/>
              <w:jc w:val="center"/>
              <w:rPr>
                <w:rFonts w:ascii="Times New Roman" w:hAnsi="Times New Roman" w:cs="Times New Roman"/>
                <w:b/>
                <w:color w:val="000000"/>
                <w:sz w:val="18"/>
                <w:szCs w:val="18"/>
                <w:highlight w:val="yellow"/>
              </w:rPr>
            </w:pPr>
            <w:r w:rsidRPr="009740ED">
              <w:rPr>
                <w:rFonts w:ascii="Times New Roman" w:hAnsi="Times New Roman" w:cs="Times New Roman"/>
                <w:b/>
                <w:color w:val="000000"/>
                <w:sz w:val="18"/>
                <w:szCs w:val="18"/>
              </w:rPr>
              <w:t xml:space="preserve"> Produkto stebėsenos rodikliai</w:t>
            </w:r>
          </w:p>
        </w:tc>
      </w:tr>
      <w:tr w:rsidR="009740ED" w:rsidRPr="009740ED" w14:paraId="6D712F53" w14:textId="77777777" w:rsidTr="00555FEC">
        <w:trPr>
          <w:trHeight w:val="94"/>
        </w:trPr>
        <w:tc>
          <w:tcPr>
            <w:tcW w:w="702" w:type="pct"/>
            <w:hideMark/>
          </w:tcPr>
          <w:p w14:paraId="0861DAD3"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02-001-06-07-02-(RE)-22-(LT022-02-04-01)-01-02</w:t>
            </w:r>
          </w:p>
        </w:tc>
        <w:tc>
          <w:tcPr>
            <w:tcW w:w="784" w:type="pct"/>
          </w:tcPr>
          <w:p w14:paraId="2D14804F"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Viešojo nuotekų surinkimo tinklo naujų arba atnaujintų vamzdynų ilgis</w:t>
            </w:r>
          </w:p>
        </w:tc>
        <w:tc>
          <w:tcPr>
            <w:tcW w:w="951" w:type="pct"/>
          </w:tcPr>
          <w:p w14:paraId="068B1E42"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P.B.2.0031</w:t>
            </w:r>
          </w:p>
        </w:tc>
        <w:tc>
          <w:tcPr>
            <w:tcW w:w="659" w:type="pct"/>
            <w:shd w:val="clear" w:color="auto" w:fill="FFFFFF" w:themeFill="light1"/>
          </w:tcPr>
          <w:p w14:paraId="22148F5D"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km</w:t>
            </w:r>
          </w:p>
        </w:tc>
        <w:tc>
          <w:tcPr>
            <w:tcW w:w="806" w:type="pct"/>
            <w:hideMark/>
          </w:tcPr>
          <w:p w14:paraId="09CC9DE8" w14:textId="77777777" w:rsidR="009740ED" w:rsidRPr="009740ED" w:rsidRDefault="009740ED" w:rsidP="00555FEC">
            <w:pPr>
              <w:shd w:val="clear" w:color="auto" w:fill="FFFFFF"/>
              <w:jc w:val="center"/>
              <w:rPr>
                <w:rFonts w:ascii="Times New Roman" w:hAnsi="Times New Roman" w:cs="Times New Roman"/>
                <w:color w:val="000000"/>
                <w:sz w:val="18"/>
                <w:szCs w:val="18"/>
                <w:highlight w:val="yellow"/>
              </w:rPr>
            </w:pPr>
            <w:r w:rsidRPr="009740ED">
              <w:rPr>
                <w:rFonts w:ascii="Times New Roman" w:hAnsi="Times New Roman" w:cs="Times New Roman"/>
                <w:i/>
                <w:sz w:val="18"/>
                <w:szCs w:val="18"/>
              </w:rPr>
              <w:t>–</w:t>
            </w:r>
          </w:p>
        </w:tc>
        <w:tc>
          <w:tcPr>
            <w:tcW w:w="1098" w:type="pct"/>
          </w:tcPr>
          <w:p w14:paraId="09D28CD3"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16,02</w:t>
            </w:r>
          </w:p>
        </w:tc>
      </w:tr>
      <w:tr w:rsidR="009740ED" w:rsidRPr="009740ED" w14:paraId="5CBC79B2" w14:textId="77777777" w:rsidTr="00555FEC">
        <w:trPr>
          <w:trHeight w:val="94"/>
        </w:trPr>
        <w:tc>
          <w:tcPr>
            <w:tcW w:w="702" w:type="pct"/>
            <w:hideMark/>
          </w:tcPr>
          <w:p w14:paraId="2A317798"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02-001-06-07-02-(RE)-22-(LT022-02-04-01)-01-02</w:t>
            </w:r>
          </w:p>
        </w:tc>
        <w:tc>
          <w:tcPr>
            <w:tcW w:w="784" w:type="pct"/>
          </w:tcPr>
          <w:p w14:paraId="46C5C02F"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Viešojo vandens tiekimo paskirstymo sistemų naujų arba atnaujintų vamzdynų ilgis</w:t>
            </w:r>
          </w:p>
        </w:tc>
        <w:tc>
          <w:tcPr>
            <w:tcW w:w="951" w:type="pct"/>
          </w:tcPr>
          <w:p w14:paraId="2B6AAD3B"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P.B.2.0030</w:t>
            </w:r>
          </w:p>
        </w:tc>
        <w:tc>
          <w:tcPr>
            <w:tcW w:w="659" w:type="pct"/>
            <w:shd w:val="clear" w:color="auto" w:fill="FFFFFF" w:themeFill="light1"/>
          </w:tcPr>
          <w:p w14:paraId="36848853"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km</w:t>
            </w:r>
          </w:p>
        </w:tc>
        <w:tc>
          <w:tcPr>
            <w:tcW w:w="806" w:type="pct"/>
            <w:hideMark/>
          </w:tcPr>
          <w:p w14:paraId="156EB478" w14:textId="77777777" w:rsidR="009740ED" w:rsidRPr="009740ED" w:rsidRDefault="009740ED" w:rsidP="00555FEC">
            <w:pPr>
              <w:shd w:val="clear" w:color="auto" w:fill="FFFFFF"/>
              <w:jc w:val="center"/>
              <w:rPr>
                <w:rFonts w:ascii="Times New Roman" w:hAnsi="Times New Roman" w:cs="Times New Roman"/>
                <w:color w:val="000000"/>
                <w:sz w:val="18"/>
                <w:szCs w:val="18"/>
                <w:highlight w:val="yellow"/>
              </w:rPr>
            </w:pPr>
            <w:r w:rsidRPr="009740ED">
              <w:rPr>
                <w:rFonts w:ascii="Times New Roman" w:hAnsi="Times New Roman" w:cs="Times New Roman"/>
                <w:i/>
                <w:sz w:val="18"/>
                <w:szCs w:val="18"/>
              </w:rPr>
              <w:t>–</w:t>
            </w:r>
          </w:p>
        </w:tc>
        <w:tc>
          <w:tcPr>
            <w:tcW w:w="1098" w:type="pct"/>
          </w:tcPr>
          <w:p w14:paraId="530E0AAD"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4,56</w:t>
            </w:r>
          </w:p>
        </w:tc>
      </w:tr>
      <w:tr w:rsidR="009740ED" w:rsidRPr="009740ED" w14:paraId="309C4942" w14:textId="77777777" w:rsidTr="00555FEC">
        <w:trPr>
          <w:trHeight w:val="94"/>
        </w:trPr>
        <w:tc>
          <w:tcPr>
            <w:tcW w:w="702" w:type="pct"/>
            <w:hideMark/>
          </w:tcPr>
          <w:p w14:paraId="45957C41"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02-001-06-07-02-(RE)-22-(LT022-02-04-01)-01-02</w:t>
            </w:r>
          </w:p>
        </w:tc>
        <w:tc>
          <w:tcPr>
            <w:tcW w:w="784" w:type="pct"/>
          </w:tcPr>
          <w:p w14:paraId="12CC943F"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Nauji arba atnaujinti nuotekų valymo pajėgumai</w:t>
            </w:r>
          </w:p>
        </w:tc>
        <w:tc>
          <w:tcPr>
            <w:tcW w:w="951" w:type="pct"/>
          </w:tcPr>
          <w:p w14:paraId="4D5FE511"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P.B.2.0032</w:t>
            </w:r>
          </w:p>
        </w:tc>
        <w:tc>
          <w:tcPr>
            <w:tcW w:w="659" w:type="pct"/>
            <w:shd w:val="clear" w:color="auto" w:fill="FFFFFF" w:themeFill="light1"/>
          </w:tcPr>
          <w:p w14:paraId="72E38F25"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gyventojų ekvivalentas</w:t>
            </w:r>
          </w:p>
        </w:tc>
        <w:tc>
          <w:tcPr>
            <w:tcW w:w="806" w:type="pct"/>
            <w:hideMark/>
          </w:tcPr>
          <w:p w14:paraId="1EF773B5" w14:textId="77777777" w:rsidR="009740ED" w:rsidRPr="009740ED" w:rsidRDefault="009740ED" w:rsidP="00555FEC">
            <w:pPr>
              <w:shd w:val="clear" w:color="auto" w:fill="FFFFFF"/>
              <w:jc w:val="center"/>
              <w:rPr>
                <w:rFonts w:ascii="Times New Roman" w:hAnsi="Times New Roman" w:cs="Times New Roman"/>
                <w:color w:val="000000"/>
                <w:sz w:val="18"/>
                <w:szCs w:val="18"/>
                <w:highlight w:val="yellow"/>
              </w:rPr>
            </w:pPr>
            <w:r w:rsidRPr="009740ED">
              <w:rPr>
                <w:rFonts w:ascii="Times New Roman" w:hAnsi="Times New Roman" w:cs="Times New Roman"/>
                <w:i/>
                <w:sz w:val="18"/>
                <w:szCs w:val="18"/>
              </w:rPr>
              <w:t>–</w:t>
            </w:r>
          </w:p>
        </w:tc>
        <w:tc>
          <w:tcPr>
            <w:tcW w:w="1098" w:type="pct"/>
          </w:tcPr>
          <w:p w14:paraId="161EA493"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3299,00</w:t>
            </w:r>
          </w:p>
        </w:tc>
      </w:tr>
      <w:tr w:rsidR="009740ED" w:rsidRPr="009740ED" w14:paraId="78D0EE25" w14:textId="77777777" w:rsidTr="00555FEC">
        <w:trPr>
          <w:trHeight w:val="94"/>
        </w:trPr>
        <w:tc>
          <w:tcPr>
            <w:tcW w:w="702" w:type="pct"/>
            <w:hideMark/>
          </w:tcPr>
          <w:p w14:paraId="76B3491B"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02-001-06-07-02-(RE)-22-</w:t>
            </w:r>
            <w:r w:rsidRPr="009740ED">
              <w:rPr>
                <w:rFonts w:ascii="Times New Roman" w:hAnsi="Times New Roman" w:cs="Times New Roman"/>
                <w:sz w:val="18"/>
                <w:szCs w:val="18"/>
              </w:rPr>
              <w:lastRenderedPageBreak/>
              <w:t>(LT022-02-04-01)-01-02</w:t>
            </w:r>
          </w:p>
        </w:tc>
        <w:tc>
          <w:tcPr>
            <w:tcW w:w="784" w:type="pct"/>
          </w:tcPr>
          <w:p w14:paraId="570892BC"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lastRenderedPageBreak/>
              <w:t xml:space="preserve">Nauji arba atnaujinti </w:t>
            </w:r>
            <w:r w:rsidRPr="009740ED">
              <w:rPr>
                <w:rFonts w:ascii="Times New Roman" w:hAnsi="Times New Roman" w:cs="Times New Roman"/>
                <w:sz w:val="18"/>
                <w:szCs w:val="18"/>
              </w:rPr>
              <w:lastRenderedPageBreak/>
              <w:t>geriamojo vandens ruošimo pajėgumai</w:t>
            </w:r>
          </w:p>
        </w:tc>
        <w:tc>
          <w:tcPr>
            <w:tcW w:w="951" w:type="pct"/>
          </w:tcPr>
          <w:p w14:paraId="7EF20EEF"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lastRenderedPageBreak/>
              <w:t>P.S.2.1013</w:t>
            </w:r>
          </w:p>
        </w:tc>
        <w:tc>
          <w:tcPr>
            <w:tcW w:w="659" w:type="pct"/>
            <w:shd w:val="clear" w:color="auto" w:fill="FFFFFF" w:themeFill="light1"/>
          </w:tcPr>
          <w:p w14:paraId="2733E275"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kub. m/parą</w:t>
            </w:r>
          </w:p>
        </w:tc>
        <w:tc>
          <w:tcPr>
            <w:tcW w:w="806" w:type="pct"/>
            <w:hideMark/>
          </w:tcPr>
          <w:p w14:paraId="0C837142" w14:textId="77777777" w:rsidR="009740ED" w:rsidRPr="009740ED" w:rsidRDefault="009740ED" w:rsidP="00555FEC">
            <w:pPr>
              <w:shd w:val="clear" w:color="auto" w:fill="FFFFFF"/>
              <w:jc w:val="center"/>
              <w:rPr>
                <w:rFonts w:ascii="Times New Roman" w:hAnsi="Times New Roman" w:cs="Times New Roman"/>
                <w:color w:val="000000"/>
                <w:sz w:val="18"/>
                <w:szCs w:val="18"/>
                <w:highlight w:val="yellow"/>
              </w:rPr>
            </w:pPr>
            <w:r w:rsidRPr="009740ED">
              <w:rPr>
                <w:rFonts w:ascii="Times New Roman" w:hAnsi="Times New Roman" w:cs="Times New Roman"/>
                <w:i/>
                <w:sz w:val="18"/>
                <w:szCs w:val="18"/>
              </w:rPr>
              <w:t>–</w:t>
            </w:r>
          </w:p>
        </w:tc>
        <w:tc>
          <w:tcPr>
            <w:tcW w:w="1098" w:type="pct"/>
          </w:tcPr>
          <w:p w14:paraId="299CA0C8"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915,00</w:t>
            </w:r>
          </w:p>
        </w:tc>
      </w:tr>
      <w:tr w:rsidR="009740ED" w:rsidRPr="009740ED" w14:paraId="4B6AACFB" w14:textId="77777777" w:rsidTr="009740ED">
        <w:trPr>
          <w:trHeight w:val="25"/>
        </w:trPr>
        <w:tc>
          <w:tcPr>
            <w:tcW w:w="702" w:type="pct"/>
          </w:tcPr>
          <w:p w14:paraId="024D0B50" w14:textId="77777777" w:rsidR="009740ED" w:rsidRPr="009740ED" w:rsidRDefault="009740ED" w:rsidP="00555FEC">
            <w:pPr>
              <w:shd w:val="clear" w:color="auto" w:fill="FFFFFF"/>
              <w:jc w:val="center"/>
              <w:rPr>
                <w:rFonts w:ascii="Times New Roman" w:hAnsi="Times New Roman" w:cs="Times New Roman"/>
                <w:b/>
                <w:color w:val="000000"/>
                <w:sz w:val="18"/>
                <w:szCs w:val="18"/>
                <w:highlight w:val="yellow"/>
              </w:rPr>
            </w:pPr>
          </w:p>
        </w:tc>
        <w:tc>
          <w:tcPr>
            <w:tcW w:w="784" w:type="pct"/>
          </w:tcPr>
          <w:p w14:paraId="60B7B7EE" w14:textId="77777777" w:rsidR="009740ED" w:rsidRPr="009740ED" w:rsidRDefault="009740ED" w:rsidP="00555FEC">
            <w:pPr>
              <w:shd w:val="clear" w:color="auto" w:fill="FFFFFF"/>
              <w:jc w:val="center"/>
              <w:rPr>
                <w:rFonts w:ascii="Times New Roman" w:hAnsi="Times New Roman" w:cs="Times New Roman"/>
                <w:b/>
                <w:color w:val="000000"/>
                <w:sz w:val="18"/>
                <w:szCs w:val="18"/>
                <w:highlight w:val="yellow"/>
              </w:rPr>
            </w:pPr>
          </w:p>
        </w:tc>
        <w:tc>
          <w:tcPr>
            <w:tcW w:w="3514" w:type="pct"/>
            <w:gridSpan w:val="4"/>
            <w:hideMark/>
          </w:tcPr>
          <w:p w14:paraId="03180454" w14:textId="291A1612" w:rsidR="009740ED" w:rsidRPr="009740ED" w:rsidRDefault="009740ED" w:rsidP="00555FEC">
            <w:pPr>
              <w:shd w:val="clear" w:color="auto" w:fill="FFFFFF"/>
              <w:ind w:hanging="2202"/>
              <w:jc w:val="center"/>
              <w:rPr>
                <w:rFonts w:ascii="Times New Roman" w:hAnsi="Times New Roman" w:cs="Times New Roman"/>
                <w:b/>
                <w:color w:val="000000"/>
                <w:sz w:val="18"/>
                <w:szCs w:val="18"/>
                <w:highlight w:val="yellow"/>
              </w:rPr>
            </w:pPr>
            <w:r w:rsidRPr="009740ED">
              <w:rPr>
                <w:rFonts w:ascii="Times New Roman" w:hAnsi="Times New Roman" w:cs="Times New Roman"/>
                <w:b/>
                <w:color w:val="000000"/>
                <w:sz w:val="18"/>
                <w:szCs w:val="18"/>
              </w:rPr>
              <w:t>Rezultato stebėsenos rodikliai</w:t>
            </w:r>
          </w:p>
        </w:tc>
      </w:tr>
      <w:tr w:rsidR="009740ED" w:rsidRPr="009740ED" w14:paraId="6B0F0C0C" w14:textId="77777777" w:rsidTr="00555FEC">
        <w:trPr>
          <w:trHeight w:val="165"/>
        </w:trPr>
        <w:tc>
          <w:tcPr>
            <w:tcW w:w="702" w:type="pct"/>
          </w:tcPr>
          <w:p w14:paraId="567B084E"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02-001-06-07-02-(RE)-22-(LT022-02-04-01)-01-02</w:t>
            </w:r>
          </w:p>
        </w:tc>
        <w:tc>
          <w:tcPr>
            <w:tcW w:w="784" w:type="pct"/>
          </w:tcPr>
          <w:p w14:paraId="48FA7120"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Gyventojai, prisijungę prie patobulintų viešojo vandens tiekimo sistemų</w:t>
            </w:r>
          </w:p>
        </w:tc>
        <w:tc>
          <w:tcPr>
            <w:tcW w:w="951" w:type="pct"/>
          </w:tcPr>
          <w:p w14:paraId="4AD2BBD4"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R.B.2.2041</w:t>
            </w:r>
          </w:p>
        </w:tc>
        <w:tc>
          <w:tcPr>
            <w:tcW w:w="659" w:type="pct"/>
          </w:tcPr>
          <w:p w14:paraId="117CA0BD"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asmenys</w:t>
            </w:r>
          </w:p>
        </w:tc>
        <w:tc>
          <w:tcPr>
            <w:tcW w:w="806" w:type="pct"/>
          </w:tcPr>
          <w:p w14:paraId="752F3BA3"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2913,00</w:t>
            </w:r>
          </w:p>
        </w:tc>
        <w:tc>
          <w:tcPr>
            <w:tcW w:w="1098" w:type="pct"/>
            <w:hideMark/>
          </w:tcPr>
          <w:p w14:paraId="300FD945"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4581,00</w:t>
            </w:r>
          </w:p>
        </w:tc>
      </w:tr>
      <w:tr w:rsidR="009740ED" w:rsidRPr="009740ED" w14:paraId="5A4A0F05" w14:textId="77777777" w:rsidTr="00555FEC">
        <w:trPr>
          <w:trHeight w:val="165"/>
        </w:trPr>
        <w:tc>
          <w:tcPr>
            <w:tcW w:w="702" w:type="pct"/>
          </w:tcPr>
          <w:p w14:paraId="3B4E1C59"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02-001-06-07-02-(RE)-22-(LT022-02-04-01)-01-02</w:t>
            </w:r>
          </w:p>
        </w:tc>
        <w:tc>
          <w:tcPr>
            <w:tcW w:w="784" w:type="pct"/>
          </w:tcPr>
          <w:p w14:paraId="3EA26311"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Gyventojai, prisijungę bent prie antrinių viešojo nuotekų valymo įrenginių</w:t>
            </w:r>
          </w:p>
        </w:tc>
        <w:tc>
          <w:tcPr>
            <w:tcW w:w="951" w:type="pct"/>
          </w:tcPr>
          <w:p w14:paraId="76BF49C1"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R.B.2.2042</w:t>
            </w:r>
          </w:p>
        </w:tc>
        <w:tc>
          <w:tcPr>
            <w:tcW w:w="659" w:type="pct"/>
          </w:tcPr>
          <w:p w14:paraId="237D755D"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asmenys</w:t>
            </w:r>
          </w:p>
        </w:tc>
        <w:tc>
          <w:tcPr>
            <w:tcW w:w="806" w:type="pct"/>
          </w:tcPr>
          <w:p w14:paraId="1F0C3B31"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957,00</w:t>
            </w:r>
          </w:p>
        </w:tc>
        <w:tc>
          <w:tcPr>
            <w:tcW w:w="1098" w:type="pct"/>
            <w:hideMark/>
          </w:tcPr>
          <w:p w14:paraId="33478870" w14:textId="77777777" w:rsidR="009740ED" w:rsidRPr="009740ED" w:rsidRDefault="009740ED" w:rsidP="00555FEC">
            <w:pPr>
              <w:rPr>
                <w:rFonts w:ascii="Times New Roman" w:hAnsi="Times New Roman" w:cs="Times New Roman"/>
                <w:sz w:val="18"/>
                <w:szCs w:val="18"/>
              </w:rPr>
            </w:pPr>
            <w:r w:rsidRPr="009740ED">
              <w:rPr>
                <w:rFonts w:ascii="Times New Roman" w:hAnsi="Times New Roman" w:cs="Times New Roman"/>
                <w:sz w:val="18"/>
                <w:szCs w:val="18"/>
              </w:rPr>
              <w:t>2476,00</w:t>
            </w:r>
          </w:p>
        </w:tc>
      </w:tr>
    </w:tbl>
    <w:p w14:paraId="045639D5" w14:textId="77777777" w:rsidR="009740ED" w:rsidRDefault="009740ED" w:rsidP="009740ED">
      <w:pPr>
        <w:jc w:val="both"/>
        <w:rPr>
          <w:rFonts w:ascii="Times New Roman" w:hAnsi="Times New Roman" w:cs="Times New Roman"/>
          <w:sz w:val="24"/>
          <w:szCs w:val="24"/>
        </w:rPr>
      </w:pPr>
    </w:p>
    <w:p w14:paraId="65B395ED" w14:textId="25C5AADB" w:rsidR="00A55301" w:rsidRPr="00B3261A" w:rsidRDefault="007255D8" w:rsidP="00B3261A">
      <w:pPr>
        <w:pStyle w:val="ListParagraph"/>
        <w:numPr>
          <w:ilvl w:val="1"/>
          <w:numId w:val="5"/>
        </w:numPr>
        <w:ind w:left="0" w:firstLine="851"/>
        <w:jc w:val="both"/>
        <w:rPr>
          <w:rFonts w:ascii="Times New Roman" w:hAnsi="Times New Roman" w:cs="Times New Roman"/>
          <w:b/>
          <w:bCs/>
          <w:sz w:val="24"/>
          <w:szCs w:val="24"/>
        </w:rPr>
      </w:pPr>
      <w:r w:rsidRPr="00B3261A">
        <w:rPr>
          <w:rFonts w:ascii="Times New Roman" w:hAnsi="Times New Roman" w:cs="Times New Roman"/>
          <w:b/>
          <w:bCs/>
          <w:sz w:val="24"/>
          <w:szCs w:val="24"/>
        </w:rPr>
        <w:t xml:space="preserve"> </w:t>
      </w:r>
      <w:r w:rsidR="00A55301" w:rsidRPr="00B3261A">
        <w:rPr>
          <w:rFonts w:ascii="Times New Roman" w:hAnsi="Times New Roman" w:cs="Times New Roman"/>
          <w:b/>
          <w:bCs/>
          <w:sz w:val="24"/>
          <w:szCs w:val="24"/>
        </w:rPr>
        <w:t>Teisės aktai</w:t>
      </w:r>
      <w:r w:rsidR="00EF4F4B" w:rsidRPr="00B3261A">
        <w:rPr>
          <w:rFonts w:ascii="Times New Roman" w:hAnsi="Times New Roman" w:cs="Times New Roman"/>
          <w:b/>
          <w:bCs/>
          <w:sz w:val="24"/>
          <w:szCs w:val="24"/>
        </w:rPr>
        <w:t>, kuriais vadovaujantis yra įgyvendinamas projektas ir turi būti teikiamos projekto administravimo paslaugos:</w:t>
      </w:r>
    </w:p>
    <w:p w14:paraId="71439591" w14:textId="70EF59C0" w:rsidR="00EF4F4B" w:rsidRPr="00EF4F4B" w:rsidRDefault="00EF4F4B" w:rsidP="007255D8">
      <w:pPr>
        <w:pStyle w:val="ListParagraph"/>
        <w:numPr>
          <w:ilvl w:val="0"/>
          <w:numId w:val="6"/>
        </w:numPr>
        <w:jc w:val="both"/>
        <w:rPr>
          <w:rFonts w:ascii="Times New Roman" w:hAnsi="Times New Roman" w:cs="Times New Roman"/>
          <w:b/>
          <w:bCs/>
          <w:sz w:val="24"/>
          <w:szCs w:val="24"/>
        </w:rPr>
      </w:pPr>
      <w:r w:rsidRPr="00EF4F4B">
        <w:rPr>
          <w:rFonts w:ascii="Times New Roman" w:hAnsi="Times New Roman" w:cs="Times New Roman"/>
          <w:iCs/>
          <w:sz w:val="24"/>
          <w:szCs w:val="24"/>
        </w:rPr>
        <w:t>2022–2030 metų plėtros programos valdytojos Lietuvos Respublikos aplinkos ministerijos Aplinkos apsaugos ir klimato valdymo plėtros programos regioninės pažangos priemonės Nr. 02-001-06-07-02 (RE) „Didinti geriamojo vandens tiekimo ir nuotekų tvarkymo paslaugų prieinamumą“ finansavimo gaires (toliau – Gairės)</w:t>
      </w:r>
      <w:r>
        <w:rPr>
          <w:rFonts w:ascii="Times New Roman" w:hAnsi="Times New Roman" w:cs="Times New Roman"/>
          <w:iCs/>
          <w:sz w:val="24"/>
          <w:szCs w:val="24"/>
        </w:rPr>
        <w:t>;</w:t>
      </w:r>
    </w:p>
    <w:p w14:paraId="6BB4275D" w14:textId="74ED5F4B"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79571CB5" w14:textId="5E878C5E"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Projektų administravimo ir finansavimo taisyklės, patvirtintos Lietuvos Respublikos finansų ministro 2022 m. birželio 22 įsakymu Nr. 1K-237 „Dėl 2021–2027 metų Europos Sąjungos fondų investicijų programos ir Ekonomikos gaivinimo ir atsparumo didinimo plano „Naujos kartos Lietuva“ įgyvendinimo“ (toliau – PAFT);</w:t>
      </w:r>
    </w:p>
    <w:p w14:paraId="1DF54AC3" w14:textId="13A85A38"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2021 m. birželio 24 d. Europos Parlamento ir Tarybos reglamentas (ES) Nr. 2021/1058 dėl Europos regioninės plėtros fondo ir Sanglaudos fondo (toliau – Reglamentas (ES) Nr. 2021/1058).</w:t>
      </w:r>
    </w:p>
    <w:p w14:paraId="57AFFC08" w14:textId="77777777" w:rsidR="00EF4F4B" w:rsidRDefault="00EF4F4B" w:rsidP="00EF4F4B">
      <w:pPr>
        <w:pStyle w:val="ListParagraph"/>
        <w:ind w:left="0" w:firstLine="709"/>
        <w:jc w:val="both"/>
        <w:rPr>
          <w:rFonts w:ascii="Times New Roman" w:hAnsi="Times New Roman" w:cs="Times New Roman"/>
          <w:b/>
          <w:bCs/>
          <w:sz w:val="24"/>
          <w:szCs w:val="24"/>
        </w:rPr>
      </w:pPr>
    </w:p>
    <w:p w14:paraId="6641C9D1" w14:textId="5916B87A" w:rsidR="00EF4F4B" w:rsidRPr="00EF4F4B" w:rsidRDefault="00EF4F4B" w:rsidP="00EF4F4B">
      <w:pPr>
        <w:pStyle w:val="ListParagraph"/>
        <w:ind w:left="0" w:firstLine="709"/>
        <w:jc w:val="both"/>
        <w:rPr>
          <w:rFonts w:ascii="Times New Roman" w:hAnsi="Times New Roman" w:cs="Times New Roman"/>
          <w:b/>
          <w:bCs/>
          <w:sz w:val="24"/>
          <w:szCs w:val="24"/>
        </w:rPr>
      </w:pPr>
      <w:r w:rsidRPr="00EF4F4B">
        <w:rPr>
          <w:rFonts w:ascii="Times New Roman" w:hAnsi="Times New Roman" w:cs="Times New Roman"/>
          <w:b/>
          <w:bCs/>
          <w:sz w:val="24"/>
          <w:szCs w:val="24"/>
        </w:rPr>
        <w:t>Specialieji teisės aktai:</w:t>
      </w:r>
    </w:p>
    <w:p w14:paraId="04E852DC" w14:textId="7C8AA526"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Lietuvos Respublikos geriamojo vandens įstatymas;</w:t>
      </w:r>
    </w:p>
    <w:p w14:paraId="5FBF8608" w14:textId="4B8DCC15"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Lietuvos Respublikos geriamojo vandens tiekimo ir nuotekų tvarkymo įstatymas;</w:t>
      </w:r>
    </w:p>
    <w:p w14:paraId="5185BF04" w14:textId="407A7E38"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Lietuvos Respublikos planuojamos ūkinės veiklos poveikio aplinkai vertinimo įstatymas;</w:t>
      </w:r>
    </w:p>
    <w:p w14:paraId="12FDDBB1" w14:textId="35B3545D"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Lietuvos Respublikos statybos įstatymas;</w:t>
      </w:r>
    </w:p>
    <w:p w14:paraId="3FECF689" w14:textId="553ED25A" w:rsid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Geriamojo vandens tiekimo ir (arba) nuotekų tvarkymo viešosios sutarties standartinių sąlygų aprašas, patvirtintas Lietuvos Respublikos Vyriausybės 2007 m. sausio 31</w:t>
      </w:r>
      <w:r w:rsidR="007255D8">
        <w:rPr>
          <w:rFonts w:ascii="Times New Roman" w:hAnsi="Times New Roman" w:cs="Times New Roman"/>
          <w:sz w:val="24"/>
          <w:szCs w:val="24"/>
        </w:rPr>
        <w:t xml:space="preserve"> </w:t>
      </w:r>
      <w:r w:rsidRPr="00EF4F4B">
        <w:rPr>
          <w:rFonts w:ascii="Times New Roman" w:hAnsi="Times New Roman" w:cs="Times New Roman"/>
          <w:sz w:val="24"/>
          <w:szCs w:val="24"/>
        </w:rPr>
        <w:t>d. nutarimu Nr. 126 „Dėl Geriamojo vandens tiekimo ir (arba) nuotekų tvarkymo viešosios sutarties standartinių sąlygų aprašo patvirtinimo“;</w:t>
      </w:r>
    </w:p>
    <w:p w14:paraId="3A0E1EA1" w14:textId="43BE5820"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Geriamojo vandens tiekimo ir nuotekų tvarkymo infrastruktūros objektų išpirkimo tvarkos aprašas, patvirtintas Lietuvos Respublikos Vyriausybės 2007 m. sausio 29 d. nutarimu Nr. 88 „Dėl Geriamojo vandens tiekimo ir nuotekų tvarkymo infrastruktūros objektų išpirkimo tvarkos aprašo patvirtinimo“;</w:t>
      </w:r>
    </w:p>
    <w:p w14:paraId="4AB9C9EC" w14:textId="37319AC5"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lastRenderedPageBreak/>
        <w:t>Geriamojo vandens tiekimo ir nuotekų tvarkymo licencijavimo taisyklės, patvirtintos Lietuvos Respublikos Vyriausybės 2007 m. sausio 29 d. nutarimu Nr. 89 „Dėl Geriamojo vandens tiekimo ir nuotekų tvarkymo licencijavimo taisyklių patvirtinimo“;</w:t>
      </w:r>
    </w:p>
    <w:p w14:paraId="54844EDB" w14:textId="03B14D95"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valdymo plėtros programos patvirtinimo“;</w:t>
      </w:r>
    </w:p>
    <w:p w14:paraId="72D20584" w14:textId="36E545A7"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Požeminio vandens gręžinių projektavimo, įrengimo, konservavimo ir likvidavimo tvarkos aprašas, patvirtintas Lietuvos Respublikos aplinkos ministro 1999 m. gruodžio 23 d. įsakymu Nr. 417 „Dėl Požeminio vandens gręžinių projektavimo, įrengimo, konservavimo ir likvidavimo tvarkos aprašo patvirtinimo“;</w:t>
      </w:r>
    </w:p>
    <w:p w14:paraId="7E2A909C" w14:textId="53A8DF03"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Lietuvos higienos norma HN 24:2023 „Geriamojo vandens saugos ir kokybės reikalavimai“, patvirtinta Lietuvos Respublikos sveikatos apsaugos ministro 2003 m. liepos 23 d. įsakymu Nr. V-455 „Dėl Lietuvos higienos normos HN 24:2023 „Geriamojo vandens saugos ir kokybės reikalavimai“ patvirtinimo“;</w:t>
      </w:r>
    </w:p>
    <w:p w14:paraId="41FAB405" w14:textId="185FB0E2"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statybos techninis reglamentas STR 2.02.04:2004 „Vandens ėmimas, vandenruoša. Pagrindinės nuostatos“, patvirtintas Lietuvos Respublikos aplinkos ministro 2004 m. kovo 31 d. įsakymu Nr. D1-156 „Dėl statybos techninio reglamento STR 2.02.04:2004 „Vandens ėmimas, vandenruoša. Pagrindinės nuostatos“ patvirtinimo“;</w:t>
      </w:r>
    </w:p>
    <w:p w14:paraId="49D90DB1" w14:textId="63A275A7"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Nuotekų tvarkymo reglamentas, patvirtintas Lietuvos Respublikos aplinkos ministro 2006 m. gegužės 17 d. įsakymu Nr. D1-236 „Dėl Nuotekų tvarkymo reglamento patvirtinimo“;</w:t>
      </w:r>
    </w:p>
    <w:p w14:paraId="26EF0C07" w14:textId="417F1A93"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Geriamojo vandens tiekimo ir nuotekų tvarkymo infrastruktūros naudojimo ir priežiūros taisyklės, patvirtintos Lietuvos Respublikos aplinkos ministro 2006 m. gruodžio 29 d. įsakymu Nr. D1-629 „Dėl Geriamojo vandens tiekimo ir nuotekų tvarkymo infrastruktūros naudojimo ir priežiūros taisyklių patvirtinimo“;</w:t>
      </w:r>
    </w:p>
    <w:p w14:paraId="3BAD4262" w14:textId="5720E0A0"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Geriamojo vandens tiekimo ir nuotekų tvarkymo infrastruktūros plėtros planų rengimo taisyklės, patvirtintos Lietuvos Respublikos aplinkos ministro 2006 m. gruodžio 29 d. įsakymu Nr. D1-636 „Dėl Geriamojo vandens tiekimo ir nuotekų tvarkymo infrastruktūros plėtros planų rengimo taisyklių patvirtinimo“;</w:t>
      </w:r>
    </w:p>
    <w:p w14:paraId="00D87B47" w14:textId="0A052229"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Geriamojo vandens tiekimo ir nuotekų tvarkymo paslaugų kokybės reikalavimai, patvirtinti Lietuvos Respublikos aplinkos ministro 2006 m. gruodžio 29 d. įsakymu Nr. D1-639 „Dėl Geriamojo vandens tiekimo ir nuotekų tvarkymo paslaugų kokybės reikalavimų patvirtinimo“;</w:t>
      </w:r>
    </w:p>
    <w:p w14:paraId="0BFE05D3" w14:textId="14A12669" w:rsidR="00EF4F4B" w:rsidRP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Ūkio subjektų aplinkos monitoringo nuostatai, patvirtinti Lietuvos Respublikos aplinkos ministro 2009 m. rugsėjo 16 d. įsakymu Nr. D1-546 „Dėl Ūkio subjektų aplinkos monitoringo nuostatų patvirtinimo“;</w:t>
      </w:r>
    </w:p>
    <w:p w14:paraId="5B013FD5" w14:textId="57A484D9" w:rsidR="00EF4F4B" w:rsidRDefault="00EF4F4B" w:rsidP="007255D8">
      <w:pPr>
        <w:pStyle w:val="ListParagraph"/>
        <w:numPr>
          <w:ilvl w:val="0"/>
          <w:numId w:val="6"/>
        </w:numPr>
        <w:jc w:val="both"/>
        <w:rPr>
          <w:rFonts w:ascii="Times New Roman" w:hAnsi="Times New Roman" w:cs="Times New Roman"/>
          <w:sz w:val="24"/>
          <w:szCs w:val="24"/>
        </w:rPr>
      </w:pPr>
      <w:r w:rsidRPr="00EF4F4B">
        <w:rPr>
          <w:rFonts w:ascii="Times New Roman" w:hAnsi="Times New Roman" w:cs="Times New Roman"/>
          <w:sz w:val="24"/>
          <w:szCs w:val="24"/>
        </w:rPr>
        <w:t>Vandens naudojimo ir nuotekų tvarkymo apskaitos tvarkos aprašas, patvirtintas Lietuvos Respublikos aplinkos ministro 2012 m. gruodžio 28 d. įsakymu Nr. D1-1120 „Dėl Vandens naudojimo ir nuotekų tvarkymo apskaitos tvarkos aprašo patvirtinimo“;</w:t>
      </w:r>
    </w:p>
    <w:p w14:paraId="0046CFBC" w14:textId="6FCBC480" w:rsidR="00BD174B" w:rsidRPr="00BD174B" w:rsidRDefault="00BD174B" w:rsidP="007255D8">
      <w:pPr>
        <w:pStyle w:val="ListParagraph"/>
        <w:numPr>
          <w:ilvl w:val="0"/>
          <w:numId w:val="6"/>
        </w:numPr>
        <w:jc w:val="both"/>
        <w:rPr>
          <w:rFonts w:ascii="Times New Roman" w:hAnsi="Times New Roman" w:cs="Times New Roman"/>
          <w:sz w:val="24"/>
          <w:szCs w:val="24"/>
        </w:rPr>
      </w:pPr>
      <w:r w:rsidRPr="00BD174B">
        <w:rPr>
          <w:rFonts w:ascii="Times New Roman" w:hAnsi="Times New Roman" w:cs="Times New Roman"/>
          <w:sz w:val="24"/>
          <w:szCs w:val="24"/>
        </w:rPr>
        <w:t>Nuotekų kaupimo rezervuarų ir septikų įrengimo, eksploatavimo ir kontrolės tvarkos aprašas, patvirtintas Lietuvos Respublikos aplinkos ministro 2015 m. sausio 9 d. įsakymu Nr. D1-18 „Dėl Nuotekų kaupimo rezervuarų ir septikų įrengimo, eksploatavimo ir kontrolės tvarkos aprašo patvirtinimo“;</w:t>
      </w:r>
    </w:p>
    <w:p w14:paraId="379C0AD5" w14:textId="67FE5BC6" w:rsidR="00BD174B" w:rsidRPr="00BD174B" w:rsidRDefault="00BD174B" w:rsidP="007255D8">
      <w:pPr>
        <w:pStyle w:val="ListParagraph"/>
        <w:numPr>
          <w:ilvl w:val="0"/>
          <w:numId w:val="6"/>
        </w:numPr>
        <w:jc w:val="both"/>
        <w:rPr>
          <w:rFonts w:ascii="Times New Roman" w:hAnsi="Times New Roman" w:cs="Times New Roman"/>
          <w:sz w:val="24"/>
          <w:szCs w:val="24"/>
        </w:rPr>
      </w:pPr>
      <w:r w:rsidRPr="00BD174B">
        <w:rPr>
          <w:rFonts w:ascii="Times New Roman" w:hAnsi="Times New Roman" w:cs="Times New Roman"/>
          <w:sz w:val="24"/>
          <w:szCs w:val="24"/>
        </w:rPr>
        <w:t xml:space="preserve">Naujų abonentų ir vartotojų prijungimo prie geriamojo vandens tiekimo ir nuotekų tvarkymo infrastruktūros reikalavimai, patvirtinti Lietuvos Respublikos aplinkos ministro 2015 m. birželio 23 d. įsakymu Nr. D1-500 „Dėl Naujų abonentų ir vartotojų </w:t>
      </w:r>
      <w:r w:rsidRPr="00BD174B">
        <w:rPr>
          <w:rFonts w:ascii="Times New Roman" w:hAnsi="Times New Roman" w:cs="Times New Roman"/>
          <w:sz w:val="24"/>
          <w:szCs w:val="24"/>
        </w:rPr>
        <w:lastRenderedPageBreak/>
        <w:t>prijungimo prie geriamojo vandens tiekimo ir nuotekų tvarkymo infrastruktūros reikalavimų patvirtinimo“.</w:t>
      </w:r>
    </w:p>
    <w:p w14:paraId="7858554F" w14:textId="36D9217A" w:rsidR="00BD174B" w:rsidRDefault="00BD174B" w:rsidP="007255D8">
      <w:pPr>
        <w:pStyle w:val="ListParagraph"/>
        <w:numPr>
          <w:ilvl w:val="0"/>
          <w:numId w:val="6"/>
        </w:numPr>
        <w:jc w:val="both"/>
        <w:rPr>
          <w:rFonts w:ascii="Times New Roman" w:hAnsi="Times New Roman" w:cs="Times New Roman"/>
          <w:sz w:val="24"/>
          <w:szCs w:val="24"/>
        </w:rPr>
      </w:pPr>
      <w:r w:rsidRPr="00BD174B">
        <w:rPr>
          <w:rFonts w:ascii="Times New Roman" w:hAnsi="Times New Roman" w:cs="Times New Roman"/>
          <w:sz w:val="24"/>
          <w:szCs w:val="24"/>
        </w:rPr>
        <w:t>Tvarios miesto plėtros strategijų ir funkcinių zonų strategijų rengimo ir įgyvendinimo stebėsenos tvarkos aprašas, patvirtintas Lietuvos Respublikos vidaus reikalų ministro 2023 m. sausio 19 d. įsakymu Nr. 1V-30 „Dėl Tvarios miesto plėtros strategijų ir funkcinių zonų strategijų rengimo ir įgyvendinimo stebėsenos tvarkos aprašo patvirtinimo“</w:t>
      </w:r>
      <w:r>
        <w:rPr>
          <w:rFonts w:ascii="Times New Roman" w:hAnsi="Times New Roman" w:cs="Times New Roman"/>
          <w:sz w:val="24"/>
          <w:szCs w:val="24"/>
        </w:rPr>
        <w:t>.</w:t>
      </w:r>
    </w:p>
    <w:p w14:paraId="4802D4BB" w14:textId="64E5E8D5" w:rsidR="00B3261A" w:rsidRDefault="00B3261A" w:rsidP="00B3261A">
      <w:pPr>
        <w:pStyle w:val="ListParagraph"/>
        <w:numPr>
          <w:ilvl w:val="1"/>
          <w:numId w:val="5"/>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 Planuojama</w:t>
      </w:r>
      <w:r w:rsidR="00693FF9">
        <w:rPr>
          <w:rFonts w:ascii="Times New Roman" w:hAnsi="Times New Roman" w:cs="Times New Roman"/>
          <w:sz w:val="24"/>
          <w:szCs w:val="24"/>
        </w:rPr>
        <w:t>s</w:t>
      </w:r>
      <w:r>
        <w:rPr>
          <w:rFonts w:ascii="Times New Roman" w:hAnsi="Times New Roman" w:cs="Times New Roman"/>
          <w:sz w:val="24"/>
          <w:szCs w:val="24"/>
        </w:rPr>
        <w:t xml:space="preserve"> Projekto </w:t>
      </w:r>
      <w:r w:rsidR="00693FF9">
        <w:rPr>
          <w:rFonts w:ascii="Times New Roman" w:hAnsi="Times New Roman" w:cs="Times New Roman"/>
          <w:sz w:val="24"/>
          <w:szCs w:val="24"/>
        </w:rPr>
        <w:t>įgyvendinimo terminas</w:t>
      </w:r>
      <w:r>
        <w:rPr>
          <w:rFonts w:ascii="Times New Roman" w:hAnsi="Times New Roman" w:cs="Times New Roman"/>
          <w:sz w:val="24"/>
          <w:szCs w:val="24"/>
        </w:rPr>
        <w:t xml:space="preserve"> – 50 mėn. </w:t>
      </w:r>
    </w:p>
    <w:p w14:paraId="6CBFC6C8" w14:textId="77777777" w:rsidR="00BD174B" w:rsidRDefault="00BD174B" w:rsidP="00BD174B">
      <w:pPr>
        <w:pStyle w:val="ListParagraph"/>
        <w:ind w:left="851"/>
        <w:jc w:val="both"/>
        <w:rPr>
          <w:rFonts w:ascii="Times New Roman" w:hAnsi="Times New Roman" w:cs="Times New Roman"/>
          <w:sz w:val="24"/>
          <w:szCs w:val="24"/>
        </w:rPr>
      </w:pPr>
    </w:p>
    <w:p w14:paraId="05CA6BA2" w14:textId="77777777" w:rsidR="00BD174B" w:rsidRPr="00BD174B" w:rsidRDefault="00BD174B" w:rsidP="00BD174B">
      <w:pPr>
        <w:widowControl w:val="0"/>
        <w:numPr>
          <w:ilvl w:val="0"/>
          <w:numId w:val="4"/>
        </w:numPr>
        <w:spacing w:after="0" w:line="240" w:lineRule="auto"/>
        <w:jc w:val="center"/>
        <w:outlineLvl w:val="0"/>
        <w:rPr>
          <w:rFonts w:ascii="Times New Roman" w:eastAsia="Arial Unicode MS" w:hAnsi="Times New Roman" w:cs="Times New Roman"/>
          <w:b/>
          <w:bCs/>
          <w:caps/>
          <w:noProof/>
          <w:color w:val="000000" w:themeColor="text1"/>
          <w:spacing w:val="4"/>
          <w:sz w:val="24"/>
          <w:szCs w:val="24"/>
          <w:bdr w:val="none" w:sz="0" w:space="0" w:color="auto" w:frame="1"/>
          <w:lang w:val="en-US" w:eastAsia="lt-LT"/>
        </w:rPr>
      </w:pPr>
      <w:r w:rsidRPr="00BD174B">
        <w:rPr>
          <w:rFonts w:ascii="Times New Roman" w:eastAsia="Arial Unicode MS" w:hAnsi="Times New Roman" w:cs="Times New Roman"/>
          <w:b/>
          <w:bCs/>
          <w:caps/>
          <w:noProof/>
          <w:color w:val="000000" w:themeColor="text1"/>
          <w:spacing w:val="4"/>
          <w:sz w:val="24"/>
          <w:szCs w:val="24"/>
          <w:bdr w:val="none" w:sz="0" w:space="0" w:color="auto" w:frame="1"/>
          <w:lang w:val="en-US" w:eastAsia="lt-LT"/>
        </w:rPr>
        <w:t>Paslaugų Teikimo aprašymas</w:t>
      </w:r>
    </w:p>
    <w:p w14:paraId="418FD5F5" w14:textId="77777777" w:rsidR="00BD174B" w:rsidRPr="00BD174B" w:rsidRDefault="00BD174B" w:rsidP="00BD174B">
      <w:pPr>
        <w:widowControl w:val="0"/>
        <w:ind w:left="360"/>
        <w:outlineLvl w:val="0"/>
        <w:rPr>
          <w:rFonts w:ascii="Times New Roman" w:eastAsia="Arial Unicode MS" w:hAnsi="Times New Roman" w:cs="Times New Roman"/>
          <w:noProof/>
          <w:color w:val="000000" w:themeColor="text1"/>
          <w:sz w:val="24"/>
          <w:szCs w:val="24"/>
          <w:bdr w:val="none" w:sz="0" w:space="0" w:color="auto" w:frame="1"/>
          <w:lang w:eastAsia="lt-LT"/>
        </w:rPr>
      </w:pPr>
    </w:p>
    <w:p w14:paraId="460FE302" w14:textId="0296C939" w:rsidR="00BD174B" w:rsidRDefault="00BD174B" w:rsidP="00BD174B">
      <w:pPr>
        <w:pStyle w:val="ListParagraph"/>
        <w:widowControl w:val="0"/>
        <w:numPr>
          <w:ilvl w:val="1"/>
          <w:numId w:val="4"/>
        </w:numPr>
        <w:tabs>
          <w:tab w:val="left" w:pos="709"/>
        </w:tabs>
        <w:spacing w:after="0" w:line="240" w:lineRule="auto"/>
        <w:ind w:left="0" w:firstLine="851"/>
        <w:jc w:val="both"/>
        <w:outlineLvl w:val="0"/>
        <w:rPr>
          <w:rFonts w:ascii="Times New Roman" w:eastAsia="Arial Unicode MS" w:hAnsi="Times New Roman" w:cs="Times New Roman"/>
          <w:noProof/>
          <w:color w:val="000000" w:themeColor="text1"/>
          <w:sz w:val="24"/>
          <w:szCs w:val="24"/>
          <w:bdr w:val="none" w:sz="0" w:space="0" w:color="auto" w:frame="1"/>
          <w:lang w:eastAsia="lt-LT"/>
        </w:rPr>
      </w:pP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Tiekėjas Paslaugas teikia vadovaudamasis teisės aktais, šia technine specifikacija, Sutarties nuostatomis bei</w:t>
      </w:r>
      <w:r w:rsidR="00B3261A">
        <w:rPr>
          <w:rFonts w:ascii="Times New Roman" w:eastAsia="Arial Unicode MS" w:hAnsi="Times New Roman" w:cs="Times New Roman"/>
          <w:noProof/>
          <w:color w:val="000000" w:themeColor="text1"/>
          <w:sz w:val="24"/>
          <w:szCs w:val="24"/>
          <w:bdr w:val="none" w:sz="0" w:space="0" w:color="auto" w:frame="1"/>
          <w:lang w:eastAsia="lt-LT"/>
        </w:rPr>
        <w:t xml:space="preserve"> pirkėjo</w:t>
      </w: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nurodymais.</w:t>
      </w:r>
    </w:p>
    <w:p w14:paraId="2596B91D" w14:textId="4B1530FB" w:rsidR="00BD174B" w:rsidRDefault="00BD174B" w:rsidP="00BD174B">
      <w:pPr>
        <w:pStyle w:val="ListParagraph"/>
        <w:widowControl w:val="0"/>
        <w:numPr>
          <w:ilvl w:val="1"/>
          <w:numId w:val="4"/>
        </w:numPr>
        <w:tabs>
          <w:tab w:val="left" w:pos="709"/>
        </w:tabs>
        <w:spacing w:after="0" w:line="240" w:lineRule="auto"/>
        <w:ind w:left="0" w:firstLine="851"/>
        <w:jc w:val="both"/>
        <w:outlineLvl w:val="0"/>
        <w:rPr>
          <w:rFonts w:ascii="Times New Roman" w:eastAsia="Arial Unicode MS" w:hAnsi="Times New Roman" w:cs="Times New Roman"/>
          <w:noProof/>
          <w:color w:val="000000" w:themeColor="text1"/>
          <w:sz w:val="24"/>
          <w:szCs w:val="24"/>
          <w:bdr w:val="none" w:sz="0" w:space="0" w:color="auto" w:frame="1"/>
          <w:lang w:eastAsia="lt-LT"/>
        </w:rPr>
      </w:pPr>
      <w:r w:rsidRPr="00BD174B">
        <w:rPr>
          <w:rFonts w:ascii="Times New Roman" w:eastAsia="Arial Unicode MS" w:hAnsi="Times New Roman" w:cs="Times New Roman"/>
          <w:noProof/>
          <w:color w:val="000000" w:themeColor="text1"/>
          <w:sz w:val="24"/>
          <w:szCs w:val="24"/>
          <w:bdr w:val="none" w:sz="0" w:space="0" w:color="auto" w:frame="1"/>
          <w:lang w:eastAsia="lt-LT"/>
        </w:rPr>
        <w:t>Projekto administravimo paslaugų teikimui</w:t>
      </w:r>
      <w:r w:rsidR="00CC5E1D">
        <w:rPr>
          <w:rFonts w:ascii="Times New Roman" w:eastAsia="Arial Unicode MS" w:hAnsi="Times New Roman" w:cs="Times New Roman"/>
          <w:noProof/>
          <w:color w:val="000000" w:themeColor="text1"/>
          <w:sz w:val="24"/>
          <w:szCs w:val="24"/>
          <w:bdr w:val="none" w:sz="0" w:space="0" w:color="auto" w:frame="1"/>
          <w:lang w:eastAsia="lt-LT"/>
        </w:rPr>
        <w:t xml:space="preserve"> </w:t>
      </w: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Tiekėjas privalo skirti šiuos ekspertus (specialistus): ne mažiau kaip 5 metų darbo patirtį turinčius darbuotojus: </w:t>
      </w:r>
      <w:r>
        <w:rPr>
          <w:rFonts w:ascii="Times New Roman" w:eastAsia="Arial Unicode MS" w:hAnsi="Times New Roman" w:cs="Times New Roman"/>
          <w:noProof/>
          <w:color w:val="000000" w:themeColor="text1"/>
          <w:sz w:val="24"/>
          <w:szCs w:val="24"/>
          <w:bdr w:val="none" w:sz="0" w:space="0" w:color="auto" w:frame="1"/>
          <w:lang w:eastAsia="lt-LT"/>
        </w:rPr>
        <w:t>projektų vadovą, inžinierių, ekonomistą bei teisininką ir/ar viešųjų pirkimų specialistą.</w:t>
      </w:r>
    </w:p>
    <w:p w14:paraId="6A8496BF" w14:textId="3EE91713" w:rsidR="00BD174B" w:rsidRPr="00BD174B" w:rsidRDefault="00BD174B" w:rsidP="00BD174B">
      <w:pPr>
        <w:pStyle w:val="ListParagraph"/>
        <w:widowControl w:val="0"/>
        <w:numPr>
          <w:ilvl w:val="1"/>
          <w:numId w:val="4"/>
        </w:numPr>
        <w:tabs>
          <w:tab w:val="left" w:pos="709"/>
        </w:tabs>
        <w:spacing w:after="0" w:line="240" w:lineRule="auto"/>
        <w:ind w:left="0" w:firstLine="851"/>
        <w:jc w:val="both"/>
        <w:outlineLvl w:val="0"/>
        <w:rPr>
          <w:rFonts w:ascii="Times New Roman" w:eastAsia="Arial Unicode MS" w:hAnsi="Times New Roman" w:cs="Times New Roman"/>
          <w:noProof/>
          <w:color w:val="000000" w:themeColor="text1"/>
          <w:sz w:val="24"/>
          <w:szCs w:val="24"/>
          <w:bdr w:val="none" w:sz="0" w:space="0" w:color="auto" w:frame="1"/>
          <w:lang w:eastAsia="lt-LT"/>
        </w:rPr>
      </w:pP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Tiekėjas, teikdamas paslaugas privalo bendradarbiauti su </w:t>
      </w:r>
      <w:r w:rsidR="00B3261A">
        <w:rPr>
          <w:rFonts w:ascii="Times New Roman" w:eastAsia="Arial Unicode MS" w:hAnsi="Times New Roman" w:cs="Times New Roman"/>
          <w:noProof/>
          <w:color w:val="000000" w:themeColor="text1"/>
          <w:sz w:val="24"/>
          <w:szCs w:val="24"/>
          <w:bdr w:val="none" w:sz="0" w:space="0" w:color="auto" w:frame="1"/>
          <w:lang w:eastAsia="lt-LT"/>
        </w:rPr>
        <w:t>Pirkėju</w:t>
      </w: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atsižvelgti į jo pastabas bei nurodymus. </w:t>
      </w:r>
      <w:r w:rsidR="00B3261A">
        <w:rPr>
          <w:rFonts w:ascii="Times New Roman" w:eastAsia="Arial Unicode MS" w:hAnsi="Times New Roman" w:cs="Times New Roman"/>
          <w:noProof/>
          <w:color w:val="000000" w:themeColor="text1"/>
          <w:sz w:val="24"/>
          <w:szCs w:val="24"/>
          <w:bdr w:val="none" w:sz="0" w:space="0" w:color="auto" w:frame="1"/>
          <w:lang w:eastAsia="lt-LT"/>
        </w:rPr>
        <w:t>Pirkėjas</w:t>
      </w: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privalo bendradarbiauti su Tiekėju ir suteikti jam visą reikalingą informaciją ir dokumentus reikalingus tinkamam Paslaugų teikimui. </w:t>
      </w:r>
    </w:p>
    <w:p w14:paraId="7B98011D" w14:textId="77777777" w:rsidR="00BD174B" w:rsidRPr="00BD174B" w:rsidRDefault="00BD174B" w:rsidP="00BD174B">
      <w:pPr>
        <w:pStyle w:val="ListParagraph"/>
        <w:widowControl w:val="0"/>
        <w:numPr>
          <w:ilvl w:val="1"/>
          <w:numId w:val="4"/>
        </w:numPr>
        <w:tabs>
          <w:tab w:val="left" w:pos="709"/>
        </w:tabs>
        <w:spacing w:after="0" w:line="240" w:lineRule="auto"/>
        <w:ind w:left="0" w:firstLine="851"/>
        <w:jc w:val="both"/>
        <w:outlineLvl w:val="0"/>
        <w:rPr>
          <w:rFonts w:ascii="Times New Roman" w:eastAsia="Arial Unicode MS" w:hAnsi="Times New Roman" w:cs="Times New Roman"/>
          <w:noProof/>
          <w:color w:val="000000" w:themeColor="text1"/>
          <w:sz w:val="24"/>
          <w:szCs w:val="24"/>
          <w:bdr w:val="none" w:sz="0" w:space="0" w:color="auto" w:frame="1"/>
          <w:lang w:eastAsia="lt-LT"/>
        </w:rPr>
      </w:pP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Esant poreikiui Tiekėjas turi tikslinti/taisyti Paslaugų trūkumus.</w:t>
      </w:r>
    </w:p>
    <w:p w14:paraId="116FACAD" w14:textId="31CE25C4" w:rsidR="00BD174B" w:rsidRPr="00BD174B" w:rsidRDefault="00BD174B" w:rsidP="00BD174B">
      <w:pPr>
        <w:pStyle w:val="ListParagraph"/>
        <w:widowControl w:val="0"/>
        <w:numPr>
          <w:ilvl w:val="1"/>
          <w:numId w:val="4"/>
        </w:numPr>
        <w:tabs>
          <w:tab w:val="left" w:pos="709"/>
        </w:tabs>
        <w:spacing w:after="0" w:line="240" w:lineRule="auto"/>
        <w:ind w:left="0" w:firstLine="851"/>
        <w:jc w:val="both"/>
        <w:outlineLvl w:val="0"/>
        <w:rPr>
          <w:rFonts w:ascii="Times New Roman" w:eastAsia="Arial Unicode MS" w:hAnsi="Times New Roman" w:cs="Times New Roman"/>
          <w:noProof/>
          <w:color w:val="000000" w:themeColor="text1"/>
          <w:sz w:val="24"/>
          <w:szCs w:val="24"/>
          <w:bdr w:val="none" w:sz="0" w:space="0" w:color="auto" w:frame="1"/>
          <w:lang w:eastAsia="lt-LT"/>
        </w:rPr>
      </w:pP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 </w:t>
      </w:r>
      <w:r w:rsidR="00B3261A">
        <w:rPr>
          <w:rFonts w:ascii="Times New Roman" w:eastAsia="Arial Unicode MS" w:hAnsi="Times New Roman" w:cs="Times New Roman"/>
          <w:noProof/>
          <w:color w:val="000000" w:themeColor="text1"/>
          <w:sz w:val="24"/>
          <w:szCs w:val="24"/>
          <w:bdr w:val="none" w:sz="0" w:space="0" w:color="auto" w:frame="1"/>
          <w:lang w:eastAsia="lt-LT"/>
        </w:rPr>
        <w:t>Pirkėjas</w:t>
      </w:r>
      <w:r w:rsidRPr="00BD174B">
        <w:rPr>
          <w:rFonts w:ascii="Times New Roman" w:eastAsia="Arial Unicode MS" w:hAnsi="Times New Roman" w:cs="Times New Roman"/>
          <w:noProof/>
          <w:color w:val="000000" w:themeColor="text1"/>
          <w:sz w:val="24"/>
          <w:szCs w:val="24"/>
          <w:bdr w:val="none" w:sz="0" w:space="0" w:color="auto" w:frame="1"/>
          <w:lang w:eastAsia="lt-LT"/>
        </w:rPr>
        <w:t>, iškilus poreikiui, gali prašyti Tiekėjo ekspert</w:t>
      </w:r>
      <w:r>
        <w:rPr>
          <w:rFonts w:ascii="Times New Roman" w:eastAsia="Arial Unicode MS" w:hAnsi="Times New Roman" w:cs="Times New Roman"/>
          <w:noProof/>
          <w:color w:val="000000" w:themeColor="text1"/>
          <w:sz w:val="24"/>
          <w:szCs w:val="24"/>
          <w:bdr w:val="none" w:sz="0" w:space="0" w:color="auto" w:frame="1"/>
          <w:lang w:eastAsia="lt-LT"/>
        </w:rPr>
        <w:t xml:space="preserve">ų (specialistų), </w:t>
      </w:r>
      <w:r w:rsidRPr="00BD174B">
        <w:rPr>
          <w:rFonts w:ascii="Times New Roman" w:eastAsia="Arial Unicode MS" w:hAnsi="Times New Roman" w:cs="Times New Roman"/>
          <w:noProof/>
          <w:color w:val="000000" w:themeColor="text1"/>
          <w:sz w:val="24"/>
          <w:szCs w:val="24"/>
          <w:bdr w:val="none" w:sz="0" w:space="0" w:color="auto" w:frame="1"/>
          <w:lang w:eastAsia="lt-LT"/>
        </w:rPr>
        <w:t xml:space="preserve">pakeitimo, jei mano, kad eksperto (specialisto) vykdomos užduotys neužtikrina tinkamo Paslaugų pagal šią sutartį suteikimo. </w:t>
      </w:r>
    </w:p>
    <w:p w14:paraId="04401522" w14:textId="77777777" w:rsidR="00BD174B" w:rsidRPr="00BD174B" w:rsidRDefault="00BD174B" w:rsidP="00BD174B">
      <w:pPr>
        <w:widowControl w:val="0"/>
        <w:tabs>
          <w:tab w:val="left" w:pos="709"/>
          <w:tab w:val="left" w:pos="851"/>
        </w:tabs>
        <w:jc w:val="both"/>
        <w:outlineLvl w:val="0"/>
        <w:rPr>
          <w:rFonts w:ascii="Times New Roman" w:hAnsi="Times New Roman" w:cs="Times New Roman"/>
          <w:sz w:val="24"/>
          <w:szCs w:val="24"/>
          <w:lang w:eastAsia="lt-LT"/>
        </w:rPr>
      </w:pPr>
    </w:p>
    <w:p w14:paraId="29777A3E" w14:textId="77777777" w:rsidR="00BD174B" w:rsidRDefault="00BD174B" w:rsidP="00BD174B">
      <w:pPr>
        <w:widowControl w:val="0"/>
        <w:numPr>
          <w:ilvl w:val="0"/>
          <w:numId w:val="3"/>
        </w:numPr>
        <w:spacing w:after="0" w:line="240" w:lineRule="auto"/>
        <w:jc w:val="center"/>
        <w:rPr>
          <w:rFonts w:ascii="Times New Roman" w:eastAsia="Arial Unicode MS" w:hAnsi="Times New Roman" w:cs="Times New Roman"/>
          <w:b/>
          <w:bCs/>
          <w:caps/>
          <w:noProof/>
          <w:color w:val="000000" w:themeColor="text1"/>
          <w:spacing w:val="4"/>
          <w:sz w:val="24"/>
          <w:szCs w:val="24"/>
          <w:bdr w:val="none" w:sz="0" w:space="0" w:color="auto" w:frame="1"/>
          <w:lang w:val="en-US" w:eastAsia="lt-LT"/>
        </w:rPr>
      </w:pPr>
      <w:r w:rsidRPr="00720628">
        <w:rPr>
          <w:rFonts w:ascii="Times New Roman" w:eastAsia="Arial Unicode MS" w:hAnsi="Times New Roman" w:cs="Times New Roman"/>
          <w:b/>
          <w:bCs/>
          <w:caps/>
          <w:noProof/>
          <w:color w:val="000000" w:themeColor="text1"/>
          <w:spacing w:val="4"/>
          <w:sz w:val="24"/>
          <w:szCs w:val="24"/>
          <w:bdr w:val="none" w:sz="0" w:space="0" w:color="auto" w:frame="1"/>
          <w:lang w:val="en-US" w:eastAsia="lt-LT"/>
        </w:rPr>
        <w:t>Reikalavimai paslaugoms ir jų apimtis</w:t>
      </w:r>
    </w:p>
    <w:p w14:paraId="62CD3EB9" w14:textId="77777777" w:rsidR="007C1C7F" w:rsidRPr="00720628" w:rsidRDefault="007C1C7F" w:rsidP="007C1C7F">
      <w:pPr>
        <w:widowControl w:val="0"/>
        <w:spacing w:after="0" w:line="240" w:lineRule="auto"/>
        <w:ind w:left="360"/>
        <w:rPr>
          <w:rFonts w:ascii="Times New Roman" w:eastAsia="Arial Unicode MS" w:hAnsi="Times New Roman" w:cs="Times New Roman"/>
          <w:b/>
          <w:bCs/>
          <w:caps/>
          <w:noProof/>
          <w:color w:val="000000" w:themeColor="text1"/>
          <w:spacing w:val="4"/>
          <w:sz w:val="24"/>
          <w:szCs w:val="24"/>
          <w:bdr w:val="none" w:sz="0" w:space="0" w:color="auto" w:frame="1"/>
          <w:lang w:val="en-US" w:eastAsia="lt-LT"/>
        </w:rPr>
      </w:pPr>
    </w:p>
    <w:p w14:paraId="262AAFF0" w14:textId="166ED2D8" w:rsidR="007C1C7F" w:rsidRPr="00050770" w:rsidRDefault="007C1C7F" w:rsidP="007C1C7F">
      <w:pPr>
        <w:pStyle w:val="ListParagraph"/>
        <w:ind w:left="0" w:firstLine="851"/>
        <w:jc w:val="both"/>
        <w:rPr>
          <w:rFonts w:ascii="Times New Roman" w:hAnsi="Times New Roman" w:cs="Times New Roman"/>
          <w:b/>
          <w:bCs/>
          <w:i/>
          <w:iCs/>
          <w:sz w:val="24"/>
          <w:szCs w:val="24"/>
        </w:rPr>
      </w:pPr>
      <w:r w:rsidRPr="007C1C7F">
        <w:rPr>
          <w:rFonts w:ascii="Times New Roman" w:hAnsi="Times New Roman" w:cs="Times New Roman"/>
          <w:sz w:val="24"/>
          <w:szCs w:val="24"/>
        </w:rPr>
        <w:t>3.1.</w:t>
      </w:r>
      <w:r w:rsidRPr="007C1C7F">
        <w:rPr>
          <w:rFonts w:ascii="Times New Roman" w:hAnsi="Times New Roman" w:cs="Times New Roman"/>
          <w:sz w:val="24"/>
          <w:szCs w:val="24"/>
        </w:rPr>
        <w:tab/>
      </w:r>
      <w:r w:rsidRPr="00050770">
        <w:rPr>
          <w:rFonts w:ascii="Times New Roman" w:hAnsi="Times New Roman" w:cs="Times New Roman"/>
          <w:b/>
          <w:bCs/>
          <w:i/>
          <w:iCs/>
          <w:sz w:val="24"/>
          <w:szCs w:val="24"/>
        </w:rPr>
        <w:t>Projekto administravimo</w:t>
      </w:r>
      <w:r w:rsidR="00FA4B84" w:rsidRPr="00050770">
        <w:rPr>
          <w:rFonts w:ascii="Times New Roman" w:hAnsi="Times New Roman" w:cs="Times New Roman"/>
          <w:b/>
          <w:bCs/>
          <w:i/>
          <w:iCs/>
          <w:sz w:val="24"/>
          <w:szCs w:val="24"/>
        </w:rPr>
        <w:t xml:space="preserve"> paslaugas</w:t>
      </w:r>
      <w:r w:rsidRPr="00050770">
        <w:rPr>
          <w:rFonts w:ascii="Times New Roman" w:hAnsi="Times New Roman" w:cs="Times New Roman"/>
          <w:b/>
          <w:bCs/>
          <w:i/>
          <w:iCs/>
          <w:sz w:val="24"/>
          <w:szCs w:val="24"/>
        </w:rPr>
        <w:t xml:space="preserve"> sudaro:</w:t>
      </w:r>
    </w:p>
    <w:p w14:paraId="4EAC4442" w14:textId="22735CD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w:t>
      </w:r>
      <w:r w:rsidRPr="007C1C7F">
        <w:rPr>
          <w:rFonts w:ascii="Times New Roman" w:hAnsi="Times New Roman" w:cs="Times New Roman"/>
          <w:sz w:val="24"/>
          <w:szCs w:val="24"/>
        </w:rPr>
        <w:tab/>
        <w:t xml:space="preserve"> Projekto pirkimų plano </w:t>
      </w:r>
      <w:r>
        <w:rPr>
          <w:rFonts w:ascii="Times New Roman" w:hAnsi="Times New Roman" w:cs="Times New Roman"/>
          <w:sz w:val="24"/>
          <w:szCs w:val="24"/>
        </w:rPr>
        <w:t>priežiūra</w:t>
      </w:r>
      <w:r w:rsidRPr="007C1C7F">
        <w:rPr>
          <w:rFonts w:ascii="Times New Roman" w:hAnsi="Times New Roman" w:cs="Times New Roman"/>
          <w:sz w:val="24"/>
          <w:szCs w:val="24"/>
        </w:rPr>
        <w:t xml:space="preserve"> įvertinant įstaigos metinį pirkimų planą</w:t>
      </w:r>
      <w:r>
        <w:rPr>
          <w:rFonts w:ascii="Times New Roman" w:hAnsi="Times New Roman" w:cs="Times New Roman"/>
          <w:sz w:val="24"/>
          <w:szCs w:val="24"/>
        </w:rPr>
        <w:t xml:space="preserve">, </w:t>
      </w:r>
      <w:r w:rsidRPr="007C1C7F">
        <w:rPr>
          <w:rFonts w:ascii="Times New Roman" w:hAnsi="Times New Roman" w:cs="Times New Roman"/>
          <w:sz w:val="24"/>
          <w:szCs w:val="24"/>
        </w:rPr>
        <w:t>esant poreikiui</w:t>
      </w:r>
      <w:r w:rsidR="00FA4B84">
        <w:rPr>
          <w:rFonts w:ascii="Times New Roman" w:hAnsi="Times New Roman" w:cs="Times New Roman"/>
          <w:sz w:val="24"/>
          <w:szCs w:val="24"/>
        </w:rPr>
        <w:t xml:space="preserve"> inicijuojamas projekto pirkimų plano</w:t>
      </w:r>
      <w:r w:rsidRPr="007C1C7F">
        <w:rPr>
          <w:rFonts w:ascii="Times New Roman" w:hAnsi="Times New Roman" w:cs="Times New Roman"/>
          <w:sz w:val="24"/>
          <w:szCs w:val="24"/>
        </w:rPr>
        <w:t xml:space="preserve"> keitimas; visi projekto pirkimų plano pakeitimai turi būti laiku suderinami su agentūra; parengtas projekto pirkimų planas prieš teikiant derinti agentūrai turi būti pateiktas peržiūrai </w:t>
      </w:r>
      <w:r w:rsidR="00B3261A">
        <w:rPr>
          <w:rFonts w:ascii="Times New Roman" w:hAnsi="Times New Roman" w:cs="Times New Roman"/>
          <w:sz w:val="24"/>
          <w:szCs w:val="24"/>
        </w:rPr>
        <w:t>Pirkėjui</w:t>
      </w:r>
      <w:r w:rsidRPr="007C1C7F">
        <w:rPr>
          <w:rFonts w:ascii="Times New Roman" w:hAnsi="Times New Roman" w:cs="Times New Roman"/>
          <w:sz w:val="24"/>
          <w:szCs w:val="24"/>
        </w:rPr>
        <w:t xml:space="preserve">, esant papildomiems klausimams, </w:t>
      </w:r>
      <w:r w:rsidR="00B3261A">
        <w:rPr>
          <w:rFonts w:ascii="Times New Roman" w:hAnsi="Times New Roman" w:cs="Times New Roman"/>
          <w:sz w:val="24"/>
          <w:szCs w:val="24"/>
        </w:rPr>
        <w:t>Pirkėjas</w:t>
      </w:r>
      <w:r w:rsidRPr="007C1C7F">
        <w:rPr>
          <w:rFonts w:ascii="Times New Roman" w:hAnsi="Times New Roman" w:cs="Times New Roman"/>
          <w:sz w:val="24"/>
          <w:szCs w:val="24"/>
        </w:rPr>
        <w:t xml:space="preserve"> gali prašyti projekto pirkimų planą pristatyti nuotoliniu būdu;</w:t>
      </w:r>
    </w:p>
    <w:p w14:paraId="41C3690D" w14:textId="3256ED78"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3.1.2.</w:t>
      </w:r>
      <w:r w:rsidRPr="007C1C7F">
        <w:rPr>
          <w:rFonts w:ascii="Times New Roman" w:hAnsi="Times New Roman" w:cs="Times New Roman"/>
          <w:sz w:val="24"/>
          <w:szCs w:val="24"/>
        </w:rPr>
        <w:tab/>
        <w:t xml:space="preserve"> Nuolatinė projekto veiklų priežiūra (numatoma 1</w:t>
      </w:r>
      <w:r>
        <w:rPr>
          <w:rFonts w:ascii="Times New Roman" w:hAnsi="Times New Roman" w:cs="Times New Roman"/>
          <w:sz w:val="24"/>
          <w:szCs w:val="24"/>
        </w:rPr>
        <w:t>0</w:t>
      </w:r>
      <w:r w:rsidRPr="007C1C7F">
        <w:rPr>
          <w:rFonts w:ascii="Times New Roman" w:hAnsi="Times New Roman" w:cs="Times New Roman"/>
          <w:sz w:val="24"/>
          <w:szCs w:val="24"/>
        </w:rPr>
        <w:t xml:space="preserve"> veiklų projekte), veiklos ataskaitų parengimas, suderinimas su agentūra;</w:t>
      </w:r>
      <w:r w:rsidR="001A16B5">
        <w:rPr>
          <w:rFonts w:ascii="Times New Roman" w:hAnsi="Times New Roman" w:cs="Times New Roman"/>
          <w:sz w:val="24"/>
          <w:szCs w:val="24"/>
        </w:rPr>
        <w:t xml:space="preserve"> </w:t>
      </w:r>
      <w:r w:rsidR="00B3261A">
        <w:rPr>
          <w:rFonts w:ascii="Times New Roman" w:hAnsi="Times New Roman" w:cs="Times New Roman"/>
          <w:sz w:val="24"/>
          <w:szCs w:val="24"/>
        </w:rPr>
        <w:t>Pirkėjo</w:t>
      </w:r>
      <w:r w:rsidR="001A16B5">
        <w:rPr>
          <w:rFonts w:ascii="Times New Roman" w:hAnsi="Times New Roman" w:cs="Times New Roman"/>
          <w:sz w:val="24"/>
          <w:szCs w:val="24"/>
        </w:rPr>
        <w:t xml:space="preserve"> pageidavimu apie veiklų vykdymo eigą teikti informaciją el. paštu, telefonu ar atvykstant į projekto vykdymą; </w:t>
      </w:r>
      <w:r w:rsidR="00B3261A">
        <w:rPr>
          <w:rFonts w:ascii="Times New Roman" w:hAnsi="Times New Roman" w:cs="Times New Roman"/>
          <w:sz w:val="24"/>
          <w:szCs w:val="24"/>
        </w:rPr>
        <w:t>Pirkėjo</w:t>
      </w:r>
      <w:r w:rsidR="001A16B5">
        <w:rPr>
          <w:rFonts w:ascii="Times New Roman" w:hAnsi="Times New Roman" w:cs="Times New Roman"/>
          <w:sz w:val="24"/>
          <w:szCs w:val="24"/>
        </w:rPr>
        <w:t xml:space="preserve"> pageidavimu informaciją apie projekto vykdymo eigą pristatyti </w:t>
      </w:r>
      <w:r w:rsidR="00B3261A">
        <w:rPr>
          <w:rFonts w:ascii="Times New Roman" w:hAnsi="Times New Roman" w:cs="Times New Roman"/>
          <w:sz w:val="24"/>
          <w:szCs w:val="24"/>
        </w:rPr>
        <w:t>Pirkėjo</w:t>
      </w:r>
      <w:r w:rsidR="001A16B5">
        <w:rPr>
          <w:rFonts w:ascii="Times New Roman" w:hAnsi="Times New Roman" w:cs="Times New Roman"/>
          <w:sz w:val="24"/>
          <w:szCs w:val="24"/>
        </w:rPr>
        <w:t xml:space="preserve"> vadovui, </w:t>
      </w:r>
      <w:r w:rsidR="00FA4B84">
        <w:rPr>
          <w:rFonts w:ascii="Times New Roman" w:hAnsi="Times New Roman" w:cs="Times New Roman"/>
          <w:sz w:val="24"/>
          <w:szCs w:val="24"/>
        </w:rPr>
        <w:t xml:space="preserve">Kauno rajono </w:t>
      </w:r>
      <w:r w:rsidR="001A16B5">
        <w:rPr>
          <w:rFonts w:ascii="Times New Roman" w:hAnsi="Times New Roman" w:cs="Times New Roman"/>
          <w:sz w:val="24"/>
          <w:szCs w:val="24"/>
        </w:rPr>
        <w:t>savivaldybės administracijai;</w:t>
      </w:r>
    </w:p>
    <w:p w14:paraId="00A1DFBC" w14:textId="0864C5BC"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3.1.3.</w:t>
      </w:r>
      <w:r w:rsidRPr="007C1C7F">
        <w:rPr>
          <w:rFonts w:ascii="Times New Roman" w:hAnsi="Times New Roman" w:cs="Times New Roman"/>
          <w:sz w:val="24"/>
          <w:szCs w:val="24"/>
        </w:rPr>
        <w:tab/>
        <w:t>Mokėjimo prašymų rengimas ir teikimas;</w:t>
      </w:r>
    </w:p>
    <w:p w14:paraId="5D10D1C3" w14:textId="7777777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3.1.4.</w:t>
      </w:r>
      <w:r w:rsidRPr="007C1C7F">
        <w:rPr>
          <w:rFonts w:ascii="Times New Roman" w:hAnsi="Times New Roman" w:cs="Times New Roman"/>
          <w:sz w:val="24"/>
          <w:szCs w:val="24"/>
        </w:rPr>
        <w:tab/>
        <w:t>Išlaidų tinkamumo vertinimas bei priežiūra, t.y., tiekėjas atlikdamas išlaidų tinkamumo vertinimą privalo vadovautis Projektų administravimo ir finansavimo taisyklių nuostatomis, Rekomendacijomis dėl projektų išlaidų atitikties Europos Sąjungos fondų reikalavimams ir kitais aktualiais teisės aktais;</w:t>
      </w:r>
    </w:p>
    <w:p w14:paraId="694C14F5" w14:textId="7777777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3.1.5.</w:t>
      </w:r>
      <w:r w:rsidRPr="007C1C7F">
        <w:rPr>
          <w:rFonts w:ascii="Times New Roman" w:hAnsi="Times New Roman" w:cs="Times New Roman"/>
          <w:sz w:val="24"/>
          <w:szCs w:val="24"/>
        </w:rPr>
        <w:tab/>
        <w:t xml:space="preserve">  Projekto biudžeto priežiūra, pasiūlymų dėl projekto biudžeto keitimo teikimas; visi pasiūlymai dėl projekto biudžeto keitimo turi būti argumentuoti, pagrįsti skaičiavimais (komerciniai pasiūlymai, sąmatiniai skaičiavimai ir t.t.);</w:t>
      </w:r>
    </w:p>
    <w:p w14:paraId="26CCEE9F" w14:textId="7777777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3.1.6.</w:t>
      </w:r>
      <w:r w:rsidRPr="007C1C7F">
        <w:rPr>
          <w:rFonts w:ascii="Times New Roman" w:hAnsi="Times New Roman" w:cs="Times New Roman"/>
          <w:sz w:val="24"/>
          <w:szCs w:val="24"/>
        </w:rPr>
        <w:tab/>
        <w:t xml:space="preserve"> Reikalingų dokumentų, duomenų teikimas agentūrai, esant poreikiui Lietuvos Respublikos aplinkos ministerijai, Lietuvos Respublikos finansų ministerijai ir kt. institucijoms;</w:t>
      </w:r>
    </w:p>
    <w:p w14:paraId="1EEB07A8" w14:textId="5AFF0942"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3.1.7.</w:t>
      </w:r>
      <w:r w:rsidRPr="007C1C7F">
        <w:rPr>
          <w:rFonts w:ascii="Times New Roman" w:hAnsi="Times New Roman" w:cs="Times New Roman"/>
          <w:sz w:val="24"/>
          <w:szCs w:val="24"/>
        </w:rPr>
        <w:tab/>
        <w:t xml:space="preserve"> Projekto sutarties vykdymo priežiūra, reikalingų sutarties keitimų </w:t>
      </w:r>
      <w:r>
        <w:rPr>
          <w:rFonts w:ascii="Times New Roman" w:hAnsi="Times New Roman" w:cs="Times New Roman"/>
          <w:sz w:val="24"/>
          <w:szCs w:val="24"/>
        </w:rPr>
        <w:t xml:space="preserve">inicijavimas ir </w:t>
      </w:r>
      <w:r w:rsidRPr="007C1C7F">
        <w:rPr>
          <w:rFonts w:ascii="Times New Roman" w:hAnsi="Times New Roman" w:cs="Times New Roman"/>
          <w:sz w:val="24"/>
          <w:szCs w:val="24"/>
        </w:rPr>
        <w:t>rengimas, suderinimas su agentūra;</w:t>
      </w:r>
    </w:p>
    <w:p w14:paraId="39916CDB" w14:textId="7777777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lastRenderedPageBreak/>
        <w:t>3.1.8.</w:t>
      </w:r>
      <w:r w:rsidRPr="007C1C7F">
        <w:rPr>
          <w:rFonts w:ascii="Times New Roman" w:hAnsi="Times New Roman" w:cs="Times New Roman"/>
          <w:sz w:val="24"/>
          <w:szCs w:val="24"/>
        </w:rPr>
        <w:tab/>
        <w:t xml:space="preserve"> Projekto veiklų vykdymo problemų identifikavimas, rekomendacijos ir siūlymai dėl jų sprendimo būdų ir priemonių;</w:t>
      </w:r>
    </w:p>
    <w:p w14:paraId="1B09E993" w14:textId="7777777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3.1.9.</w:t>
      </w:r>
      <w:r w:rsidRPr="007C1C7F">
        <w:rPr>
          <w:rFonts w:ascii="Times New Roman" w:hAnsi="Times New Roman" w:cs="Times New Roman"/>
          <w:sz w:val="24"/>
          <w:szCs w:val="24"/>
        </w:rPr>
        <w:tab/>
        <w:t xml:space="preserve"> Projekto rizikų identifikavimas, informavimas apie jas bei jų valdymas;</w:t>
      </w:r>
    </w:p>
    <w:p w14:paraId="665261F9" w14:textId="7777777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3.1.10.</w:t>
      </w:r>
      <w:r w:rsidRPr="007C1C7F">
        <w:rPr>
          <w:rFonts w:ascii="Times New Roman" w:hAnsi="Times New Roman" w:cs="Times New Roman"/>
          <w:sz w:val="24"/>
          <w:szCs w:val="24"/>
        </w:rPr>
        <w:tab/>
        <w:t xml:space="preserve">Viešinimo priemonių rengimas; </w:t>
      </w:r>
    </w:p>
    <w:p w14:paraId="018588CB" w14:textId="279B69E7"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3.1.11.</w:t>
      </w:r>
      <w:r w:rsidRPr="007C1C7F">
        <w:rPr>
          <w:rFonts w:ascii="Times New Roman" w:hAnsi="Times New Roman" w:cs="Times New Roman"/>
          <w:sz w:val="24"/>
          <w:szCs w:val="24"/>
        </w:rPr>
        <w:tab/>
        <w:t>Projekto patikros vietoje metu įmonės atstovo dalyvavimas</w:t>
      </w:r>
      <w:r>
        <w:rPr>
          <w:rFonts w:ascii="Times New Roman" w:hAnsi="Times New Roman" w:cs="Times New Roman"/>
          <w:sz w:val="24"/>
          <w:szCs w:val="24"/>
        </w:rPr>
        <w:t>. E</w:t>
      </w:r>
      <w:r w:rsidRPr="007C1C7F">
        <w:rPr>
          <w:rFonts w:ascii="Times New Roman" w:hAnsi="Times New Roman" w:cs="Times New Roman"/>
          <w:sz w:val="24"/>
          <w:szCs w:val="24"/>
        </w:rPr>
        <w:t xml:space="preserve">sant poreikiui patikros vietoje metu gali būti prašoma dalyvauti ne mažiau kaip 2 </w:t>
      </w:r>
      <w:r w:rsidR="00435B9E">
        <w:rPr>
          <w:rFonts w:ascii="Times New Roman" w:hAnsi="Times New Roman" w:cs="Times New Roman"/>
          <w:sz w:val="24"/>
          <w:szCs w:val="24"/>
        </w:rPr>
        <w:t>T</w:t>
      </w:r>
      <w:r w:rsidRPr="007C1C7F">
        <w:rPr>
          <w:rFonts w:ascii="Times New Roman" w:hAnsi="Times New Roman" w:cs="Times New Roman"/>
          <w:sz w:val="24"/>
          <w:szCs w:val="24"/>
        </w:rPr>
        <w:t>iekėjo atstovai (projekto vadovas ir inžinierius);</w:t>
      </w:r>
    </w:p>
    <w:p w14:paraId="7ADD8678" w14:textId="51EE53E0" w:rsidR="007C1C7F" w:rsidRPr="007C1C7F" w:rsidRDefault="007C1C7F" w:rsidP="007C1C7F">
      <w:pPr>
        <w:pStyle w:val="ListParagraph"/>
        <w:tabs>
          <w:tab w:val="left" w:pos="1560"/>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3.1.12.</w:t>
      </w:r>
      <w:r w:rsidRPr="007C1C7F">
        <w:rPr>
          <w:rFonts w:ascii="Times New Roman" w:hAnsi="Times New Roman" w:cs="Times New Roman"/>
          <w:sz w:val="24"/>
          <w:szCs w:val="24"/>
        </w:rPr>
        <w:tab/>
        <w:t xml:space="preserve">Atsakymų į agentūros pastebėjimus po projekto patikros (jei tokių būtų) parengimas, suderinimas su </w:t>
      </w:r>
      <w:r w:rsidR="00B3261A">
        <w:rPr>
          <w:rFonts w:ascii="Times New Roman" w:hAnsi="Times New Roman" w:cs="Times New Roman"/>
          <w:sz w:val="24"/>
          <w:szCs w:val="24"/>
        </w:rPr>
        <w:t>Pirkėju</w:t>
      </w:r>
      <w:r w:rsidRPr="007C1C7F">
        <w:rPr>
          <w:rFonts w:ascii="Times New Roman" w:hAnsi="Times New Roman" w:cs="Times New Roman"/>
          <w:sz w:val="24"/>
          <w:szCs w:val="24"/>
        </w:rPr>
        <w:t xml:space="preserve"> ir agentūra;</w:t>
      </w:r>
    </w:p>
    <w:p w14:paraId="1F7CA8AD" w14:textId="6032401F" w:rsidR="007C1C7F" w:rsidRPr="007C1C7F" w:rsidRDefault="007C1C7F" w:rsidP="00435B9E">
      <w:pPr>
        <w:pStyle w:val="ListParagraph"/>
        <w:tabs>
          <w:tab w:val="left" w:pos="1276"/>
          <w:tab w:val="left" w:pos="1418"/>
          <w:tab w:val="left" w:pos="1843"/>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3.1.13.</w:t>
      </w:r>
      <w:r w:rsidRPr="007C1C7F">
        <w:rPr>
          <w:rFonts w:ascii="Times New Roman" w:hAnsi="Times New Roman" w:cs="Times New Roman"/>
          <w:sz w:val="24"/>
          <w:szCs w:val="24"/>
        </w:rPr>
        <w:tab/>
      </w:r>
      <w:r w:rsidR="00435B9E">
        <w:rPr>
          <w:rFonts w:ascii="Times New Roman" w:hAnsi="Times New Roman" w:cs="Times New Roman"/>
          <w:sz w:val="24"/>
          <w:szCs w:val="24"/>
        </w:rPr>
        <w:t>Tiekėjo</w:t>
      </w:r>
      <w:r w:rsidRPr="007C1C7F">
        <w:rPr>
          <w:rFonts w:ascii="Times New Roman" w:hAnsi="Times New Roman" w:cs="Times New Roman"/>
          <w:sz w:val="24"/>
          <w:szCs w:val="24"/>
        </w:rPr>
        <w:t xml:space="preserve"> įmonės atstovo dalyvavimas tiek planinių, tiek ne planinių vizitų metu, kai į projekto vykdymo vietą atvyksta agentūros, ministerijos atstovai;</w:t>
      </w:r>
    </w:p>
    <w:p w14:paraId="0C5FB643" w14:textId="7B4731EA" w:rsidR="007C1C7F" w:rsidRDefault="007C1C7F" w:rsidP="007C1C7F">
      <w:pPr>
        <w:pStyle w:val="ListParagraph"/>
        <w:tabs>
          <w:tab w:val="left" w:pos="1276"/>
          <w:tab w:val="left" w:pos="1701"/>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3.1.14.</w:t>
      </w:r>
      <w:r w:rsidRPr="007C1C7F">
        <w:rPr>
          <w:rFonts w:ascii="Times New Roman" w:hAnsi="Times New Roman" w:cs="Times New Roman"/>
          <w:sz w:val="24"/>
          <w:szCs w:val="24"/>
        </w:rPr>
        <w:tab/>
        <w:t xml:space="preserve"> Projekto rodiklių stebėsena, informavimas apie rodiklių ir rezultatų pasiekimą/nepasiekimą; reikiamų priemonių iniciavimas ir pristatymas </w:t>
      </w:r>
      <w:r w:rsidR="00B3261A">
        <w:rPr>
          <w:rFonts w:ascii="Times New Roman" w:hAnsi="Times New Roman" w:cs="Times New Roman"/>
          <w:sz w:val="24"/>
          <w:szCs w:val="24"/>
        </w:rPr>
        <w:t>Pirkėjui</w:t>
      </w:r>
      <w:r w:rsidRPr="007C1C7F">
        <w:rPr>
          <w:rFonts w:ascii="Times New Roman" w:hAnsi="Times New Roman" w:cs="Times New Roman"/>
          <w:sz w:val="24"/>
          <w:szCs w:val="24"/>
        </w:rPr>
        <w:t>, kad projekto rodikliai būtų pasiekti laiku ir suplanuota apimtimi; nepavykus pasiekti suplanuotų rodiklių (dėl aplinkybių, kurios nepriklauso nuo tiekėjo) teikti siūlymus dėl rodiklių keitimo</w:t>
      </w:r>
      <w:r w:rsidR="00435B9E">
        <w:rPr>
          <w:rFonts w:ascii="Times New Roman" w:hAnsi="Times New Roman" w:cs="Times New Roman"/>
          <w:sz w:val="24"/>
          <w:szCs w:val="24"/>
        </w:rPr>
        <w:t xml:space="preserve">, t.y. inicijuoti rodiklių keitimo procedūrą, suderiniąm su </w:t>
      </w:r>
      <w:r w:rsidR="00B3261A">
        <w:rPr>
          <w:rFonts w:ascii="Times New Roman" w:hAnsi="Times New Roman" w:cs="Times New Roman"/>
          <w:sz w:val="24"/>
          <w:szCs w:val="24"/>
        </w:rPr>
        <w:t>Pirkėju</w:t>
      </w:r>
      <w:r w:rsidR="00435B9E">
        <w:rPr>
          <w:rFonts w:ascii="Times New Roman" w:hAnsi="Times New Roman" w:cs="Times New Roman"/>
          <w:sz w:val="24"/>
          <w:szCs w:val="24"/>
        </w:rPr>
        <w:t xml:space="preserve"> ir CPVA. Keičiant suplanuotus projekto rodiklius turi būti užtikrinta, kad dėl pakeitimų </w:t>
      </w:r>
      <w:r w:rsidR="00B3261A">
        <w:rPr>
          <w:rFonts w:ascii="Times New Roman" w:hAnsi="Times New Roman" w:cs="Times New Roman"/>
          <w:sz w:val="24"/>
          <w:szCs w:val="24"/>
        </w:rPr>
        <w:t>Pirkėjas</w:t>
      </w:r>
      <w:r w:rsidR="00435B9E">
        <w:rPr>
          <w:rFonts w:ascii="Times New Roman" w:hAnsi="Times New Roman" w:cs="Times New Roman"/>
          <w:sz w:val="24"/>
          <w:szCs w:val="24"/>
        </w:rPr>
        <w:t xml:space="preserve"> nepraras skirtų ES lėšų; </w:t>
      </w:r>
    </w:p>
    <w:p w14:paraId="4EDFF1C5" w14:textId="77777777" w:rsidR="007C1C7F" w:rsidRPr="007C1C7F" w:rsidRDefault="007C1C7F" w:rsidP="007C1C7F">
      <w:pPr>
        <w:pStyle w:val="ListParagraph"/>
        <w:tabs>
          <w:tab w:val="left" w:pos="1276"/>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3.1.15. Rekomendacijos ir siūlymai dėl projekto veiklų vykdymo problemų ir jų sprendimo būdų ir/ar priemonių; Rekomendacijos ir siūlymai teikiami telefonu, el. paštu, nuotolinių konsultacijų metu; kliento pageidavimu atvykstant į projekto vykdymo vietą;</w:t>
      </w:r>
    </w:p>
    <w:p w14:paraId="004AECB6" w14:textId="77777777" w:rsidR="007C1C7F" w:rsidRPr="007C1C7F" w:rsidRDefault="007C1C7F" w:rsidP="007C1C7F">
      <w:pPr>
        <w:pStyle w:val="ListParagraph"/>
        <w:tabs>
          <w:tab w:val="left" w:pos="1276"/>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3.1.16. Atsakymų parengimas į su projekto vykdymo priežiūra ir/ar kontrole susijusių institucijų klausimus ar pastebėjimus, konsultacijų teikimas; konsultacijos teikiamos telefonu, el. paštu, nuotolinėmis priemonėmis, kliento pageidavimu atvykstant į projekto vykdymo vietą;</w:t>
      </w:r>
    </w:p>
    <w:p w14:paraId="5567A2EF" w14:textId="3506766C" w:rsidR="007C1C7F" w:rsidRPr="007C1C7F" w:rsidRDefault="007C1C7F" w:rsidP="007C1C7F">
      <w:pPr>
        <w:pStyle w:val="ListParagraph"/>
        <w:tabs>
          <w:tab w:val="left" w:pos="1276"/>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 xml:space="preserve">3.1.17. Esant poreikiui susitikimų su agentūra ir kitomis su projektu susijusiomis institucijomis organizavimas ir/ar iniciavimas bei dalyvavimasi ir kita pagalba juose – probleminių klausimų identifikavimas, pristatymas susitikimų metu, pasiūlymų ir/ ar rekomendacijų teikimas; </w:t>
      </w:r>
      <w:r w:rsidR="00435B9E">
        <w:rPr>
          <w:rFonts w:ascii="Times New Roman" w:hAnsi="Times New Roman" w:cs="Times New Roman"/>
          <w:sz w:val="24"/>
          <w:szCs w:val="24"/>
        </w:rPr>
        <w:t>Siūlymai ir rekomandcijos teikiamos telefonu, el. paštu, nuotolinių konsultacijų metu taip pat</w:t>
      </w:r>
      <w:r w:rsidR="00B3261A">
        <w:rPr>
          <w:rFonts w:ascii="Times New Roman" w:hAnsi="Times New Roman" w:cs="Times New Roman"/>
          <w:sz w:val="24"/>
          <w:szCs w:val="24"/>
        </w:rPr>
        <w:t xml:space="preserve"> Pirkėjo</w:t>
      </w:r>
      <w:r w:rsidR="00435B9E">
        <w:rPr>
          <w:rFonts w:ascii="Times New Roman" w:hAnsi="Times New Roman" w:cs="Times New Roman"/>
          <w:sz w:val="24"/>
          <w:szCs w:val="24"/>
        </w:rPr>
        <w:t xml:space="preserve"> pageidavimu atvyskstant į projekto vykdymo vietą;</w:t>
      </w:r>
    </w:p>
    <w:p w14:paraId="03E29A19" w14:textId="2C1CB662" w:rsidR="007C1C7F" w:rsidRPr="007C1C7F" w:rsidRDefault="007C1C7F" w:rsidP="007C1C7F">
      <w:pPr>
        <w:pStyle w:val="ListParagraph"/>
        <w:tabs>
          <w:tab w:val="left" w:pos="1276"/>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 xml:space="preserve">3.1.18.  Nepriklausomų konsultacijų teikimas </w:t>
      </w:r>
      <w:r w:rsidR="00B3261A">
        <w:rPr>
          <w:rFonts w:ascii="Times New Roman" w:hAnsi="Times New Roman" w:cs="Times New Roman"/>
          <w:sz w:val="24"/>
          <w:szCs w:val="24"/>
        </w:rPr>
        <w:t>Pirkėjui</w:t>
      </w:r>
      <w:r w:rsidR="00435B9E">
        <w:rPr>
          <w:rFonts w:ascii="Times New Roman" w:hAnsi="Times New Roman" w:cs="Times New Roman"/>
          <w:sz w:val="24"/>
          <w:szCs w:val="24"/>
        </w:rPr>
        <w:t xml:space="preserve"> dėl </w:t>
      </w:r>
      <w:r w:rsidRPr="007C1C7F">
        <w:rPr>
          <w:rFonts w:ascii="Times New Roman" w:hAnsi="Times New Roman" w:cs="Times New Roman"/>
          <w:sz w:val="24"/>
          <w:szCs w:val="24"/>
        </w:rPr>
        <w:t xml:space="preserve"> ginčų, kylančių tarp </w:t>
      </w:r>
      <w:r w:rsidR="00B3261A">
        <w:rPr>
          <w:rFonts w:ascii="Times New Roman" w:hAnsi="Times New Roman" w:cs="Times New Roman"/>
          <w:sz w:val="24"/>
          <w:szCs w:val="24"/>
        </w:rPr>
        <w:t>Pirkėjo</w:t>
      </w:r>
      <w:r w:rsidRPr="007C1C7F">
        <w:rPr>
          <w:rFonts w:ascii="Times New Roman" w:hAnsi="Times New Roman" w:cs="Times New Roman"/>
          <w:sz w:val="24"/>
          <w:szCs w:val="24"/>
        </w:rPr>
        <w:t>, iš vienos pusės, ir rangovų ir/arba tiekėjų, iš kitos pusės; konsultacijos teikiamos žodžiu ir/ar raštu (el. paštu, telefonu, nuotolin</w:t>
      </w:r>
      <w:r w:rsidR="00435B9E">
        <w:rPr>
          <w:rFonts w:ascii="Times New Roman" w:hAnsi="Times New Roman" w:cs="Times New Roman"/>
          <w:sz w:val="24"/>
          <w:szCs w:val="24"/>
        </w:rPr>
        <w:t>ių konsultacijų būdu</w:t>
      </w:r>
      <w:r w:rsidRPr="007C1C7F">
        <w:rPr>
          <w:rFonts w:ascii="Times New Roman" w:hAnsi="Times New Roman" w:cs="Times New Roman"/>
          <w:sz w:val="24"/>
          <w:szCs w:val="24"/>
        </w:rPr>
        <w:t>);</w:t>
      </w:r>
      <w:r w:rsidR="00435B9E">
        <w:rPr>
          <w:rFonts w:ascii="Times New Roman" w:hAnsi="Times New Roman" w:cs="Times New Roman"/>
          <w:sz w:val="24"/>
          <w:szCs w:val="24"/>
        </w:rPr>
        <w:t xml:space="preserve"> </w:t>
      </w:r>
      <w:r w:rsidR="00B3261A">
        <w:rPr>
          <w:rFonts w:ascii="Times New Roman" w:hAnsi="Times New Roman" w:cs="Times New Roman"/>
          <w:sz w:val="24"/>
          <w:szCs w:val="24"/>
        </w:rPr>
        <w:t>Pirkėjo</w:t>
      </w:r>
      <w:r w:rsidR="00435B9E">
        <w:rPr>
          <w:rFonts w:ascii="Times New Roman" w:hAnsi="Times New Roman" w:cs="Times New Roman"/>
          <w:sz w:val="24"/>
          <w:szCs w:val="24"/>
        </w:rPr>
        <w:t xml:space="preserve"> pageidavimu atvykstant į projekto vykdymo vietą;</w:t>
      </w:r>
    </w:p>
    <w:p w14:paraId="273E68D5" w14:textId="77777777" w:rsidR="007C1C7F" w:rsidRPr="007C1C7F" w:rsidRDefault="007C1C7F" w:rsidP="007C1C7F">
      <w:pPr>
        <w:pStyle w:val="ListParagraph"/>
        <w:tabs>
          <w:tab w:val="left" w:pos="1276"/>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3.1.19.  Pagalba kreipiantis į institucijas dėl informacijos/išaiškinimo pateikimo, t. y. kreipimosi formos (el. laiškas ir/ar rašto/paklausimo/išaiškinimo) parengimas;</w:t>
      </w:r>
    </w:p>
    <w:p w14:paraId="20486C40" w14:textId="21244CBF" w:rsidR="007C1C7F" w:rsidRPr="007C1C7F" w:rsidRDefault="007C1C7F" w:rsidP="007C1C7F">
      <w:pPr>
        <w:pStyle w:val="ListParagraph"/>
        <w:tabs>
          <w:tab w:val="left" w:pos="1276"/>
        </w:tabs>
        <w:ind w:left="0" w:firstLine="851"/>
        <w:jc w:val="both"/>
        <w:rPr>
          <w:rFonts w:ascii="Times New Roman" w:hAnsi="Times New Roman" w:cs="Times New Roman"/>
          <w:sz w:val="24"/>
          <w:szCs w:val="24"/>
        </w:rPr>
      </w:pPr>
      <w:r w:rsidRPr="007C1C7F">
        <w:rPr>
          <w:rFonts w:ascii="Times New Roman" w:hAnsi="Times New Roman" w:cs="Times New Roman"/>
          <w:sz w:val="24"/>
          <w:szCs w:val="24"/>
        </w:rPr>
        <w:t>3.1.20. Konsultacijos nustatytų pažeidimų tyrimų</w:t>
      </w:r>
      <w:r w:rsidR="00435B9E">
        <w:rPr>
          <w:rFonts w:ascii="Times New Roman" w:hAnsi="Times New Roman" w:cs="Times New Roman"/>
          <w:sz w:val="24"/>
          <w:szCs w:val="24"/>
        </w:rPr>
        <w:t xml:space="preserve"> (finansinių korekcijų)</w:t>
      </w:r>
      <w:r w:rsidRPr="007C1C7F">
        <w:rPr>
          <w:rFonts w:ascii="Times New Roman" w:hAnsi="Times New Roman" w:cs="Times New Roman"/>
          <w:sz w:val="24"/>
          <w:szCs w:val="24"/>
        </w:rPr>
        <w:t>/nustatytų pažeidimų atvejais, pažeidimų konstatavimo pagrįstumo vertinimas, esant poreikiui pagalba/konsultacijos skundžiant išvadas dėl pažeidimų konstatavimo; konsultacijų ir pasiūlymų teikimas telefonu, el. paštu, nuotolinėmis konsultacijomis; kliento pageidavimu atvykstant į projekto vykdymo vietą;</w:t>
      </w:r>
    </w:p>
    <w:p w14:paraId="156DA7EC" w14:textId="77777777" w:rsidR="007C1C7F" w:rsidRPr="007C1C7F" w:rsidRDefault="007C1C7F" w:rsidP="007C1C7F">
      <w:pPr>
        <w:pStyle w:val="ListParagraph"/>
        <w:ind w:left="0" w:firstLine="851"/>
        <w:jc w:val="both"/>
        <w:rPr>
          <w:rFonts w:ascii="Times New Roman" w:hAnsi="Times New Roman" w:cs="Times New Roman"/>
          <w:sz w:val="24"/>
          <w:szCs w:val="24"/>
        </w:rPr>
      </w:pPr>
      <w:r w:rsidRPr="007C1C7F">
        <w:rPr>
          <w:rFonts w:ascii="Times New Roman" w:hAnsi="Times New Roman" w:cs="Times New Roman"/>
          <w:sz w:val="24"/>
          <w:szCs w:val="24"/>
        </w:rPr>
        <w:t xml:space="preserve">3.1.21. Konsultacijos su rangos darbų vykdymu susijusiais techniniais bei sutarčių vykdymo/ atitikties sutartiniams reikalavimams klausimais, alternatyvų siūlymas; </w:t>
      </w:r>
    </w:p>
    <w:p w14:paraId="2ACFC5F4" w14:textId="774A3641" w:rsidR="007C1C7F" w:rsidRPr="007C1C7F" w:rsidRDefault="007C1C7F" w:rsidP="007C1C7F">
      <w:pPr>
        <w:pStyle w:val="ListParagraph"/>
        <w:ind w:left="0" w:firstLine="851"/>
        <w:jc w:val="both"/>
        <w:rPr>
          <w:rFonts w:ascii="Times New Roman" w:hAnsi="Times New Roman" w:cs="Times New Roman"/>
          <w:sz w:val="24"/>
          <w:szCs w:val="24"/>
        </w:rPr>
      </w:pPr>
      <w:r w:rsidRPr="007C1C7F">
        <w:rPr>
          <w:rFonts w:ascii="Times New Roman" w:hAnsi="Times New Roman" w:cs="Times New Roman"/>
          <w:sz w:val="24"/>
          <w:szCs w:val="24"/>
        </w:rPr>
        <w:t xml:space="preserve">3.1.22. Pagalba įvertinant, kad rangos sutarčių pakeitimų pasiūlymai būtų rengiami ir įforminami vadovaujantis rangos sutarties sąlygomis bei atitiktų </w:t>
      </w:r>
      <w:r w:rsidR="00435B9E">
        <w:rPr>
          <w:rFonts w:ascii="Times New Roman" w:hAnsi="Times New Roman" w:cs="Times New Roman"/>
          <w:sz w:val="24"/>
          <w:szCs w:val="24"/>
        </w:rPr>
        <w:t>I</w:t>
      </w:r>
      <w:r w:rsidRPr="007C1C7F">
        <w:rPr>
          <w:rFonts w:ascii="Times New Roman" w:hAnsi="Times New Roman" w:cs="Times New Roman"/>
          <w:sz w:val="24"/>
          <w:szCs w:val="24"/>
        </w:rPr>
        <w:t xml:space="preserve">šlaidų ir finansavimo reikalavimų atitikties taisykles. </w:t>
      </w:r>
      <w:r w:rsidR="00B3261A">
        <w:rPr>
          <w:rFonts w:ascii="Times New Roman" w:hAnsi="Times New Roman" w:cs="Times New Roman"/>
          <w:sz w:val="24"/>
          <w:szCs w:val="24"/>
        </w:rPr>
        <w:t>Pirkėjui</w:t>
      </w:r>
      <w:r w:rsidRPr="007C1C7F">
        <w:rPr>
          <w:rFonts w:ascii="Times New Roman" w:hAnsi="Times New Roman" w:cs="Times New Roman"/>
          <w:sz w:val="24"/>
          <w:szCs w:val="24"/>
        </w:rPr>
        <w:t xml:space="preserve"> gavus rangovų siūlymus pakeitimams (atsisakyti tam tikrų darbų ar įsigyti papildomų darbų), rekomenduoti </w:t>
      </w:r>
      <w:r w:rsidR="00B3261A">
        <w:rPr>
          <w:rFonts w:ascii="Times New Roman" w:hAnsi="Times New Roman" w:cs="Times New Roman"/>
          <w:sz w:val="24"/>
          <w:szCs w:val="24"/>
        </w:rPr>
        <w:t>Pirkėjui</w:t>
      </w:r>
      <w:r w:rsidRPr="007C1C7F">
        <w:rPr>
          <w:rFonts w:ascii="Times New Roman" w:hAnsi="Times New Roman" w:cs="Times New Roman"/>
          <w:sz w:val="24"/>
          <w:szCs w:val="24"/>
        </w:rPr>
        <w:t xml:space="preserve"> juos tvirtinti ar netvirtinti (tokiu atveju nurodant trūkumus) bei dalyvauti kartu su rangovais analizuojant tokius darbus ir apskaičiuojant jų vertę, esant poreikiui pagalba rengiant sutarčių pakeitimus; </w:t>
      </w:r>
    </w:p>
    <w:p w14:paraId="7FE9E479" w14:textId="77777777" w:rsidR="007C1C7F" w:rsidRPr="007C1C7F" w:rsidRDefault="007C1C7F" w:rsidP="007C1C7F">
      <w:pPr>
        <w:pStyle w:val="ListParagraph"/>
        <w:ind w:left="0" w:firstLine="851"/>
        <w:jc w:val="both"/>
        <w:rPr>
          <w:rFonts w:ascii="Times New Roman" w:hAnsi="Times New Roman" w:cs="Times New Roman"/>
          <w:sz w:val="24"/>
          <w:szCs w:val="24"/>
        </w:rPr>
      </w:pPr>
      <w:r w:rsidRPr="007C1C7F">
        <w:rPr>
          <w:rFonts w:ascii="Times New Roman" w:hAnsi="Times New Roman" w:cs="Times New Roman"/>
          <w:sz w:val="24"/>
          <w:szCs w:val="24"/>
        </w:rPr>
        <w:t>3.1.23. Prievolių įvykdymo užtikrinimo dokumentų tinkamumo/atitikties sutarčių reikalavimams įvertinimas;</w:t>
      </w:r>
    </w:p>
    <w:p w14:paraId="4AEEF70F" w14:textId="77777777" w:rsidR="007C1C7F" w:rsidRPr="007C1C7F" w:rsidRDefault="007C1C7F" w:rsidP="007C1C7F">
      <w:pPr>
        <w:pStyle w:val="ListParagraph"/>
        <w:ind w:left="0" w:firstLine="851"/>
        <w:jc w:val="both"/>
        <w:rPr>
          <w:rFonts w:ascii="Times New Roman" w:hAnsi="Times New Roman" w:cs="Times New Roman"/>
          <w:sz w:val="24"/>
          <w:szCs w:val="24"/>
        </w:rPr>
      </w:pPr>
      <w:r w:rsidRPr="007C1C7F">
        <w:rPr>
          <w:rFonts w:ascii="Times New Roman" w:hAnsi="Times New Roman" w:cs="Times New Roman"/>
          <w:sz w:val="24"/>
          <w:szCs w:val="24"/>
        </w:rPr>
        <w:lastRenderedPageBreak/>
        <w:t xml:space="preserve">3.1.24. Konsultacijos projekto įgyvendinimo metu dėl projekto buhalterinės apskaitos vedimo, atskyrimo nuo organizacijos buhalterinės apskaitos, netinkamų projektų išlaidų nedeklaravimo mokėjimo prašymuose ir kt.; </w:t>
      </w:r>
    </w:p>
    <w:p w14:paraId="394E2411" w14:textId="4C88D317" w:rsidR="00BD174B" w:rsidRDefault="007C1C7F" w:rsidP="007C1C7F">
      <w:pPr>
        <w:pStyle w:val="ListParagraph"/>
        <w:ind w:left="0" w:firstLine="851"/>
        <w:jc w:val="both"/>
        <w:rPr>
          <w:rFonts w:ascii="Times New Roman" w:hAnsi="Times New Roman" w:cs="Times New Roman"/>
          <w:sz w:val="24"/>
          <w:szCs w:val="24"/>
        </w:rPr>
      </w:pPr>
      <w:r w:rsidRPr="007C1C7F">
        <w:rPr>
          <w:rFonts w:ascii="Times New Roman" w:hAnsi="Times New Roman" w:cs="Times New Roman"/>
          <w:sz w:val="24"/>
          <w:szCs w:val="24"/>
        </w:rPr>
        <w:t>3.1.25. Grynųjų pajamų skaičiavimas, suderinimas su agentūra; esant poreikiui tikslinimas ir/ar perskaičiavimas;</w:t>
      </w:r>
    </w:p>
    <w:p w14:paraId="773EA93B" w14:textId="0E241556" w:rsidR="00050770" w:rsidRPr="00E202E7" w:rsidRDefault="00435B9E" w:rsidP="00050770">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3.1.26. </w:t>
      </w:r>
      <w:r w:rsidR="00050770" w:rsidRPr="00E202E7">
        <w:rPr>
          <w:rFonts w:ascii="Times New Roman" w:hAnsi="Times New Roman" w:cs="Times New Roman"/>
          <w:sz w:val="24"/>
          <w:szCs w:val="24"/>
        </w:rPr>
        <w:t xml:space="preserve">Paslaugų teikėjas turi įvertinti, ar patirtos išlaidos yra būtinos projektui įgyvendinti, t.y. jomis turi būti prisidedam prie projekto tikslų ir rezultatų pasiekimo, jos turi atitikti patikimo finansų valdymo principą ir turi būti numatytos projekto sutartyje, t.y. informuoti </w:t>
      </w:r>
      <w:r w:rsidR="00B3261A">
        <w:rPr>
          <w:rFonts w:ascii="Times New Roman" w:hAnsi="Times New Roman" w:cs="Times New Roman"/>
          <w:sz w:val="24"/>
          <w:szCs w:val="24"/>
        </w:rPr>
        <w:t>Pirkėją</w:t>
      </w:r>
      <w:r w:rsidR="00050770" w:rsidRPr="00E202E7">
        <w:rPr>
          <w:rFonts w:ascii="Times New Roman" w:hAnsi="Times New Roman" w:cs="Times New Roman"/>
          <w:sz w:val="24"/>
          <w:szCs w:val="24"/>
        </w:rPr>
        <w:t xml:space="preserve"> apie bendruosius ir specialiuosius išlaidų tinkamumo reikalavimus ir nuolat sekti, kad visos projekto išlaidų šiuos reikalavimus atitik</w:t>
      </w:r>
      <w:r w:rsidR="00050770">
        <w:rPr>
          <w:rFonts w:ascii="Times New Roman" w:hAnsi="Times New Roman" w:cs="Times New Roman"/>
          <w:sz w:val="24"/>
          <w:szCs w:val="24"/>
        </w:rPr>
        <w:t>tų</w:t>
      </w:r>
      <w:r w:rsidR="00050770" w:rsidRPr="00E202E7">
        <w:rPr>
          <w:rFonts w:ascii="Times New Roman" w:hAnsi="Times New Roman" w:cs="Times New Roman"/>
          <w:sz w:val="24"/>
          <w:szCs w:val="24"/>
        </w:rPr>
        <w:t>;</w:t>
      </w:r>
    </w:p>
    <w:p w14:paraId="39EF42A2" w14:textId="010EE637" w:rsidR="00050770" w:rsidRPr="00BB61C3" w:rsidRDefault="00050770" w:rsidP="00050770">
      <w:pPr>
        <w:pStyle w:val="ListParagraph"/>
        <w:tabs>
          <w:tab w:val="left" w:pos="1560"/>
          <w:tab w:val="left" w:pos="1843"/>
          <w:tab w:val="left" w:pos="1985"/>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3.1.27. </w:t>
      </w:r>
      <w:r w:rsidRPr="00BB61C3">
        <w:rPr>
          <w:rFonts w:ascii="Times New Roman" w:hAnsi="Times New Roman" w:cs="Times New Roman"/>
          <w:sz w:val="24"/>
          <w:szCs w:val="24"/>
        </w:rPr>
        <w:t>Prieš deklaruojant patirtas išlaidas</w:t>
      </w:r>
      <w:r>
        <w:rPr>
          <w:rFonts w:ascii="Times New Roman" w:hAnsi="Times New Roman" w:cs="Times New Roman"/>
          <w:sz w:val="24"/>
          <w:szCs w:val="24"/>
        </w:rPr>
        <w:t xml:space="preserve"> CPVA</w:t>
      </w:r>
      <w:r w:rsidRPr="00BB61C3">
        <w:rPr>
          <w:rFonts w:ascii="Times New Roman" w:hAnsi="Times New Roman" w:cs="Times New Roman"/>
          <w:sz w:val="24"/>
          <w:szCs w:val="24"/>
        </w:rPr>
        <w:t xml:space="preserve"> tiekėjas turi peržiūrėti išlaidų pagrindimo dokumentus (rangovų, paslaugų teikėjų ar prekių tiekėjų pateiktas sąskaitas faktūras, perdavimo aktus, ir (ar) kitus dokumentus, kuriais pagrindžiamos patirtos išlaidos, ir banko arba kitos kredito įstaigos sąskaitos išrašus, kasos pajamų ir išlaidų orderius ir (ar) kitus dokumentus, kuriais įrodoma, kad buvo atliktas mokėjimas, ar jiems lygiaverčius įrodomuosius dokumentus,  kuriais patvirtinamas ūkinės operacijos arba ūkinio įvykio tapatumas ir įsitikinti kad išlaidų pagrindimo dokumentai atitinka bendruosius bei specialiuosius išlaidų tinkamumo reikalavimus;  </w:t>
      </w:r>
    </w:p>
    <w:p w14:paraId="2ADC009E" w14:textId="7EBF1B61" w:rsidR="00050770" w:rsidRDefault="00050770" w:rsidP="00050770">
      <w:pPr>
        <w:pStyle w:val="ListParagraph"/>
        <w:numPr>
          <w:ilvl w:val="2"/>
          <w:numId w:val="9"/>
        </w:numPr>
        <w:tabs>
          <w:tab w:val="left" w:pos="1560"/>
          <w:tab w:val="left" w:pos="1843"/>
          <w:tab w:val="left" w:pos="1985"/>
        </w:tabs>
        <w:ind w:left="0" w:firstLine="851"/>
        <w:jc w:val="both"/>
        <w:rPr>
          <w:rFonts w:ascii="Times New Roman" w:hAnsi="Times New Roman" w:cs="Times New Roman"/>
          <w:sz w:val="24"/>
          <w:szCs w:val="24"/>
        </w:rPr>
      </w:pPr>
      <w:r w:rsidRPr="00BB61C3">
        <w:rPr>
          <w:rFonts w:ascii="Times New Roman" w:hAnsi="Times New Roman" w:cs="Times New Roman"/>
          <w:sz w:val="24"/>
          <w:szCs w:val="24"/>
        </w:rPr>
        <w:t xml:space="preserve">Laiku ir tinkamai informuoti </w:t>
      </w:r>
      <w:r w:rsidR="00B3261A">
        <w:rPr>
          <w:rFonts w:ascii="Times New Roman" w:hAnsi="Times New Roman" w:cs="Times New Roman"/>
          <w:sz w:val="24"/>
          <w:szCs w:val="24"/>
        </w:rPr>
        <w:t>Pirkėją</w:t>
      </w:r>
      <w:r w:rsidRPr="00BB61C3">
        <w:rPr>
          <w:rFonts w:ascii="Times New Roman" w:hAnsi="Times New Roman" w:cs="Times New Roman"/>
          <w:sz w:val="24"/>
          <w:szCs w:val="24"/>
        </w:rPr>
        <w:t xml:space="preserve"> ir CPVA apie įvykusius arba numatomus projekto planuoto įgyvendinimo nukrypimus, dėl kurių keičiasi projekto apimtis, projekto veiklos, pratęsiamas projekto įgyvendinimo laikotarpis ar kitaip keičiasi projektas ar projekto sutartyje nustatyti projekto vykdytojo įsipareigojimai</w:t>
      </w:r>
      <w:r>
        <w:rPr>
          <w:rFonts w:ascii="Times New Roman" w:hAnsi="Times New Roman" w:cs="Times New Roman"/>
          <w:sz w:val="24"/>
          <w:szCs w:val="24"/>
        </w:rPr>
        <w:t>; esant poreikiui parengti reikiamus dokumentus dėl planuojamų pakeitimų;</w:t>
      </w:r>
    </w:p>
    <w:p w14:paraId="551076FA" w14:textId="656999DD" w:rsidR="00050770" w:rsidRDefault="00050770" w:rsidP="00050770">
      <w:pPr>
        <w:pStyle w:val="ListParagraph"/>
        <w:numPr>
          <w:ilvl w:val="2"/>
          <w:numId w:val="9"/>
        </w:numPr>
        <w:tabs>
          <w:tab w:val="left" w:pos="1560"/>
          <w:tab w:val="left" w:pos="1843"/>
          <w:tab w:val="left" w:pos="1985"/>
        </w:tabs>
        <w:ind w:left="0" w:firstLine="851"/>
        <w:jc w:val="both"/>
        <w:rPr>
          <w:rFonts w:ascii="Times New Roman" w:hAnsi="Times New Roman" w:cs="Times New Roman"/>
          <w:sz w:val="24"/>
          <w:szCs w:val="24"/>
        </w:rPr>
      </w:pPr>
      <w:r>
        <w:rPr>
          <w:rFonts w:ascii="Times New Roman" w:hAnsi="Times New Roman" w:cs="Times New Roman"/>
          <w:sz w:val="24"/>
          <w:szCs w:val="24"/>
        </w:rPr>
        <w:t>Esant galimybei arba esant poreikiui parengti reikiamus dokumentus dėl papildomo finansavimo skyrimo projektui (įskaitant ir investicijų projekto korekciją, jei būtina);</w:t>
      </w:r>
    </w:p>
    <w:p w14:paraId="73B13CE5" w14:textId="19D9240F" w:rsidR="00050770" w:rsidRPr="00E21F71" w:rsidRDefault="00050770" w:rsidP="00050770">
      <w:pPr>
        <w:pStyle w:val="ListParagraph"/>
        <w:numPr>
          <w:ilvl w:val="2"/>
          <w:numId w:val="9"/>
        </w:numPr>
        <w:tabs>
          <w:tab w:val="left" w:pos="1560"/>
          <w:tab w:val="left" w:pos="1843"/>
          <w:tab w:val="left" w:pos="1985"/>
        </w:tabs>
        <w:ind w:left="0" w:firstLine="851"/>
        <w:jc w:val="both"/>
        <w:rPr>
          <w:rFonts w:ascii="Times New Roman" w:hAnsi="Times New Roman" w:cs="Times New Roman"/>
          <w:sz w:val="24"/>
          <w:szCs w:val="24"/>
        </w:rPr>
      </w:pPr>
      <w:r w:rsidRPr="00E21F71">
        <w:rPr>
          <w:rFonts w:ascii="Times New Roman" w:hAnsi="Times New Roman" w:cs="Times New Roman"/>
          <w:sz w:val="24"/>
          <w:szCs w:val="24"/>
        </w:rPr>
        <w:t xml:space="preserve">Ne rečiau nei kas 70 d. teikti veiklos ataskaitas (jei nebus nustatyta kitaip), kartu su veiklos ataskaita prašyti išmokėti avansą (jeigu toks poreikis bus) arba prašyti apmokėti patirtas išlaidas. </w:t>
      </w:r>
    </w:p>
    <w:p w14:paraId="717A027E" w14:textId="4FBA87A1" w:rsidR="00050770" w:rsidRPr="00E21F71" w:rsidRDefault="00050770" w:rsidP="00050770">
      <w:pPr>
        <w:pStyle w:val="ListParagraph"/>
        <w:numPr>
          <w:ilvl w:val="2"/>
          <w:numId w:val="9"/>
        </w:numPr>
        <w:tabs>
          <w:tab w:val="left" w:pos="1560"/>
          <w:tab w:val="left" w:pos="1843"/>
          <w:tab w:val="left" w:pos="1985"/>
        </w:tabs>
        <w:ind w:left="0" w:firstLine="851"/>
        <w:jc w:val="both"/>
        <w:rPr>
          <w:rFonts w:ascii="Times New Roman" w:hAnsi="Times New Roman" w:cs="Times New Roman"/>
          <w:sz w:val="24"/>
          <w:szCs w:val="24"/>
        </w:rPr>
      </w:pPr>
      <w:r w:rsidRPr="00E21F71">
        <w:rPr>
          <w:rFonts w:ascii="Times New Roman" w:hAnsi="Times New Roman" w:cs="Times New Roman"/>
          <w:sz w:val="24"/>
          <w:szCs w:val="24"/>
        </w:rPr>
        <w:t>Įvykdžius visas projekto veiklas iki projekto sutartyje nurodyto termino, tiekėjas parengia ir CPVA teikia nustatytos formos veiklos ataskaitą su užpildyta galutinės projekto įgyvendinimo informacijos dalimi.</w:t>
      </w:r>
    </w:p>
    <w:p w14:paraId="70BE8BCA" w14:textId="2AD3909B" w:rsidR="00050770" w:rsidRDefault="00050770" w:rsidP="00050770">
      <w:pPr>
        <w:jc w:val="both"/>
        <w:rPr>
          <w:rFonts w:ascii="Times New Roman" w:hAnsi="Times New Roman" w:cs="Times New Roman"/>
          <w:sz w:val="24"/>
          <w:szCs w:val="24"/>
        </w:rPr>
      </w:pPr>
    </w:p>
    <w:p w14:paraId="4B8679C7" w14:textId="7AE00FAC" w:rsidR="00050770" w:rsidRDefault="00050770" w:rsidP="00050770">
      <w:pPr>
        <w:pStyle w:val="ListParagraph"/>
        <w:numPr>
          <w:ilvl w:val="1"/>
          <w:numId w:val="9"/>
        </w:numPr>
        <w:jc w:val="both"/>
        <w:rPr>
          <w:rFonts w:ascii="Times New Roman" w:hAnsi="Times New Roman" w:cs="Times New Roman"/>
          <w:b/>
          <w:bCs/>
          <w:i/>
          <w:iCs/>
          <w:sz w:val="24"/>
          <w:szCs w:val="24"/>
        </w:rPr>
      </w:pPr>
      <w:r w:rsidRPr="00050770">
        <w:rPr>
          <w:rFonts w:ascii="Times New Roman" w:hAnsi="Times New Roman" w:cs="Times New Roman"/>
          <w:b/>
          <w:bCs/>
          <w:i/>
          <w:iCs/>
          <w:sz w:val="24"/>
          <w:szCs w:val="24"/>
        </w:rPr>
        <w:t>Projekto veiklų monitoringas:</w:t>
      </w:r>
    </w:p>
    <w:p w14:paraId="67015BA1" w14:textId="77777777" w:rsidR="00B97EFC" w:rsidRDefault="00B97EFC" w:rsidP="00B97EFC">
      <w:pPr>
        <w:ind w:firstLine="720"/>
        <w:jc w:val="both"/>
        <w:rPr>
          <w:rFonts w:ascii="Times New Roman" w:hAnsi="Times New Roman" w:cs="Times New Roman"/>
          <w:sz w:val="24"/>
          <w:szCs w:val="24"/>
        </w:rPr>
      </w:pPr>
      <w:r>
        <w:rPr>
          <w:rFonts w:ascii="Times New Roman" w:hAnsi="Times New Roman" w:cs="Times New Roman"/>
          <w:sz w:val="24"/>
          <w:szCs w:val="24"/>
        </w:rPr>
        <w:t>3.2.1. T</w:t>
      </w:r>
      <w:r w:rsidRPr="00B97EFC">
        <w:rPr>
          <w:rFonts w:ascii="Times New Roman" w:hAnsi="Times New Roman" w:cs="Times New Roman"/>
          <w:sz w:val="24"/>
          <w:szCs w:val="24"/>
        </w:rPr>
        <w:t>iekėjas turi sukurti priemonę (įrankį), skirtą projekto veiklų monitoringui. Įrankis turi užtikrinti efektyvų projekto srautų administravimą, stebėseną ir priežiūrą, padėti valdyti rizikas bei užtikrinti Finansavimo sutarties ir atskirų rangos bei paslaugų sutarčių vykdymo kontrolę.</w:t>
      </w:r>
    </w:p>
    <w:p w14:paraId="2CE0411B" w14:textId="30D01EAA" w:rsidR="00B97EFC" w:rsidRPr="00B97EFC" w:rsidRDefault="00B97EFC" w:rsidP="00B97EFC">
      <w:pPr>
        <w:ind w:firstLine="720"/>
        <w:jc w:val="both"/>
        <w:rPr>
          <w:rFonts w:ascii="Times New Roman" w:hAnsi="Times New Roman" w:cs="Times New Roman"/>
          <w:sz w:val="24"/>
          <w:szCs w:val="24"/>
        </w:rPr>
      </w:pPr>
      <w:r>
        <w:rPr>
          <w:rFonts w:ascii="Times New Roman" w:hAnsi="Times New Roman" w:cs="Times New Roman"/>
          <w:sz w:val="24"/>
          <w:szCs w:val="24"/>
        </w:rPr>
        <w:t xml:space="preserve">3.2.2. </w:t>
      </w:r>
      <w:r w:rsidRPr="00B97EFC">
        <w:rPr>
          <w:rFonts w:ascii="Times New Roman" w:hAnsi="Times New Roman" w:cs="Times New Roman"/>
          <w:sz w:val="24"/>
          <w:szCs w:val="24"/>
        </w:rPr>
        <w:t>Monitoringo priemonės</w:t>
      </w:r>
      <w:r w:rsidR="009C511D">
        <w:rPr>
          <w:rFonts w:ascii="Times New Roman" w:hAnsi="Times New Roman" w:cs="Times New Roman"/>
          <w:sz w:val="24"/>
          <w:szCs w:val="24"/>
        </w:rPr>
        <w:t xml:space="preserve"> (įrankio)</w:t>
      </w:r>
      <w:r w:rsidRPr="00B97EFC">
        <w:rPr>
          <w:rFonts w:ascii="Times New Roman" w:hAnsi="Times New Roman" w:cs="Times New Roman"/>
          <w:sz w:val="24"/>
          <w:szCs w:val="24"/>
        </w:rPr>
        <w:t xml:space="preserve"> funkcionalumas:</w:t>
      </w:r>
    </w:p>
    <w:p w14:paraId="322E7862" w14:textId="77777777" w:rsidR="00B97EFC" w:rsidRPr="00B97EFC" w:rsidRDefault="00B97EFC" w:rsidP="00B97EFC">
      <w:pPr>
        <w:pStyle w:val="ListParagraph"/>
        <w:numPr>
          <w:ilvl w:val="0"/>
          <w:numId w:val="10"/>
        </w:numPr>
        <w:jc w:val="both"/>
        <w:rPr>
          <w:rFonts w:ascii="Times New Roman" w:hAnsi="Times New Roman" w:cs="Times New Roman"/>
          <w:sz w:val="24"/>
          <w:szCs w:val="24"/>
        </w:rPr>
      </w:pPr>
      <w:r w:rsidRPr="00B97EFC">
        <w:rPr>
          <w:rFonts w:ascii="Times New Roman" w:hAnsi="Times New Roman" w:cs="Times New Roman"/>
          <w:sz w:val="24"/>
          <w:szCs w:val="24"/>
        </w:rPr>
        <w:t>galimybė administruoti projekto ir sutarčių apskaitą, skaidant pagal veiklas;</w:t>
      </w:r>
    </w:p>
    <w:p w14:paraId="3BCD1DB2" w14:textId="77777777" w:rsidR="00B97EFC" w:rsidRPr="00B97EFC" w:rsidRDefault="00B97EFC" w:rsidP="00B97EFC">
      <w:pPr>
        <w:pStyle w:val="ListParagraph"/>
        <w:numPr>
          <w:ilvl w:val="0"/>
          <w:numId w:val="10"/>
        </w:numPr>
        <w:jc w:val="both"/>
        <w:rPr>
          <w:rFonts w:ascii="Times New Roman" w:hAnsi="Times New Roman" w:cs="Times New Roman"/>
          <w:sz w:val="24"/>
          <w:szCs w:val="24"/>
        </w:rPr>
      </w:pPr>
      <w:r w:rsidRPr="00B97EFC">
        <w:rPr>
          <w:rFonts w:ascii="Times New Roman" w:hAnsi="Times New Roman" w:cs="Times New Roman"/>
          <w:sz w:val="24"/>
          <w:szCs w:val="24"/>
        </w:rPr>
        <w:t>avansų panaudojimo ir likučių kontrolė;</w:t>
      </w:r>
    </w:p>
    <w:p w14:paraId="46F90430" w14:textId="77777777" w:rsidR="00B97EFC" w:rsidRPr="00B97EFC" w:rsidRDefault="00B97EFC" w:rsidP="00B97EFC">
      <w:pPr>
        <w:pStyle w:val="ListParagraph"/>
        <w:numPr>
          <w:ilvl w:val="0"/>
          <w:numId w:val="10"/>
        </w:numPr>
        <w:jc w:val="both"/>
        <w:rPr>
          <w:rFonts w:ascii="Times New Roman" w:hAnsi="Times New Roman" w:cs="Times New Roman"/>
          <w:sz w:val="24"/>
          <w:szCs w:val="24"/>
        </w:rPr>
      </w:pPr>
      <w:r w:rsidRPr="00B97EFC">
        <w:rPr>
          <w:rFonts w:ascii="Times New Roman" w:hAnsi="Times New Roman" w:cs="Times New Roman"/>
          <w:sz w:val="24"/>
          <w:szCs w:val="24"/>
        </w:rPr>
        <w:t>finansavimo įsisavinimo stebėsena;</w:t>
      </w:r>
    </w:p>
    <w:p w14:paraId="5A228D10" w14:textId="2B374918" w:rsidR="00B97EFC" w:rsidRPr="00B97EFC" w:rsidRDefault="00B97EFC" w:rsidP="00B97EFC">
      <w:pPr>
        <w:pStyle w:val="ListParagraph"/>
        <w:numPr>
          <w:ilvl w:val="0"/>
          <w:numId w:val="10"/>
        </w:numPr>
        <w:jc w:val="both"/>
        <w:rPr>
          <w:rFonts w:ascii="Times New Roman" w:hAnsi="Times New Roman" w:cs="Times New Roman"/>
          <w:sz w:val="24"/>
          <w:szCs w:val="24"/>
        </w:rPr>
      </w:pPr>
      <w:r w:rsidRPr="00B97EFC">
        <w:rPr>
          <w:rFonts w:ascii="Times New Roman" w:hAnsi="Times New Roman" w:cs="Times New Roman"/>
          <w:sz w:val="24"/>
          <w:szCs w:val="24"/>
        </w:rPr>
        <w:t>projekto avans</w:t>
      </w:r>
      <w:r w:rsidR="00767708">
        <w:rPr>
          <w:rFonts w:ascii="Times New Roman" w:hAnsi="Times New Roman" w:cs="Times New Roman"/>
          <w:sz w:val="24"/>
          <w:szCs w:val="24"/>
        </w:rPr>
        <w:t>o</w:t>
      </w:r>
      <w:r w:rsidRPr="00B97EFC">
        <w:rPr>
          <w:rFonts w:ascii="Times New Roman" w:hAnsi="Times New Roman" w:cs="Times New Roman"/>
          <w:sz w:val="24"/>
          <w:szCs w:val="24"/>
        </w:rPr>
        <w:t xml:space="preserve"> apskaita;</w:t>
      </w:r>
    </w:p>
    <w:p w14:paraId="7A8A80AA" w14:textId="77777777" w:rsidR="00B97EFC" w:rsidRPr="00B97EFC" w:rsidRDefault="00B97EFC" w:rsidP="00B97EFC">
      <w:pPr>
        <w:pStyle w:val="ListParagraph"/>
        <w:numPr>
          <w:ilvl w:val="0"/>
          <w:numId w:val="10"/>
        </w:numPr>
        <w:jc w:val="both"/>
        <w:rPr>
          <w:rFonts w:ascii="Times New Roman" w:hAnsi="Times New Roman" w:cs="Times New Roman"/>
          <w:sz w:val="24"/>
          <w:szCs w:val="24"/>
        </w:rPr>
      </w:pPr>
      <w:r w:rsidRPr="00B97EFC">
        <w:rPr>
          <w:rFonts w:ascii="Times New Roman" w:hAnsi="Times New Roman" w:cs="Times New Roman"/>
          <w:sz w:val="24"/>
          <w:szCs w:val="24"/>
        </w:rPr>
        <w:t>finansinių srautų sekimas ir kontrolė vienoje formoje;</w:t>
      </w:r>
    </w:p>
    <w:p w14:paraId="267B388F" w14:textId="1864F14F" w:rsidR="00767708" w:rsidRPr="00767708" w:rsidRDefault="00B97EFC" w:rsidP="00767708">
      <w:pPr>
        <w:pStyle w:val="ListParagraph"/>
        <w:numPr>
          <w:ilvl w:val="0"/>
          <w:numId w:val="10"/>
        </w:numPr>
        <w:jc w:val="both"/>
        <w:rPr>
          <w:rFonts w:ascii="Times New Roman" w:hAnsi="Times New Roman" w:cs="Times New Roman"/>
          <w:sz w:val="24"/>
          <w:szCs w:val="24"/>
        </w:rPr>
      </w:pPr>
      <w:r w:rsidRPr="00B97EFC">
        <w:rPr>
          <w:rFonts w:ascii="Times New Roman" w:hAnsi="Times New Roman" w:cs="Times New Roman"/>
          <w:sz w:val="24"/>
          <w:szCs w:val="24"/>
        </w:rPr>
        <w:t>aiškus informacijos atvaizdavimas (lentelės, grafikai, rodikliai).</w:t>
      </w:r>
    </w:p>
    <w:p w14:paraId="3F2FBD65" w14:textId="7704FFBD" w:rsidR="00050770" w:rsidRPr="003B6537" w:rsidRDefault="00B97EFC" w:rsidP="003B6537">
      <w:pPr>
        <w:ind w:firstLine="720"/>
        <w:jc w:val="both"/>
        <w:rPr>
          <w:rFonts w:ascii="Times New Roman" w:hAnsi="Times New Roman" w:cs="Times New Roman"/>
          <w:sz w:val="24"/>
          <w:szCs w:val="24"/>
        </w:rPr>
      </w:pPr>
      <w:r w:rsidRPr="00767708">
        <w:rPr>
          <w:rFonts w:ascii="Times New Roman" w:hAnsi="Times New Roman" w:cs="Times New Roman"/>
          <w:sz w:val="24"/>
          <w:szCs w:val="24"/>
        </w:rPr>
        <w:t>3.2.</w:t>
      </w:r>
      <w:r w:rsidR="00767708" w:rsidRPr="00767708">
        <w:rPr>
          <w:rFonts w:ascii="Times New Roman" w:hAnsi="Times New Roman" w:cs="Times New Roman"/>
          <w:sz w:val="24"/>
          <w:szCs w:val="24"/>
        </w:rPr>
        <w:t>3</w:t>
      </w:r>
      <w:r w:rsidRPr="00767708">
        <w:rPr>
          <w:rFonts w:ascii="Times New Roman" w:hAnsi="Times New Roman" w:cs="Times New Roman"/>
          <w:sz w:val="24"/>
          <w:szCs w:val="24"/>
        </w:rPr>
        <w:t>. Duomenys turi būti kaupiami „Excel“ formatu, užtikrinant galimybę lengvai generuoti suvestines ir ataskaitas.</w:t>
      </w:r>
    </w:p>
    <w:sectPr w:rsidR="00050770" w:rsidRPr="003B6537" w:rsidSect="009740E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531"/>
    <w:multiLevelType w:val="multilevel"/>
    <w:tmpl w:val="16F61B9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F274A"/>
    <w:multiLevelType w:val="hybridMultilevel"/>
    <w:tmpl w:val="3EF48738"/>
    <w:lvl w:ilvl="0" w:tplc="CFDA642A">
      <w:start w:val="1"/>
      <w:numFmt w:val="bullet"/>
      <w:lvlText w:val="-"/>
      <w:lvlJc w:val="left"/>
      <w:pPr>
        <w:ind w:left="1211" w:hanging="360"/>
      </w:pPr>
      <w:rPr>
        <w:rFonts w:ascii="Times New Roman" w:eastAsiaTheme="minorHAns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6B263FF"/>
    <w:multiLevelType w:val="hybridMultilevel"/>
    <w:tmpl w:val="34F63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66AAF"/>
    <w:multiLevelType w:val="multilevel"/>
    <w:tmpl w:val="30824674"/>
    <w:lvl w:ilvl="0">
      <w:start w:val="1"/>
      <w:numFmt w:val="decimal"/>
      <w:lvlText w:val="%1."/>
      <w:lvlJc w:val="left"/>
      <w:pPr>
        <w:ind w:left="357" w:hanging="357"/>
      </w:pPr>
    </w:lvl>
    <w:lvl w:ilvl="1">
      <w:start w:val="1"/>
      <w:numFmt w:val="decimal"/>
      <w:suff w:val="space"/>
      <w:lvlText w:val="%1.%2."/>
      <w:lvlJc w:val="left"/>
      <w:pPr>
        <w:ind w:left="397" w:hanging="397"/>
      </w:pPr>
      <w:rPr>
        <w:b/>
        <w:bCs/>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4" w15:restartNumberingAfterBreak="0">
    <w:nsid w:val="354008E1"/>
    <w:multiLevelType w:val="multilevel"/>
    <w:tmpl w:val="AD1CBB48"/>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22690F"/>
    <w:multiLevelType w:val="multilevel"/>
    <w:tmpl w:val="42DA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A784A"/>
    <w:multiLevelType w:val="multilevel"/>
    <w:tmpl w:val="3BAEE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1F2FA3"/>
    <w:multiLevelType w:val="hybridMultilevel"/>
    <w:tmpl w:val="28B06C64"/>
    <w:lvl w:ilvl="0" w:tplc="C2DC229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0F94E66"/>
    <w:multiLevelType w:val="multilevel"/>
    <w:tmpl w:val="60421A28"/>
    <w:lvl w:ilvl="0">
      <w:start w:val="1"/>
      <w:numFmt w:val="decimal"/>
      <w:lvlText w:val="%1."/>
      <w:lvlJc w:val="left"/>
      <w:pPr>
        <w:ind w:left="1211" w:hanging="360"/>
      </w:pPr>
      <w:rPr>
        <w:rFonts w:ascii="Times New Roman" w:hAnsi="Times New Roman" w:cs="Times New Roman" w:hint="default"/>
        <w:b w:val="0"/>
        <w:sz w:val="24"/>
        <w:szCs w:val="24"/>
      </w:rPr>
    </w:lvl>
    <w:lvl w:ilvl="1">
      <w:start w:val="7"/>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A1B1ED2"/>
    <w:multiLevelType w:val="hybridMultilevel"/>
    <w:tmpl w:val="AFDADF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DBD13C0"/>
    <w:multiLevelType w:val="multilevel"/>
    <w:tmpl w:val="B122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2253">
    <w:abstractNumId w:val="7"/>
  </w:num>
  <w:num w:numId="2" w16cid:durableId="1001739271">
    <w:abstractNumId w:val="8"/>
  </w:num>
  <w:num w:numId="3" w16cid:durableId="344595984">
    <w:abstractNumId w:val="0"/>
  </w:num>
  <w:num w:numId="4" w16cid:durableId="1522354243">
    <w:abstractNumId w:val="6"/>
  </w:num>
  <w:num w:numId="5" w16cid:durableId="5256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701468">
    <w:abstractNumId w:val="1"/>
  </w:num>
  <w:num w:numId="7" w16cid:durableId="552693093">
    <w:abstractNumId w:val="2"/>
  </w:num>
  <w:num w:numId="8" w16cid:durableId="554239015">
    <w:abstractNumId w:val="9"/>
  </w:num>
  <w:num w:numId="9" w16cid:durableId="659774343">
    <w:abstractNumId w:val="4"/>
  </w:num>
  <w:num w:numId="10" w16cid:durableId="193881449">
    <w:abstractNumId w:val="10"/>
  </w:num>
  <w:num w:numId="11" w16cid:durableId="2000889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89"/>
    <w:rsid w:val="00013855"/>
    <w:rsid w:val="00031672"/>
    <w:rsid w:val="00050770"/>
    <w:rsid w:val="001A16B5"/>
    <w:rsid w:val="0023529A"/>
    <w:rsid w:val="00320789"/>
    <w:rsid w:val="003B6537"/>
    <w:rsid w:val="00410ED0"/>
    <w:rsid w:val="00435B9E"/>
    <w:rsid w:val="00693FF9"/>
    <w:rsid w:val="007255D8"/>
    <w:rsid w:val="00767708"/>
    <w:rsid w:val="00781EA4"/>
    <w:rsid w:val="007C1C7F"/>
    <w:rsid w:val="00930CF4"/>
    <w:rsid w:val="009331D6"/>
    <w:rsid w:val="009740ED"/>
    <w:rsid w:val="0098395D"/>
    <w:rsid w:val="009A4599"/>
    <w:rsid w:val="009C511D"/>
    <w:rsid w:val="00A55301"/>
    <w:rsid w:val="00AB2E05"/>
    <w:rsid w:val="00AD1434"/>
    <w:rsid w:val="00B3261A"/>
    <w:rsid w:val="00B97EFC"/>
    <w:rsid w:val="00BD174B"/>
    <w:rsid w:val="00C94418"/>
    <w:rsid w:val="00CC5E1D"/>
    <w:rsid w:val="00EF4F4B"/>
    <w:rsid w:val="00F04577"/>
    <w:rsid w:val="00FA4B84"/>
    <w:rsid w:val="00FD7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7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07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07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07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07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0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7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07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07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07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207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20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789"/>
    <w:rPr>
      <w:rFonts w:eastAsiaTheme="majorEastAsia" w:cstheme="majorBidi"/>
      <w:color w:val="272727" w:themeColor="text1" w:themeTint="D8"/>
    </w:rPr>
  </w:style>
  <w:style w:type="paragraph" w:styleId="Title">
    <w:name w:val="Title"/>
    <w:basedOn w:val="Normal"/>
    <w:next w:val="Normal"/>
    <w:link w:val="TitleChar"/>
    <w:uiPriority w:val="10"/>
    <w:qFormat/>
    <w:rsid w:val="00320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789"/>
    <w:pPr>
      <w:spacing w:before="160"/>
      <w:jc w:val="center"/>
    </w:pPr>
    <w:rPr>
      <w:i/>
      <w:iCs/>
      <w:color w:val="404040" w:themeColor="text1" w:themeTint="BF"/>
    </w:rPr>
  </w:style>
  <w:style w:type="character" w:customStyle="1" w:styleId="QuoteChar">
    <w:name w:val="Quote Char"/>
    <w:basedOn w:val="DefaultParagraphFont"/>
    <w:link w:val="Quote"/>
    <w:uiPriority w:val="29"/>
    <w:rsid w:val="00320789"/>
    <w:rPr>
      <w:i/>
      <w:iCs/>
      <w:color w:val="404040" w:themeColor="text1" w:themeTint="BF"/>
    </w:rPr>
  </w:style>
  <w:style w:type="paragraph" w:styleId="ListParagraph">
    <w:name w:val="List Paragraph"/>
    <w:aliases w:val="Numbering,ERP-List Paragraph,List Paragraph11,Bullet EY,List Paragraph2,List Paragraph Red,List Paragraph111,Buletai,lp1,Bullet 1,Use Case List Paragraph,List Paragraph21,Paragraph,Sąrašo pastraipa1,VARNELES,Lentele"/>
    <w:basedOn w:val="Normal"/>
    <w:link w:val="ListParagraphChar"/>
    <w:uiPriority w:val="34"/>
    <w:qFormat/>
    <w:rsid w:val="00320789"/>
    <w:pPr>
      <w:ind w:left="720"/>
      <w:contextualSpacing/>
    </w:pPr>
  </w:style>
  <w:style w:type="character" w:styleId="IntenseEmphasis">
    <w:name w:val="Intense Emphasis"/>
    <w:basedOn w:val="DefaultParagraphFont"/>
    <w:uiPriority w:val="21"/>
    <w:qFormat/>
    <w:rsid w:val="00320789"/>
    <w:rPr>
      <w:i/>
      <w:iCs/>
      <w:color w:val="2E74B5" w:themeColor="accent1" w:themeShade="BF"/>
    </w:rPr>
  </w:style>
  <w:style w:type="paragraph" w:styleId="IntenseQuote">
    <w:name w:val="Intense Quote"/>
    <w:basedOn w:val="Normal"/>
    <w:next w:val="Normal"/>
    <w:link w:val="IntenseQuoteChar"/>
    <w:uiPriority w:val="30"/>
    <w:qFormat/>
    <w:rsid w:val="003207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0789"/>
    <w:rPr>
      <w:i/>
      <w:iCs/>
      <w:color w:val="2E74B5" w:themeColor="accent1" w:themeShade="BF"/>
    </w:rPr>
  </w:style>
  <w:style w:type="character" w:styleId="IntenseReference">
    <w:name w:val="Intense Reference"/>
    <w:basedOn w:val="DefaultParagraphFont"/>
    <w:uiPriority w:val="32"/>
    <w:qFormat/>
    <w:rsid w:val="00320789"/>
    <w:rPr>
      <w:b/>
      <w:bCs/>
      <w:smallCaps/>
      <w:color w:val="2E74B5" w:themeColor="accent1" w:themeShade="BF"/>
      <w:spacing w:val="5"/>
    </w:rPr>
  </w:style>
  <w:style w:type="character" w:customStyle="1" w:styleId="ListParagraphChar">
    <w:name w:val="List Paragraph Char"/>
    <w:aliases w:val="Numbering Char,ERP-List Paragraph Char,List Paragraph11 Char,Bullet EY Char,List Paragraph2 Char,List Paragraph Red Char,List Paragraph111 Char,Buletai Char,lp1 Char,Bullet 1 Char,Use Case List Paragraph Char,List Paragraph21 Char"/>
    <w:link w:val="ListParagraph"/>
    <w:uiPriority w:val="34"/>
    <w:locked/>
    <w:rsid w:val="00BD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4137</Words>
  <Characters>23587</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2025-09-19T12:14:00Z</dcterms:created>
  <dcterms:modified xsi:type="dcterms:W3CDTF">2025-10-16T07:46:00Z</dcterms:modified>
</cp:coreProperties>
</file>