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B967" w14:textId="77777777" w:rsidR="0060528A" w:rsidRPr="00630C47" w:rsidRDefault="0060528A" w:rsidP="00630C47">
      <w:pPr>
        <w:widowControl w:val="0"/>
        <w:jc w:val="center"/>
        <w:outlineLvl w:val="0"/>
        <w:rPr>
          <w:rFonts w:eastAsia="Calibri"/>
          <w:b/>
          <w:bCs/>
          <w:lang w:val="lt-LT" w:eastAsia="en-US"/>
        </w:rPr>
      </w:pPr>
    </w:p>
    <w:p w14:paraId="43B4EB47" w14:textId="79B8EEE4" w:rsidR="00630C47" w:rsidRPr="00630C47" w:rsidRDefault="00C34E08" w:rsidP="00630C47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ZARASŲ „LAKŠTINGALOS“ MOKYKLA</w:t>
      </w:r>
    </w:p>
    <w:p w14:paraId="2B9ECDDE" w14:textId="76F09013" w:rsidR="00D12491" w:rsidRPr="00630C47" w:rsidRDefault="0034075A" w:rsidP="00630C47">
      <w:pPr>
        <w:widowControl w:val="0"/>
        <w:jc w:val="center"/>
        <w:outlineLvl w:val="0"/>
        <w:rPr>
          <w:b/>
          <w:bCs/>
          <w:lang w:val="lt-LT"/>
        </w:rPr>
      </w:pPr>
      <w:r w:rsidRPr="00630C47">
        <w:rPr>
          <w:b/>
          <w:bCs/>
          <w:lang w:val="lt-LT"/>
        </w:rPr>
        <w:t>TECHNINĖ SPECIFIKACIJA</w:t>
      </w:r>
    </w:p>
    <w:p w14:paraId="064C8369" w14:textId="77777777" w:rsidR="00D12491" w:rsidRPr="00D12491" w:rsidRDefault="00D12491" w:rsidP="00D12491">
      <w:pPr>
        <w:widowControl w:val="0"/>
        <w:jc w:val="center"/>
        <w:rPr>
          <w:lang w:val="lt-LT"/>
        </w:rPr>
      </w:pPr>
    </w:p>
    <w:p w14:paraId="387E4E02" w14:textId="1830BF5A" w:rsidR="00D12491" w:rsidRPr="00D12491" w:rsidRDefault="00D12491" w:rsidP="00D12491">
      <w:pPr>
        <w:jc w:val="center"/>
        <w:rPr>
          <w:lang w:val="lt-LT"/>
        </w:rPr>
      </w:pPr>
      <w:r w:rsidRPr="00D12491">
        <w:rPr>
          <w:lang w:val="lt-LT"/>
        </w:rPr>
        <w:t>202</w:t>
      </w:r>
      <w:r w:rsidR="00E2182D">
        <w:rPr>
          <w:lang w:val="lt-LT"/>
        </w:rPr>
        <w:t xml:space="preserve">5 </w:t>
      </w:r>
      <w:r w:rsidRPr="00D12491">
        <w:rPr>
          <w:lang w:val="lt-LT"/>
        </w:rPr>
        <w:t>m.</w:t>
      </w:r>
      <w:r w:rsidR="00333491">
        <w:rPr>
          <w:lang w:val="lt-LT"/>
        </w:rPr>
        <w:t xml:space="preserve"> </w:t>
      </w:r>
      <w:r w:rsidR="00E2182D">
        <w:rPr>
          <w:lang w:val="lt-LT"/>
        </w:rPr>
        <w:t>lapkriči</w:t>
      </w:r>
      <w:r w:rsidR="00C34E08">
        <w:rPr>
          <w:lang w:val="lt-LT"/>
        </w:rPr>
        <w:t xml:space="preserve">o </w:t>
      </w:r>
      <w:r w:rsidR="00EA4B33">
        <w:rPr>
          <w:lang w:val="lt-LT"/>
        </w:rPr>
        <w:t xml:space="preserve">  </w:t>
      </w:r>
      <w:r w:rsidR="00C30E9F" w:rsidRPr="00FE1924">
        <w:rPr>
          <w:lang w:val="lt-LT"/>
        </w:rPr>
        <w:t xml:space="preserve"> d. </w:t>
      </w:r>
      <w:r w:rsidRPr="00D12491">
        <w:rPr>
          <w:lang w:val="lt-LT"/>
        </w:rPr>
        <w:t>Nr.</w:t>
      </w:r>
      <w:r w:rsidR="00333491">
        <w:rPr>
          <w:lang w:val="lt-LT"/>
        </w:rPr>
        <w:t xml:space="preserve"> </w:t>
      </w:r>
      <w:r w:rsidR="006660ED">
        <w:rPr>
          <w:lang w:val="lt-LT"/>
        </w:rPr>
        <w:t>2025-2</w:t>
      </w:r>
    </w:p>
    <w:p w14:paraId="6083760C" w14:textId="1EF3F5B7" w:rsidR="00D12491" w:rsidRPr="000657C7" w:rsidRDefault="00C34E08" w:rsidP="00545691">
      <w:pPr>
        <w:shd w:val="clear" w:color="auto" w:fill="FFFFFF" w:themeFill="background1"/>
        <w:jc w:val="center"/>
        <w:rPr>
          <w:color w:val="000000" w:themeColor="text1"/>
          <w:lang w:val="lt-LT"/>
        </w:rPr>
      </w:pPr>
      <w:r w:rsidRPr="000657C7">
        <w:rPr>
          <w:color w:val="000000" w:themeColor="text1"/>
          <w:lang w:val="lt-LT"/>
        </w:rPr>
        <w:t>Zarasai</w:t>
      </w:r>
    </w:p>
    <w:p w14:paraId="4767EFF6" w14:textId="77777777" w:rsidR="00D45505" w:rsidRPr="00D12491" w:rsidRDefault="00D45505" w:rsidP="00D12491">
      <w:pPr>
        <w:widowControl w:val="0"/>
        <w:jc w:val="both"/>
        <w:rPr>
          <w:bCs/>
          <w:color w:val="000000"/>
          <w:lang w:val="lt-L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D12491" w:rsidRPr="00D12491" w14:paraId="5A6BF4CD" w14:textId="77777777" w:rsidTr="00333491">
        <w:trPr>
          <w:cantSplit/>
          <w:trHeight w:val="39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0B8DCFDC" w14:textId="25DAABF0" w:rsidR="00D12491" w:rsidRPr="00D12491" w:rsidRDefault="00D12491" w:rsidP="00D45505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lt-LT"/>
              </w:rPr>
            </w:pPr>
            <w:r w:rsidRPr="00D12491">
              <w:rPr>
                <w:b/>
                <w:lang w:val="lt-LT"/>
              </w:rPr>
              <w:t>Pirkimo objekto pavadinimas</w:t>
            </w:r>
          </w:p>
        </w:tc>
      </w:tr>
      <w:tr w:rsidR="00D12491" w:rsidRPr="00D12491" w14:paraId="300F2645" w14:textId="77777777" w:rsidTr="00333491">
        <w:trPr>
          <w:cantSplit/>
          <w:trHeight w:val="345"/>
        </w:trPr>
        <w:tc>
          <w:tcPr>
            <w:tcW w:w="9606" w:type="dxa"/>
            <w:shd w:val="clear" w:color="auto" w:fill="FFFFFF" w:themeFill="background1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5"/>
              <w:gridCol w:w="2315"/>
            </w:tblGrid>
            <w:tr w:rsidR="00333491" w:rsidRPr="00E13B03" w14:paraId="1EF7174C" w14:textId="77777777" w:rsidTr="00E20AFA">
              <w:trPr>
                <w:tblCellSpacing w:w="15" w:type="dxa"/>
              </w:trPr>
              <w:tc>
                <w:tcPr>
                  <w:tcW w:w="1190" w:type="dxa"/>
                  <w:vAlign w:val="center"/>
                  <w:hideMark/>
                </w:tcPr>
                <w:p w14:paraId="58BCA6C7" w14:textId="77777777" w:rsidR="00333491" w:rsidRPr="00E13B03" w:rsidRDefault="00333491" w:rsidP="00333491">
                  <w:pPr>
                    <w:rPr>
                      <w:lang w:eastAsia="en-US"/>
                    </w:rPr>
                  </w:pPr>
                  <w:r w:rsidRPr="00E13B03">
                    <w:rPr>
                      <w:lang w:eastAsia="en-US"/>
                    </w:rPr>
                    <w:t>15550000-8</w:t>
                  </w:r>
                </w:p>
              </w:tc>
              <w:tc>
                <w:tcPr>
                  <w:tcW w:w="2270" w:type="dxa"/>
                  <w:vAlign w:val="center"/>
                  <w:hideMark/>
                </w:tcPr>
                <w:p w14:paraId="58570F69" w14:textId="77777777" w:rsidR="00333491" w:rsidRPr="00E13B03" w:rsidRDefault="00333491" w:rsidP="00333491">
                  <w:pPr>
                    <w:rPr>
                      <w:lang w:eastAsia="en-US"/>
                    </w:rPr>
                  </w:pPr>
                  <w:proofErr w:type="spellStart"/>
                  <w:r w:rsidRPr="00E13B03">
                    <w:rPr>
                      <w:lang w:eastAsia="en-US"/>
                    </w:rPr>
                    <w:t>Įvairūs</w:t>
                  </w:r>
                  <w:proofErr w:type="spellEnd"/>
                  <w:r w:rsidRPr="00E13B03">
                    <w:rPr>
                      <w:lang w:eastAsia="en-US"/>
                    </w:rPr>
                    <w:t xml:space="preserve"> </w:t>
                  </w:r>
                  <w:proofErr w:type="spellStart"/>
                  <w:r w:rsidRPr="00E13B03">
                    <w:rPr>
                      <w:lang w:eastAsia="en-US"/>
                    </w:rPr>
                    <w:t>pieno</w:t>
                  </w:r>
                  <w:proofErr w:type="spellEnd"/>
                  <w:r w:rsidRPr="00E13B03">
                    <w:rPr>
                      <w:lang w:eastAsia="en-US"/>
                    </w:rPr>
                    <w:t xml:space="preserve"> </w:t>
                  </w:r>
                  <w:proofErr w:type="spellStart"/>
                  <w:r w:rsidRPr="00E13B03">
                    <w:rPr>
                      <w:lang w:eastAsia="en-US"/>
                    </w:rPr>
                    <w:t>produktai</w:t>
                  </w:r>
                  <w:proofErr w:type="spellEnd"/>
                </w:p>
              </w:tc>
            </w:tr>
          </w:tbl>
          <w:p w14:paraId="7A9B3A0E" w14:textId="61B43C71" w:rsidR="00D45505" w:rsidRPr="00D45505" w:rsidRDefault="00D45505" w:rsidP="005A0F30">
            <w:pPr>
              <w:ind w:firstLine="319"/>
              <w:contextualSpacing/>
              <w:jc w:val="both"/>
              <w:rPr>
                <w:bCs/>
                <w:lang w:val="lt-LT"/>
              </w:rPr>
            </w:pPr>
          </w:p>
        </w:tc>
      </w:tr>
      <w:tr w:rsidR="00D12491" w:rsidRPr="00D12491" w14:paraId="267B754E" w14:textId="77777777" w:rsidTr="00333491">
        <w:trPr>
          <w:cantSplit/>
          <w:trHeight w:val="62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503BF038" w14:textId="3342BB15" w:rsidR="00D12491" w:rsidRPr="00D45505" w:rsidRDefault="00D45505" w:rsidP="00D45505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lt-LT"/>
              </w:rPr>
            </w:pPr>
            <w:r w:rsidRPr="00D45505">
              <w:rPr>
                <w:b/>
                <w:lang w:val="lt-LT"/>
              </w:rPr>
              <w:t>Pirkimo objekto aprašymas ir pirkimo objektui keliami reikalavimai</w:t>
            </w:r>
            <w:r w:rsidRPr="00D45505">
              <w:rPr>
                <w:lang w:val="lt-LT"/>
              </w:rPr>
              <w:t xml:space="preserve"> (</w:t>
            </w:r>
            <w:r w:rsidRPr="00D45505">
              <w:rPr>
                <w:i/>
                <w:lang w:val="lt-LT"/>
              </w:rPr>
              <w:t>ketinamų pirkti prekių, paslaugų ar darbų savybės, kokybės reikalavimai)</w:t>
            </w:r>
          </w:p>
        </w:tc>
      </w:tr>
      <w:tr w:rsidR="00D12491" w:rsidRPr="00FE1924" w14:paraId="6F7E181F" w14:textId="77777777" w:rsidTr="00333491">
        <w:trPr>
          <w:cantSplit/>
          <w:trHeight w:val="345"/>
        </w:trPr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A7CFB" w14:textId="0515FEF0" w:rsidR="00333491" w:rsidRDefault="00333491" w:rsidP="00333491">
            <w:pPr>
              <w:pStyle w:val="Sraopastraipa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491">
              <w:rPr>
                <w:rFonts w:ascii="Times New Roman" w:hAnsi="Times New Roman"/>
                <w:sz w:val="24"/>
                <w:szCs w:val="24"/>
              </w:rPr>
              <w:t>Pieno produktai turi atitikti Lietuvoje patvirtintus ir galiojančius standartus,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491">
              <w:rPr>
                <w:rFonts w:ascii="Times New Roman" w:hAnsi="Times New Roman"/>
                <w:sz w:val="24"/>
                <w:szCs w:val="24"/>
              </w:rPr>
              <w:t>higienos reikalavimus, LR galiojančius normatyvin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ius dokumentus bei būtų tinkami </w:t>
            </w:r>
            <w:r w:rsidRPr="00333491">
              <w:rPr>
                <w:rFonts w:ascii="Times New Roman" w:hAnsi="Times New Roman"/>
                <w:sz w:val="24"/>
                <w:szCs w:val="24"/>
              </w:rPr>
              <w:t>ikimokyklinio ir mokyklinio amžiaus vaikų maitinimui. Tiekėjas atsakingas už Lietuvos Respublikos sveikatos apsaugos ministro 2011 m. lapkričio 11 d. įsakymo Nr. V-964 „Dėl mokinių maitinimo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491">
              <w:rPr>
                <w:rFonts w:ascii="Times New Roman" w:hAnsi="Times New Roman"/>
                <w:sz w:val="24"/>
                <w:szCs w:val="24"/>
              </w:rPr>
              <w:t xml:space="preserve">organizavimo bendrojo lavinimo mokyklose tvarkos </w:t>
            </w:r>
            <w:r>
              <w:rPr>
                <w:rFonts w:ascii="Times New Roman" w:hAnsi="Times New Roman"/>
                <w:sz w:val="24"/>
                <w:szCs w:val="24"/>
              </w:rPr>
              <w:t>aprašo patvirtinimo“ ir 2022 m. rugsėjo 9 d. įsakymo Nr. V-1429</w:t>
            </w:r>
            <w:r w:rsidRPr="00333491">
              <w:rPr>
                <w:rFonts w:ascii="Times New Roman" w:hAnsi="Times New Roman"/>
                <w:sz w:val="24"/>
                <w:szCs w:val="24"/>
              </w:rPr>
              <w:t xml:space="preserve"> „Dėl Lietuvos Respubli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kos sveikatos apsaugos ministro </w:t>
            </w:r>
            <w:r w:rsidRPr="00333491">
              <w:rPr>
                <w:rFonts w:ascii="Times New Roman" w:hAnsi="Times New Roman"/>
                <w:sz w:val="24"/>
                <w:szCs w:val="24"/>
              </w:rPr>
              <w:t>2011 m. lapkričio 11 d. įsakymo Nr. V-964 „Dėl maiti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nimo organizavimo ikimokyklinio </w:t>
            </w:r>
            <w:r w:rsidRPr="00333491">
              <w:rPr>
                <w:rFonts w:ascii="Times New Roman" w:hAnsi="Times New Roman"/>
                <w:sz w:val="24"/>
                <w:szCs w:val="24"/>
              </w:rPr>
              <w:t xml:space="preserve">ugdymo, bendrojo lavinimo mokyklose ir vaikų socialinės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globos įstaigose tvarkos aprašo </w:t>
            </w:r>
            <w:r w:rsidRPr="00333491">
              <w:rPr>
                <w:rFonts w:ascii="Times New Roman" w:hAnsi="Times New Roman"/>
                <w:sz w:val="24"/>
                <w:szCs w:val="24"/>
              </w:rPr>
              <w:t>patvirtinimo“ pakeitimo“ nuostatų laikymąsi.</w:t>
            </w:r>
          </w:p>
          <w:p w14:paraId="42B9DDC8" w14:textId="2D676E98" w:rsidR="00333491" w:rsidRPr="00D12491" w:rsidRDefault="00333491" w:rsidP="00333491">
            <w:pPr>
              <w:pStyle w:val="Sraopastraipa"/>
              <w:spacing w:after="0" w:line="240" w:lineRule="auto"/>
              <w:ind w:left="0"/>
              <w:contextualSpacing/>
              <w:jc w:val="both"/>
            </w:pPr>
          </w:p>
        </w:tc>
      </w:tr>
      <w:tr w:rsidR="00D12491" w:rsidRPr="00FE1924" w14:paraId="16854996" w14:textId="77777777" w:rsidTr="00333491">
        <w:trPr>
          <w:cantSplit/>
          <w:trHeight w:val="62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53704EA1" w14:textId="14726D40" w:rsidR="00D12491" w:rsidRPr="00D45505" w:rsidRDefault="00D45505" w:rsidP="00D45505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lt-LT"/>
              </w:rPr>
            </w:pPr>
            <w:r w:rsidRPr="00D45505">
              <w:rPr>
                <w:b/>
                <w:bCs/>
                <w:color w:val="000000"/>
                <w:lang w:val="lt-LT"/>
              </w:rPr>
              <w:t>Pirkimo objekto k</w:t>
            </w:r>
            <w:r w:rsidRPr="00D45505">
              <w:rPr>
                <w:b/>
                <w:lang w:val="lt-LT"/>
              </w:rPr>
              <w:t xml:space="preserve">iekis ar apimtys </w:t>
            </w:r>
            <w:r w:rsidRPr="00D45505">
              <w:rPr>
                <w:i/>
                <w:lang w:val="lt-LT"/>
              </w:rPr>
              <w:t>(atsižvelgiant į visą pirkimo sutarties trukmę su galimais pratęsimais)</w:t>
            </w:r>
          </w:p>
        </w:tc>
      </w:tr>
      <w:tr w:rsidR="00D12491" w:rsidRPr="00D12491" w14:paraId="3EB968AB" w14:textId="77777777" w:rsidTr="00333491">
        <w:trPr>
          <w:cantSplit/>
          <w:trHeight w:val="345"/>
        </w:trPr>
        <w:tc>
          <w:tcPr>
            <w:tcW w:w="9606" w:type="dxa"/>
          </w:tcPr>
          <w:tbl>
            <w:tblPr>
              <w:tblStyle w:val="Lentelstinklelis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25"/>
              <w:gridCol w:w="1128"/>
              <w:gridCol w:w="3127"/>
            </w:tblGrid>
            <w:tr w:rsidR="00333491" w14:paraId="07FDBF9B" w14:textId="77777777" w:rsidTr="00E2182D">
              <w:tc>
                <w:tcPr>
                  <w:tcW w:w="5125" w:type="dxa"/>
                </w:tcPr>
                <w:p w14:paraId="61AC0EAC" w14:textId="0FB99DFF" w:rsidR="00333491" w:rsidRDefault="00333491" w:rsidP="00333491">
                  <w:pPr>
                    <w:contextualSpacing/>
                    <w:jc w:val="both"/>
                    <w:rPr>
                      <w:bCs/>
                      <w:lang w:val="lt-LT"/>
                    </w:rPr>
                  </w:pPr>
                  <w:r w:rsidRPr="00C558F8">
                    <w:rPr>
                      <w:lang w:val="lt-LT"/>
                    </w:rPr>
                    <w:t>Pienas ne mažiau 2,5℅</w:t>
                  </w:r>
                </w:p>
              </w:tc>
              <w:tc>
                <w:tcPr>
                  <w:tcW w:w="1128" w:type="dxa"/>
                </w:tcPr>
                <w:p w14:paraId="20BBD2B9" w14:textId="5EEF03E5" w:rsidR="00333491" w:rsidRDefault="00333491" w:rsidP="00333491">
                  <w:pPr>
                    <w:contextualSpacing/>
                    <w:jc w:val="both"/>
                    <w:rPr>
                      <w:bCs/>
                      <w:lang w:val="lt-LT"/>
                    </w:rPr>
                  </w:pPr>
                  <w:r w:rsidRPr="00C558F8">
                    <w:rPr>
                      <w:lang w:val="lt-LT"/>
                    </w:rPr>
                    <w:t>l</w:t>
                  </w:r>
                </w:p>
              </w:tc>
              <w:tc>
                <w:tcPr>
                  <w:tcW w:w="3127" w:type="dxa"/>
                </w:tcPr>
                <w:p w14:paraId="608FCECF" w14:textId="066B5131" w:rsidR="00333491" w:rsidRPr="001F7CFF" w:rsidRDefault="00E2182D" w:rsidP="00333491">
                  <w:pPr>
                    <w:contextualSpacing/>
                    <w:jc w:val="both"/>
                    <w:rPr>
                      <w:bCs/>
                      <w:lang w:val="lt-LT"/>
                    </w:rPr>
                  </w:pPr>
                  <w:r w:rsidRPr="001F7CFF">
                    <w:rPr>
                      <w:lang w:val="lt-LT"/>
                    </w:rPr>
                    <w:t>73</w:t>
                  </w:r>
                  <w:r w:rsidR="00333491" w:rsidRPr="001F7CFF">
                    <w:rPr>
                      <w:lang w:val="lt-LT"/>
                    </w:rPr>
                    <w:t xml:space="preserve">00,00 </w:t>
                  </w:r>
                </w:p>
              </w:tc>
            </w:tr>
            <w:tr w:rsidR="00333491" w14:paraId="09E18C80" w14:textId="77777777" w:rsidTr="00E2182D">
              <w:tc>
                <w:tcPr>
                  <w:tcW w:w="5125" w:type="dxa"/>
                </w:tcPr>
                <w:p w14:paraId="559815E4" w14:textId="3A2D7F27" w:rsidR="00333491" w:rsidRDefault="00333491" w:rsidP="00333491">
                  <w:pPr>
                    <w:contextualSpacing/>
                    <w:jc w:val="both"/>
                    <w:rPr>
                      <w:bCs/>
                      <w:lang w:val="lt-LT"/>
                    </w:rPr>
                  </w:pPr>
                  <w:r w:rsidRPr="00C558F8">
                    <w:rPr>
                      <w:lang w:val="lt-LT"/>
                    </w:rPr>
                    <w:t xml:space="preserve">Pienas </w:t>
                  </w:r>
                  <w:proofErr w:type="spellStart"/>
                  <w:r w:rsidRPr="00C558F8">
                    <w:rPr>
                      <w:lang w:val="lt-LT"/>
                    </w:rPr>
                    <w:t>tetrapakuose</w:t>
                  </w:r>
                  <w:proofErr w:type="spellEnd"/>
                  <w:r w:rsidRPr="00C558F8">
                    <w:rPr>
                      <w:lang w:val="lt-LT"/>
                    </w:rPr>
                    <w:t xml:space="preserve"> ne mažiau 2,5℅</w:t>
                  </w:r>
                </w:p>
              </w:tc>
              <w:tc>
                <w:tcPr>
                  <w:tcW w:w="1128" w:type="dxa"/>
                </w:tcPr>
                <w:p w14:paraId="468CAB96" w14:textId="7E73D095" w:rsidR="00333491" w:rsidRDefault="00333491" w:rsidP="00333491">
                  <w:pPr>
                    <w:contextualSpacing/>
                    <w:jc w:val="both"/>
                    <w:rPr>
                      <w:bCs/>
                      <w:lang w:val="lt-LT"/>
                    </w:rPr>
                  </w:pPr>
                  <w:r w:rsidRPr="00C558F8">
                    <w:rPr>
                      <w:lang w:val="lt-LT"/>
                    </w:rPr>
                    <w:t>l</w:t>
                  </w:r>
                </w:p>
              </w:tc>
              <w:tc>
                <w:tcPr>
                  <w:tcW w:w="3127" w:type="dxa"/>
                </w:tcPr>
                <w:p w14:paraId="1D9F7894" w14:textId="1F89C809" w:rsidR="00333491" w:rsidRPr="001F7CFF" w:rsidRDefault="00E2182D" w:rsidP="00333491">
                  <w:pPr>
                    <w:contextualSpacing/>
                    <w:jc w:val="both"/>
                    <w:rPr>
                      <w:bCs/>
                      <w:lang w:val="lt-LT"/>
                    </w:rPr>
                  </w:pPr>
                  <w:r w:rsidRPr="001F7CFF">
                    <w:rPr>
                      <w:lang w:val="lt-LT"/>
                    </w:rPr>
                    <w:t>6</w:t>
                  </w:r>
                  <w:r w:rsidR="00333491" w:rsidRPr="001F7CFF">
                    <w:rPr>
                      <w:lang w:val="lt-LT"/>
                    </w:rPr>
                    <w:t xml:space="preserve">00,00 </w:t>
                  </w:r>
                </w:p>
              </w:tc>
            </w:tr>
            <w:tr w:rsidR="00333491" w14:paraId="59FB34C3" w14:textId="77777777" w:rsidTr="00E2182D">
              <w:tc>
                <w:tcPr>
                  <w:tcW w:w="5125" w:type="dxa"/>
                </w:tcPr>
                <w:p w14:paraId="1C1C8495" w14:textId="03CBC708" w:rsidR="00333491" w:rsidRPr="00C558F8" w:rsidRDefault="00333491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 w:rsidRPr="00C558F8">
                    <w:rPr>
                      <w:lang w:val="lt-LT"/>
                    </w:rPr>
                    <w:t xml:space="preserve">Fermentinis sūris ne mažiau 45℅ vaikams </w:t>
                  </w:r>
                  <w:proofErr w:type="spellStart"/>
                  <w:r w:rsidRPr="00C558F8">
                    <w:rPr>
                      <w:lang w:val="lt-LT"/>
                    </w:rPr>
                    <w:t>sver</w:t>
                  </w:r>
                  <w:proofErr w:type="spellEnd"/>
                  <w:r w:rsidRPr="00C558F8">
                    <w:rPr>
                      <w:lang w:val="lt-LT"/>
                    </w:rPr>
                    <w:t>.</w:t>
                  </w:r>
                </w:p>
              </w:tc>
              <w:tc>
                <w:tcPr>
                  <w:tcW w:w="1128" w:type="dxa"/>
                </w:tcPr>
                <w:p w14:paraId="0D1703B3" w14:textId="240DF118" w:rsidR="00333491" w:rsidRPr="00C558F8" w:rsidRDefault="00333491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 w:rsidRPr="00C558F8">
                    <w:rPr>
                      <w:lang w:val="lt-LT"/>
                    </w:rPr>
                    <w:t>kg</w:t>
                  </w:r>
                </w:p>
              </w:tc>
              <w:tc>
                <w:tcPr>
                  <w:tcW w:w="3127" w:type="dxa"/>
                </w:tcPr>
                <w:p w14:paraId="46F5AD03" w14:textId="20866CCF" w:rsidR="00333491" w:rsidRPr="001F7CFF" w:rsidRDefault="00E2182D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 w:rsidRPr="001F7CFF">
                    <w:rPr>
                      <w:lang w:val="lt-LT"/>
                    </w:rPr>
                    <w:t>25</w:t>
                  </w:r>
                  <w:r w:rsidR="00333491" w:rsidRPr="001F7CFF">
                    <w:rPr>
                      <w:lang w:val="lt-LT"/>
                    </w:rPr>
                    <w:t xml:space="preserve">0,00 </w:t>
                  </w:r>
                </w:p>
              </w:tc>
            </w:tr>
            <w:tr w:rsidR="00333491" w14:paraId="22AD9AAC" w14:textId="77777777" w:rsidTr="00E2182D">
              <w:tc>
                <w:tcPr>
                  <w:tcW w:w="5125" w:type="dxa"/>
                </w:tcPr>
                <w:p w14:paraId="5F5E7AB4" w14:textId="79137D91" w:rsidR="00333491" w:rsidRPr="00C558F8" w:rsidRDefault="00333491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 w:rsidRPr="00C558F8">
                    <w:rPr>
                      <w:lang w:val="lt-LT"/>
                    </w:rPr>
                    <w:t>Varškės sūris ne mažiau 13℅</w:t>
                  </w:r>
                </w:p>
              </w:tc>
              <w:tc>
                <w:tcPr>
                  <w:tcW w:w="1128" w:type="dxa"/>
                </w:tcPr>
                <w:p w14:paraId="46962B13" w14:textId="7BC50FA5" w:rsidR="00333491" w:rsidRPr="00C558F8" w:rsidRDefault="00333491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 w:rsidRPr="00C558F8">
                    <w:rPr>
                      <w:lang w:val="lt-LT"/>
                    </w:rPr>
                    <w:t>kg</w:t>
                  </w:r>
                </w:p>
              </w:tc>
              <w:tc>
                <w:tcPr>
                  <w:tcW w:w="3127" w:type="dxa"/>
                </w:tcPr>
                <w:p w14:paraId="09FF5006" w14:textId="53F85300" w:rsidR="00333491" w:rsidRPr="001F7CFF" w:rsidRDefault="00E2182D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 w:rsidRPr="001F7CFF">
                    <w:rPr>
                      <w:lang w:val="lt-LT"/>
                    </w:rPr>
                    <w:t>7</w:t>
                  </w:r>
                  <w:r w:rsidR="00333491" w:rsidRPr="001F7CFF">
                    <w:rPr>
                      <w:lang w:val="lt-LT"/>
                    </w:rPr>
                    <w:t xml:space="preserve">0,00 </w:t>
                  </w:r>
                </w:p>
              </w:tc>
            </w:tr>
            <w:tr w:rsidR="00E2182D" w14:paraId="2A3CD73C" w14:textId="77777777" w:rsidTr="00E2182D">
              <w:tc>
                <w:tcPr>
                  <w:tcW w:w="5125" w:type="dxa"/>
                </w:tcPr>
                <w:p w14:paraId="415D7A17" w14:textId="630B40E4" w:rsidR="00E2182D" w:rsidRPr="00C558F8" w:rsidRDefault="00E2182D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 w:rsidRPr="00C558F8">
                    <w:rPr>
                      <w:lang w:val="lt-LT"/>
                    </w:rPr>
                    <w:t>Kefyras ne mažiau 2,5 ℅</w:t>
                  </w:r>
                </w:p>
              </w:tc>
              <w:tc>
                <w:tcPr>
                  <w:tcW w:w="1128" w:type="dxa"/>
                </w:tcPr>
                <w:p w14:paraId="3A218FBC" w14:textId="3A13DAE9" w:rsidR="00E2182D" w:rsidRPr="00C558F8" w:rsidRDefault="00FE1924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kg</w:t>
                  </w:r>
                </w:p>
              </w:tc>
              <w:tc>
                <w:tcPr>
                  <w:tcW w:w="3127" w:type="dxa"/>
                </w:tcPr>
                <w:p w14:paraId="3493EECC" w14:textId="46DC7B89" w:rsidR="00E2182D" w:rsidRPr="001F7CFF" w:rsidRDefault="00E2182D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 w:rsidRPr="001F7CFF">
                    <w:rPr>
                      <w:lang w:val="lt-LT"/>
                    </w:rPr>
                    <w:t>1</w:t>
                  </w:r>
                  <w:r w:rsidR="001F7CFF" w:rsidRPr="001F7CFF">
                    <w:rPr>
                      <w:lang w:val="lt-LT"/>
                    </w:rPr>
                    <w:t>00</w:t>
                  </w:r>
                  <w:r w:rsidRPr="001F7CFF">
                    <w:rPr>
                      <w:lang w:val="lt-LT"/>
                    </w:rPr>
                    <w:t>0,00</w:t>
                  </w:r>
                </w:p>
              </w:tc>
            </w:tr>
            <w:tr w:rsidR="00E2182D" w14:paraId="7EEB0AE6" w14:textId="77777777" w:rsidTr="00E2182D">
              <w:tc>
                <w:tcPr>
                  <w:tcW w:w="5125" w:type="dxa"/>
                </w:tcPr>
                <w:p w14:paraId="33DB9E76" w14:textId="1CFA2C74" w:rsidR="00E2182D" w:rsidRPr="00C558F8" w:rsidRDefault="00E2182D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 w:rsidRPr="00C558F8">
                    <w:rPr>
                      <w:lang w:val="lt-LT"/>
                    </w:rPr>
                    <w:t>Sviestas ne mažiau 82℅, fasuotas</w:t>
                  </w:r>
                </w:p>
              </w:tc>
              <w:tc>
                <w:tcPr>
                  <w:tcW w:w="1128" w:type="dxa"/>
                </w:tcPr>
                <w:p w14:paraId="0B5AE1BF" w14:textId="359C8F1A" w:rsidR="00E2182D" w:rsidRPr="00C558F8" w:rsidRDefault="00E2182D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 w:rsidRPr="00C558F8">
                    <w:rPr>
                      <w:lang w:val="lt-LT"/>
                    </w:rPr>
                    <w:t>kg</w:t>
                  </w:r>
                </w:p>
              </w:tc>
              <w:tc>
                <w:tcPr>
                  <w:tcW w:w="3127" w:type="dxa"/>
                </w:tcPr>
                <w:p w14:paraId="38931DCD" w14:textId="4DE92CA5" w:rsidR="00E2182D" w:rsidRPr="001F7CFF" w:rsidRDefault="001F7CFF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 w:rsidRPr="001F7CFF">
                    <w:rPr>
                      <w:lang w:val="lt-LT"/>
                    </w:rPr>
                    <w:t>1000</w:t>
                  </w:r>
                  <w:r w:rsidR="00E2182D" w:rsidRPr="001F7CFF">
                    <w:rPr>
                      <w:lang w:val="lt-LT"/>
                    </w:rPr>
                    <w:t xml:space="preserve">,00 </w:t>
                  </w:r>
                </w:p>
              </w:tc>
            </w:tr>
            <w:tr w:rsidR="00E2182D" w14:paraId="55547315" w14:textId="77777777" w:rsidTr="00E2182D">
              <w:tc>
                <w:tcPr>
                  <w:tcW w:w="5125" w:type="dxa"/>
                </w:tcPr>
                <w:p w14:paraId="48EAD99B" w14:textId="2D22D753" w:rsidR="00E2182D" w:rsidRPr="00C558F8" w:rsidRDefault="00E2182D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 w:rsidRPr="00C558F8">
                    <w:rPr>
                      <w:lang w:val="lt-LT"/>
                    </w:rPr>
                    <w:t>Grietinė ne mažiau 30℅ sveriama</w:t>
                  </w:r>
                </w:p>
              </w:tc>
              <w:tc>
                <w:tcPr>
                  <w:tcW w:w="1128" w:type="dxa"/>
                </w:tcPr>
                <w:p w14:paraId="74AAEC5E" w14:textId="41466FE2" w:rsidR="00E2182D" w:rsidRPr="00C558F8" w:rsidRDefault="00E2182D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 w:rsidRPr="00C558F8">
                    <w:rPr>
                      <w:lang w:val="lt-LT"/>
                    </w:rPr>
                    <w:t>kg</w:t>
                  </w:r>
                </w:p>
              </w:tc>
              <w:tc>
                <w:tcPr>
                  <w:tcW w:w="3127" w:type="dxa"/>
                </w:tcPr>
                <w:p w14:paraId="5C3AC2EA" w14:textId="33994BAE" w:rsidR="00E2182D" w:rsidRPr="001F7CFF" w:rsidRDefault="00E2182D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 w:rsidRPr="001F7CFF">
                    <w:rPr>
                      <w:lang w:val="lt-LT"/>
                    </w:rPr>
                    <w:t xml:space="preserve">900,00 </w:t>
                  </w:r>
                </w:p>
              </w:tc>
            </w:tr>
            <w:tr w:rsidR="00E2182D" w14:paraId="5A8C8052" w14:textId="77777777" w:rsidTr="00E2182D">
              <w:tc>
                <w:tcPr>
                  <w:tcW w:w="5125" w:type="dxa"/>
                </w:tcPr>
                <w:p w14:paraId="33539B1B" w14:textId="5A61D814" w:rsidR="00E2182D" w:rsidRPr="00C558F8" w:rsidRDefault="00E2182D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 w:rsidRPr="00C558F8">
                    <w:rPr>
                      <w:lang w:val="lt-LT"/>
                    </w:rPr>
                    <w:t>Jogurtas ne mažiau 2,5℅</w:t>
                  </w:r>
                </w:p>
              </w:tc>
              <w:tc>
                <w:tcPr>
                  <w:tcW w:w="1128" w:type="dxa"/>
                </w:tcPr>
                <w:p w14:paraId="2972395F" w14:textId="27DA0D62" w:rsidR="00E2182D" w:rsidRPr="00C558F8" w:rsidRDefault="00E2182D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 w:rsidRPr="00C558F8">
                    <w:rPr>
                      <w:lang w:val="lt-LT"/>
                    </w:rPr>
                    <w:t>kg</w:t>
                  </w:r>
                </w:p>
              </w:tc>
              <w:tc>
                <w:tcPr>
                  <w:tcW w:w="3127" w:type="dxa"/>
                </w:tcPr>
                <w:p w14:paraId="1E0FADD5" w14:textId="244A493A" w:rsidR="00E2182D" w:rsidRPr="001F7CFF" w:rsidRDefault="00E2182D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 w:rsidRPr="001F7CFF">
                    <w:rPr>
                      <w:lang w:val="lt-LT"/>
                    </w:rPr>
                    <w:t>50,00</w:t>
                  </w:r>
                </w:p>
              </w:tc>
            </w:tr>
            <w:tr w:rsidR="001F7CFF" w14:paraId="3A9B94DF" w14:textId="77777777" w:rsidTr="00E2182D">
              <w:tc>
                <w:tcPr>
                  <w:tcW w:w="5125" w:type="dxa"/>
                </w:tcPr>
                <w:p w14:paraId="0154A7DC" w14:textId="094C5118" w:rsidR="001F7CFF" w:rsidRPr="00C558F8" w:rsidRDefault="001F7CFF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 w:rsidRPr="00C558F8">
                    <w:rPr>
                      <w:lang w:val="lt-LT"/>
                    </w:rPr>
                    <w:t xml:space="preserve">Varškė ne mažiau 9℅ iki </w:t>
                  </w:r>
                  <w:r>
                    <w:rPr>
                      <w:lang w:val="lt-LT"/>
                    </w:rPr>
                    <w:t>10</w:t>
                  </w:r>
                  <w:r w:rsidRPr="00C558F8">
                    <w:rPr>
                      <w:lang w:val="lt-LT"/>
                    </w:rPr>
                    <w:t>00 g</w:t>
                  </w:r>
                </w:p>
              </w:tc>
              <w:tc>
                <w:tcPr>
                  <w:tcW w:w="1128" w:type="dxa"/>
                </w:tcPr>
                <w:p w14:paraId="27B85E58" w14:textId="4FCFB1B3" w:rsidR="001F7CFF" w:rsidRPr="00C558F8" w:rsidRDefault="001F7CFF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 w:rsidRPr="00C558F8">
                    <w:rPr>
                      <w:lang w:val="lt-LT"/>
                    </w:rPr>
                    <w:t>kg</w:t>
                  </w:r>
                </w:p>
              </w:tc>
              <w:tc>
                <w:tcPr>
                  <w:tcW w:w="3127" w:type="dxa"/>
                </w:tcPr>
                <w:p w14:paraId="67080B04" w14:textId="6DE111C4" w:rsidR="001F7CFF" w:rsidRPr="001F7CFF" w:rsidRDefault="001F7CFF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 w:rsidRPr="001F7CFF">
                    <w:rPr>
                      <w:lang w:val="lt-LT"/>
                    </w:rPr>
                    <w:t>4200,00</w:t>
                  </w:r>
                </w:p>
              </w:tc>
            </w:tr>
            <w:tr w:rsidR="001F7CFF" w14:paraId="3C118480" w14:textId="77777777" w:rsidTr="00E2182D">
              <w:tc>
                <w:tcPr>
                  <w:tcW w:w="5125" w:type="dxa"/>
                </w:tcPr>
                <w:p w14:paraId="1E63262B" w14:textId="25D1A57D" w:rsidR="001F7CFF" w:rsidRPr="00C558F8" w:rsidRDefault="001F7CFF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 w:rsidRPr="00C558F8">
                    <w:rPr>
                      <w:lang w:val="lt-LT"/>
                    </w:rPr>
                    <w:t xml:space="preserve">Grietinė fasuota 30℅ po 200 g </w:t>
                  </w:r>
                </w:p>
              </w:tc>
              <w:tc>
                <w:tcPr>
                  <w:tcW w:w="1128" w:type="dxa"/>
                </w:tcPr>
                <w:p w14:paraId="5CBC0A66" w14:textId="36D750EB" w:rsidR="001F7CFF" w:rsidRPr="00C558F8" w:rsidRDefault="001F7CFF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 w:rsidRPr="00C558F8">
                    <w:rPr>
                      <w:lang w:val="lt-LT"/>
                    </w:rPr>
                    <w:t>kg</w:t>
                  </w:r>
                </w:p>
              </w:tc>
              <w:tc>
                <w:tcPr>
                  <w:tcW w:w="3127" w:type="dxa"/>
                </w:tcPr>
                <w:p w14:paraId="34E7CF89" w14:textId="50C7C1F7" w:rsidR="001F7CFF" w:rsidRPr="001F7CFF" w:rsidRDefault="001F7CFF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 w:rsidRPr="001F7CFF">
                    <w:rPr>
                      <w:lang w:val="lt-LT"/>
                    </w:rPr>
                    <w:t>50,00</w:t>
                  </w:r>
                </w:p>
              </w:tc>
            </w:tr>
            <w:tr w:rsidR="001F7CFF" w14:paraId="72B2DC42" w14:textId="77777777" w:rsidTr="00E2182D">
              <w:tc>
                <w:tcPr>
                  <w:tcW w:w="5125" w:type="dxa"/>
                </w:tcPr>
                <w:p w14:paraId="741347BC" w14:textId="61C6B5D8" w:rsidR="001F7CFF" w:rsidRPr="00C558F8" w:rsidRDefault="001F7CFF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 w:rsidRPr="00C558F8">
                    <w:rPr>
                      <w:lang w:val="lt-LT"/>
                    </w:rPr>
                    <w:t>Eko</w:t>
                  </w:r>
                  <w:r w:rsidR="00CA2EAD">
                    <w:rPr>
                      <w:lang w:val="lt-LT"/>
                    </w:rPr>
                    <w:t>logiška</w:t>
                  </w:r>
                  <w:r w:rsidRPr="00C558F8">
                    <w:rPr>
                      <w:lang w:val="lt-LT"/>
                    </w:rPr>
                    <w:t xml:space="preserve"> grietinė 300 g-500 g</w:t>
                  </w:r>
                </w:p>
              </w:tc>
              <w:tc>
                <w:tcPr>
                  <w:tcW w:w="1128" w:type="dxa"/>
                </w:tcPr>
                <w:p w14:paraId="22B3DC14" w14:textId="332C1F1C" w:rsidR="001F7CFF" w:rsidRPr="00C558F8" w:rsidRDefault="001F7CFF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 w:rsidRPr="00C558F8">
                    <w:rPr>
                      <w:lang w:val="lt-LT"/>
                    </w:rPr>
                    <w:t>kg</w:t>
                  </w:r>
                </w:p>
              </w:tc>
              <w:tc>
                <w:tcPr>
                  <w:tcW w:w="3127" w:type="dxa"/>
                </w:tcPr>
                <w:p w14:paraId="690EAA94" w14:textId="26D4C5AA" w:rsidR="001F7CFF" w:rsidRPr="001F7CFF" w:rsidRDefault="001F7CFF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 w:rsidRPr="001F7CFF">
                    <w:rPr>
                      <w:lang w:val="lt-LT"/>
                    </w:rPr>
                    <w:t>200</w:t>
                  </w:r>
                  <w:r>
                    <w:rPr>
                      <w:lang w:val="lt-LT"/>
                    </w:rPr>
                    <w:t>,00</w:t>
                  </w:r>
                </w:p>
              </w:tc>
            </w:tr>
            <w:tr w:rsidR="001F7CFF" w14:paraId="64BDCAAF" w14:textId="77777777" w:rsidTr="00E2182D">
              <w:tc>
                <w:tcPr>
                  <w:tcW w:w="5125" w:type="dxa"/>
                </w:tcPr>
                <w:p w14:paraId="70BB7BAE" w14:textId="4850A68B" w:rsidR="001F7CFF" w:rsidRPr="00C558F8" w:rsidRDefault="00EC4853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Ekologiškos sūrio lazdelės kg</w:t>
                  </w:r>
                </w:p>
              </w:tc>
              <w:tc>
                <w:tcPr>
                  <w:tcW w:w="1128" w:type="dxa"/>
                </w:tcPr>
                <w:p w14:paraId="6384BB12" w14:textId="221E6003" w:rsidR="001F7CFF" w:rsidRPr="00C558F8" w:rsidRDefault="00EC4853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kg</w:t>
                  </w:r>
                </w:p>
              </w:tc>
              <w:tc>
                <w:tcPr>
                  <w:tcW w:w="3127" w:type="dxa"/>
                </w:tcPr>
                <w:p w14:paraId="76097AED" w14:textId="7D4C4605" w:rsidR="001F7CFF" w:rsidRPr="00C558F8" w:rsidRDefault="00EC4853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60,00</w:t>
                  </w:r>
                </w:p>
              </w:tc>
            </w:tr>
            <w:tr w:rsidR="00EC4853" w14:paraId="39816FE5" w14:textId="77777777" w:rsidTr="00E2182D">
              <w:tc>
                <w:tcPr>
                  <w:tcW w:w="5125" w:type="dxa"/>
                </w:tcPr>
                <w:p w14:paraId="3E440680" w14:textId="2E0D8B89" w:rsidR="00EC4853" w:rsidRPr="00EC4853" w:rsidRDefault="00EC4853" w:rsidP="00333491">
                  <w:pPr>
                    <w:contextualSpacing/>
                    <w:jc w:val="both"/>
                  </w:pPr>
                  <w:r>
                    <w:rPr>
                      <w:lang w:val="lt-LT"/>
                    </w:rPr>
                    <w:t>Grietinėlė 35</w:t>
                  </w:r>
                  <w:r>
                    <w:t>%</w:t>
                  </w:r>
                </w:p>
              </w:tc>
              <w:tc>
                <w:tcPr>
                  <w:tcW w:w="1128" w:type="dxa"/>
                </w:tcPr>
                <w:p w14:paraId="52BA2A33" w14:textId="4311CA36" w:rsidR="00EC4853" w:rsidRPr="00C558F8" w:rsidRDefault="00EC4853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kg</w:t>
                  </w:r>
                </w:p>
              </w:tc>
              <w:tc>
                <w:tcPr>
                  <w:tcW w:w="3127" w:type="dxa"/>
                </w:tcPr>
                <w:p w14:paraId="4AF1CE3A" w14:textId="13EFFD5D" w:rsidR="00EC4853" w:rsidRPr="00C558F8" w:rsidRDefault="00EC4853" w:rsidP="00333491">
                  <w:pPr>
                    <w:contextualSpacing/>
                    <w:jc w:val="both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30,00</w:t>
                  </w:r>
                </w:p>
              </w:tc>
            </w:tr>
          </w:tbl>
          <w:p w14:paraId="1264C3D4" w14:textId="77777777" w:rsidR="005A0F30" w:rsidRPr="00261838" w:rsidRDefault="005A0F30" w:rsidP="005A0F30">
            <w:pPr>
              <w:ind w:firstLine="319"/>
              <w:contextualSpacing/>
              <w:jc w:val="both"/>
              <w:rPr>
                <w:bCs/>
                <w:lang w:val="lt-LT"/>
              </w:rPr>
            </w:pPr>
          </w:p>
        </w:tc>
      </w:tr>
      <w:tr w:rsidR="00D12491" w:rsidRPr="00FE1924" w14:paraId="6670F810" w14:textId="77777777" w:rsidTr="00333491">
        <w:trPr>
          <w:cantSplit/>
          <w:trHeight w:val="39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69F13AFD" w14:textId="30EB3F64" w:rsidR="00D12491" w:rsidRPr="00FE1924" w:rsidRDefault="00D45505" w:rsidP="00261838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pt-BR"/>
              </w:rPr>
            </w:pPr>
            <w:r w:rsidRPr="005F4026">
              <w:rPr>
                <w:b/>
                <w:lang w:val="lt-LT"/>
              </w:rPr>
              <w:t>Prekių pristatymo, paslaugų suteikimo ar darbų atlikimo terminai</w:t>
            </w:r>
          </w:p>
        </w:tc>
      </w:tr>
      <w:tr w:rsidR="00D12491" w:rsidRPr="00D12491" w14:paraId="1674928D" w14:textId="77777777" w:rsidTr="00333491">
        <w:trPr>
          <w:cantSplit/>
          <w:trHeight w:val="345"/>
        </w:trPr>
        <w:tc>
          <w:tcPr>
            <w:tcW w:w="9606" w:type="dxa"/>
          </w:tcPr>
          <w:p w14:paraId="16E97D32" w14:textId="192B4C06" w:rsidR="005A0F30" w:rsidRPr="00261838" w:rsidRDefault="00333491" w:rsidP="00333491">
            <w:pPr>
              <w:contextualSpacing/>
              <w:jc w:val="both"/>
              <w:rPr>
                <w:bCs/>
                <w:lang w:val="lt-LT"/>
              </w:rPr>
            </w:pPr>
            <w:proofErr w:type="spellStart"/>
            <w:r w:rsidRPr="00E13B03">
              <w:t>Pienas</w:t>
            </w:r>
            <w:proofErr w:type="spellEnd"/>
            <w:r w:rsidRPr="00E13B03">
              <w:t xml:space="preserve"> ir </w:t>
            </w:r>
            <w:proofErr w:type="spellStart"/>
            <w:r w:rsidRPr="00E13B03">
              <w:t>pieno</w:t>
            </w:r>
            <w:proofErr w:type="spellEnd"/>
            <w:r w:rsidRPr="00E13B03">
              <w:t xml:space="preserve"> </w:t>
            </w:r>
            <w:proofErr w:type="spellStart"/>
            <w:r w:rsidRPr="00E13B03">
              <w:t>produktai</w:t>
            </w:r>
            <w:proofErr w:type="spellEnd"/>
            <w:r w:rsidRPr="00E13B03">
              <w:t xml:space="preserve"> </w:t>
            </w:r>
            <w:proofErr w:type="spellStart"/>
            <w:r w:rsidRPr="00E13B03">
              <w:t>pristatomi</w:t>
            </w:r>
            <w:proofErr w:type="spellEnd"/>
            <w:r w:rsidRPr="00E13B03">
              <w:t xml:space="preserve"> į „</w:t>
            </w:r>
            <w:proofErr w:type="gramStart"/>
            <w:r w:rsidRPr="00E13B03">
              <w:t xml:space="preserve">Lakštingalos“ </w:t>
            </w:r>
            <w:proofErr w:type="spellStart"/>
            <w:r w:rsidRPr="00E13B03">
              <w:t>mokyklą</w:t>
            </w:r>
            <w:proofErr w:type="spellEnd"/>
            <w:proofErr w:type="gramEnd"/>
            <w:r w:rsidRPr="00E13B03">
              <w:t xml:space="preserve"> 2 </w:t>
            </w:r>
            <w:proofErr w:type="spellStart"/>
            <w:r w:rsidRPr="00E13B03">
              <w:t>kartus</w:t>
            </w:r>
            <w:proofErr w:type="spellEnd"/>
            <w:r w:rsidRPr="00E13B03">
              <w:t xml:space="preserve"> per </w:t>
            </w:r>
            <w:proofErr w:type="spellStart"/>
            <w:r w:rsidRPr="00E13B03">
              <w:t>savaitę</w:t>
            </w:r>
            <w:proofErr w:type="spellEnd"/>
            <w:r w:rsidRPr="00E13B03">
              <w:t xml:space="preserve"> </w:t>
            </w:r>
            <w:proofErr w:type="spellStart"/>
            <w:r w:rsidRPr="00E13B03">
              <w:t>antradienį</w:t>
            </w:r>
            <w:proofErr w:type="spellEnd"/>
            <w:r w:rsidRPr="00E13B03">
              <w:t xml:space="preserve"> ir </w:t>
            </w:r>
            <w:proofErr w:type="spellStart"/>
            <w:r w:rsidRPr="00E13B03">
              <w:t>ketvirtadienį</w:t>
            </w:r>
            <w:proofErr w:type="spellEnd"/>
            <w:r w:rsidRPr="00E13B03">
              <w:t xml:space="preserve"> </w:t>
            </w:r>
            <w:proofErr w:type="spellStart"/>
            <w:r w:rsidRPr="00E13B03">
              <w:t>iki</w:t>
            </w:r>
            <w:proofErr w:type="spellEnd"/>
            <w:r w:rsidRPr="00E13B03">
              <w:t xml:space="preserve"> 8.30 </w:t>
            </w:r>
            <w:proofErr w:type="spellStart"/>
            <w:r w:rsidRPr="00E13B03">
              <w:t>valandos</w:t>
            </w:r>
            <w:proofErr w:type="spellEnd"/>
            <w:r w:rsidRPr="00E13B03">
              <w:t xml:space="preserve">. </w:t>
            </w:r>
            <w:proofErr w:type="spellStart"/>
            <w:r w:rsidRPr="00E13B03">
              <w:t>Magučių</w:t>
            </w:r>
            <w:proofErr w:type="spellEnd"/>
            <w:r w:rsidRPr="00E13B03">
              <w:t xml:space="preserve"> </w:t>
            </w:r>
            <w:proofErr w:type="spellStart"/>
            <w:r w:rsidRPr="00E13B03">
              <w:t>ugdymo</w:t>
            </w:r>
            <w:proofErr w:type="spellEnd"/>
            <w:r w:rsidRPr="00E13B03">
              <w:t xml:space="preserve"> </w:t>
            </w:r>
            <w:proofErr w:type="spellStart"/>
            <w:r w:rsidRPr="00E13B03">
              <w:t>skyrių</w:t>
            </w:r>
            <w:proofErr w:type="spellEnd"/>
            <w:r w:rsidRPr="00E13B03">
              <w:t xml:space="preserve"> 2 </w:t>
            </w:r>
            <w:proofErr w:type="spellStart"/>
            <w:r w:rsidRPr="00E13B03">
              <w:t>kartus</w:t>
            </w:r>
            <w:proofErr w:type="spellEnd"/>
            <w:r w:rsidRPr="00E13B03">
              <w:t xml:space="preserve"> per </w:t>
            </w:r>
            <w:proofErr w:type="spellStart"/>
            <w:r w:rsidRPr="00E13B03">
              <w:t>savaitę</w:t>
            </w:r>
            <w:proofErr w:type="spellEnd"/>
            <w:r w:rsidRPr="00E13B03">
              <w:t xml:space="preserve"> </w:t>
            </w:r>
            <w:proofErr w:type="spellStart"/>
            <w:r w:rsidRPr="00E13B03">
              <w:t>antradienį</w:t>
            </w:r>
            <w:proofErr w:type="spellEnd"/>
            <w:r w:rsidRPr="00E13B03">
              <w:t xml:space="preserve"> ir </w:t>
            </w:r>
            <w:proofErr w:type="spellStart"/>
            <w:r w:rsidRPr="00E13B03">
              <w:t>ketvirtadienį</w:t>
            </w:r>
            <w:proofErr w:type="spellEnd"/>
            <w:r w:rsidRPr="00E13B03">
              <w:t xml:space="preserve"> </w:t>
            </w:r>
            <w:proofErr w:type="spellStart"/>
            <w:r w:rsidRPr="00E13B03">
              <w:t>iki</w:t>
            </w:r>
            <w:proofErr w:type="spellEnd"/>
            <w:r w:rsidRPr="00E13B03">
              <w:t xml:space="preserve"> 11 val.</w:t>
            </w:r>
          </w:p>
        </w:tc>
      </w:tr>
      <w:tr w:rsidR="00D12491" w:rsidRPr="00D12491" w14:paraId="1C345F73" w14:textId="77777777" w:rsidTr="00333491">
        <w:trPr>
          <w:cantSplit/>
          <w:trHeight w:val="39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6E538" w14:textId="76F22487" w:rsidR="00D12491" w:rsidRPr="00D12491" w:rsidRDefault="00261838" w:rsidP="00261838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bCs/>
                <w:i/>
                <w:iCs/>
                <w:lang w:val="lt-LT"/>
              </w:rPr>
            </w:pPr>
            <w:r w:rsidRPr="005F4026">
              <w:rPr>
                <w:b/>
                <w:bCs/>
                <w:lang w:val="lt-LT"/>
              </w:rPr>
              <w:t>Papildoma informacija</w:t>
            </w:r>
          </w:p>
        </w:tc>
      </w:tr>
      <w:tr w:rsidR="00D12491" w:rsidRPr="00261838" w14:paraId="1A63AEBD" w14:textId="77777777" w:rsidTr="00333491">
        <w:trPr>
          <w:cantSplit/>
          <w:trHeight w:val="380"/>
        </w:trPr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3E8AE8" w14:textId="10F3E6D5" w:rsidR="00261838" w:rsidRPr="00261838" w:rsidRDefault="00261838" w:rsidP="005A0F30">
            <w:pPr>
              <w:tabs>
                <w:tab w:val="left" w:pos="319"/>
              </w:tabs>
              <w:ind w:firstLine="319"/>
              <w:jc w:val="both"/>
              <w:rPr>
                <w:color w:val="FF0000"/>
                <w:lang w:val="lt-LT"/>
              </w:rPr>
            </w:pPr>
          </w:p>
        </w:tc>
      </w:tr>
    </w:tbl>
    <w:p w14:paraId="6CAD4998" w14:textId="77777777" w:rsidR="001F7CFF" w:rsidRDefault="001F7CFF" w:rsidP="00D12491">
      <w:pPr>
        <w:widowControl w:val="0"/>
        <w:jc w:val="both"/>
        <w:rPr>
          <w:lang w:val="lt-LT"/>
        </w:rPr>
      </w:pPr>
    </w:p>
    <w:p w14:paraId="585EFB20" w14:textId="0DA9F307" w:rsidR="00D12491" w:rsidRPr="002E4117" w:rsidRDefault="00C34E08" w:rsidP="0076312F">
      <w:pPr>
        <w:widowControl w:val="0"/>
        <w:ind w:firstLine="709"/>
        <w:jc w:val="both"/>
        <w:rPr>
          <w:lang w:val="lt-LT"/>
        </w:rPr>
      </w:pPr>
      <w:r w:rsidRPr="002E4117">
        <w:rPr>
          <w:lang w:val="lt-LT"/>
        </w:rPr>
        <w:t>Ūkvedė</w:t>
      </w:r>
      <w:r w:rsidRPr="002E4117">
        <w:rPr>
          <w:lang w:val="lt-LT"/>
        </w:rPr>
        <w:tab/>
      </w:r>
      <w:r w:rsidRPr="002E4117">
        <w:rPr>
          <w:lang w:val="lt-LT"/>
        </w:rPr>
        <w:tab/>
      </w:r>
      <w:r w:rsidRPr="002E4117">
        <w:rPr>
          <w:lang w:val="lt-LT"/>
        </w:rPr>
        <w:tab/>
      </w:r>
      <w:r w:rsidRPr="002E4117">
        <w:rPr>
          <w:lang w:val="lt-LT"/>
        </w:rPr>
        <w:tab/>
      </w:r>
      <w:r w:rsidRPr="002E4117">
        <w:rPr>
          <w:lang w:val="lt-LT"/>
        </w:rPr>
        <w:tab/>
      </w:r>
      <w:r w:rsidRPr="002E4117">
        <w:rPr>
          <w:lang w:val="lt-LT"/>
        </w:rPr>
        <w:tab/>
      </w:r>
      <w:r w:rsidRPr="002E4117">
        <w:rPr>
          <w:lang w:val="lt-LT"/>
        </w:rPr>
        <w:tab/>
      </w:r>
      <w:r w:rsidR="001F7CFF" w:rsidRPr="002E4117">
        <w:rPr>
          <w:lang w:val="lt-LT"/>
        </w:rPr>
        <w:tab/>
        <w:t>Ieva Cibulskienė</w:t>
      </w:r>
    </w:p>
    <w:tbl>
      <w:tblPr>
        <w:tblW w:w="957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2948"/>
      </w:tblGrid>
      <w:tr w:rsidR="00D12491" w:rsidRPr="00D342F5" w14:paraId="0623C1A4" w14:textId="77777777" w:rsidTr="00D342F5">
        <w:trPr>
          <w:trHeight w:val="497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ED4EB51" w14:textId="4F977253" w:rsidR="00D12491" w:rsidRPr="00D342F5" w:rsidRDefault="00D12491" w:rsidP="00317E99">
            <w:pPr>
              <w:widowControl w:val="0"/>
              <w:rPr>
                <w:sz w:val="20"/>
                <w:szCs w:val="20"/>
                <w:lang w:val="lt-LT"/>
              </w:rPr>
            </w:pPr>
            <w:r w:rsidRPr="00D342F5">
              <w:rPr>
                <w:sz w:val="20"/>
                <w:szCs w:val="20"/>
                <w:lang w:val="lt-LT"/>
              </w:rPr>
              <w:t>(Viešojo pirkimo iniciatoriaus pareigos)</w:t>
            </w:r>
          </w:p>
        </w:tc>
        <w:tc>
          <w:tcPr>
            <w:tcW w:w="284" w:type="dxa"/>
            <w:shd w:val="clear" w:color="auto" w:fill="FFFFFF" w:themeFill="background1"/>
          </w:tcPr>
          <w:p w14:paraId="59546375" w14:textId="77777777" w:rsidR="00D12491" w:rsidRPr="00D342F5" w:rsidRDefault="00D12491" w:rsidP="00317E99">
            <w:pPr>
              <w:widowControl w:val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57861F6" w14:textId="77777777" w:rsidR="00D12491" w:rsidRPr="00D342F5" w:rsidRDefault="00D12491" w:rsidP="00317E99">
            <w:pPr>
              <w:widowControl w:val="0"/>
              <w:jc w:val="center"/>
              <w:rPr>
                <w:sz w:val="20"/>
                <w:szCs w:val="20"/>
                <w:lang w:val="lt-LT"/>
              </w:rPr>
            </w:pPr>
            <w:r w:rsidRPr="00D342F5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567" w:type="dxa"/>
            <w:shd w:val="clear" w:color="auto" w:fill="FFFFFF" w:themeFill="background1"/>
          </w:tcPr>
          <w:p w14:paraId="4652E7C5" w14:textId="77777777" w:rsidR="00D12491" w:rsidRPr="00D342F5" w:rsidRDefault="00D12491" w:rsidP="00317E99">
            <w:pPr>
              <w:widowControl w:val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5923C64" w14:textId="77777777" w:rsidR="00D12491" w:rsidRPr="00D342F5" w:rsidRDefault="00D12491" w:rsidP="00317E99">
            <w:pPr>
              <w:widowControl w:val="0"/>
              <w:jc w:val="center"/>
              <w:rPr>
                <w:sz w:val="20"/>
                <w:szCs w:val="20"/>
                <w:lang w:val="lt-LT"/>
              </w:rPr>
            </w:pPr>
            <w:r w:rsidRPr="00D342F5">
              <w:rPr>
                <w:sz w:val="20"/>
                <w:szCs w:val="20"/>
                <w:lang w:val="lt-LT"/>
              </w:rPr>
              <w:t>(vardas ir pavardė)</w:t>
            </w:r>
          </w:p>
        </w:tc>
      </w:tr>
    </w:tbl>
    <w:p w14:paraId="507BFD7E" w14:textId="77777777" w:rsidR="00D12491" w:rsidRPr="002E4117" w:rsidRDefault="00D12491" w:rsidP="00D12491">
      <w:pPr>
        <w:tabs>
          <w:tab w:val="left" w:pos="5540"/>
        </w:tabs>
        <w:rPr>
          <w:lang w:val="lt-LT"/>
        </w:rPr>
      </w:pPr>
      <w:r w:rsidRPr="002E4117">
        <w:rPr>
          <w:lang w:val="lt-LT"/>
        </w:rPr>
        <w:t>TVIRTINA:</w:t>
      </w:r>
    </w:p>
    <w:p w14:paraId="3DC8C1DF" w14:textId="37E1EEA4" w:rsidR="00806344" w:rsidRPr="002E4117" w:rsidRDefault="00C34E08" w:rsidP="00806344">
      <w:pPr>
        <w:widowControl w:val="0"/>
        <w:jc w:val="both"/>
        <w:rPr>
          <w:lang w:val="lt-LT"/>
        </w:rPr>
      </w:pPr>
      <w:r w:rsidRPr="002E4117">
        <w:rPr>
          <w:lang w:val="lt-LT"/>
        </w:rPr>
        <w:tab/>
        <w:t>Direktorė</w:t>
      </w:r>
      <w:r w:rsidRPr="002E4117">
        <w:rPr>
          <w:lang w:val="lt-LT"/>
        </w:rPr>
        <w:tab/>
      </w:r>
      <w:r w:rsidRPr="002E4117">
        <w:rPr>
          <w:lang w:val="lt-LT"/>
        </w:rPr>
        <w:tab/>
      </w:r>
      <w:r w:rsidRPr="002E4117">
        <w:rPr>
          <w:lang w:val="lt-LT"/>
        </w:rPr>
        <w:tab/>
      </w:r>
      <w:r w:rsidRPr="002E4117">
        <w:rPr>
          <w:lang w:val="lt-LT"/>
        </w:rPr>
        <w:tab/>
      </w:r>
      <w:r w:rsidRPr="002E4117">
        <w:rPr>
          <w:lang w:val="lt-LT"/>
        </w:rPr>
        <w:tab/>
      </w:r>
      <w:r w:rsidRPr="002E4117">
        <w:rPr>
          <w:lang w:val="lt-LT"/>
        </w:rPr>
        <w:tab/>
      </w:r>
      <w:r w:rsidRPr="002E4117">
        <w:rPr>
          <w:lang w:val="lt-LT"/>
        </w:rPr>
        <w:tab/>
      </w:r>
      <w:r w:rsidRPr="002E4117">
        <w:rPr>
          <w:lang w:val="lt-LT"/>
        </w:rPr>
        <w:tab/>
        <w:t>Rasa Jurevičienė</w:t>
      </w:r>
    </w:p>
    <w:tbl>
      <w:tblPr>
        <w:tblW w:w="957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2948"/>
      </w:tblGrid>
      <w:tr w:rsidR="00806344" w:rsidRPr="000657C7" w14:paraId="3465CFB7" w14:textId="77777777" w:rsidTr="00D6732F">
        <w:trPr>
          <w:trHeight w:val="71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C25ABB" w14:textId="77777777" w:rsidR="00806344" w:rsidRPr="00D342F5" w:rsidRDefault="00806344" w:rsidP="00D6732F">
            <w:pPr>
              <w:widowControl w:val="0"/>
              <w:rPr>
                <w:sz w:val="20"/>
                <w:szCs w:val="20"/>
                <w:lang w:val="lt-LT"/>
              </w:rPr>
            </w:pPr>
            <w:r w:rsidRPr="00D342F5">
              <w:rPr>
                <w:sz w:val="20"/>
                <w:szCs w:val="20"/>
                <w:lang w:val="lt-LT"/>
              </w:rPr>
              <w:t>(Vadovo pareigos)</w:t>
            </w:r>
          </w:p>
        </w:tc>
        <w:tc>
          <w:tcPr>
            <w:tcW w:w="284" w:type="dxa"/>
          </w:tcPr>
          <w:p w14:paraId="101FA628" w14:textId="77777777" w:rsidR="00806344" w:rsidRPr="00D342F5" w:rsidRDefault="00806344" w:rsidP="00D6732F">
            <w:pPr>
              <w:widowControl w:val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36076D" w14:textId="77777777" w:rsidR="00806344" w:rsidRPr="00D342F5" w:rsidRDefault="00806344" w:rsidP="00D6732F">
            <w:pPr>
              <w:widowControl w:val="0"/>
              <w:jc w:val="center"/>
              <w:rPr>
                <w:sz w:val="20"/>
                <w:szCs w:val="20"/>
                <w:lang w:val="lt-LT"/>
              </w:rPr>
            </w:pPr>
            <w:r w:rsidRPr="00D342F5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567" w:type="dxa"/>
          </w:tcPr>
          <w:p w14:paraId="18C7B199" w14:textId="77777777" w:rsidR="00806344" w:rsidRPr="00D342F5" w:rsidRDefault="00806344" w:rsidP="00D6732F">
            <w:pPr>
              <w:widowControl w:val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F4FB9F" w14:textId="77777777" w:rsidR="00806344" w:rsidRPr="00D342F5" w:rsidRDefault="00806344" w:rsidP="00D6732F">
            <w:pPr>
              <w:widowControl w:val="0"/>
              <w:jc w:val="center"/>
              <w:rPr>
                <w:sz w:val="20"/>
                <w:szCs w:val="20"/>
                <w:lang w:val="lt-LT"/>
              </w:rPr>
            </w:pPr>
            <w:r w:rsidRPr="00D342F5">
              <w:rPr>
                <w:sz w:val="20"/>
                <w:szCs w:val="20"/>
                <w:lang w:val="lt-LT"/>
              </w:rPr>
              <w:t>(vardas ir pavardė)</w:t>
            </w:r>
          </w:p>
        </w:tc>
      </w:tr>
    </w:tbl>
    <w:p w14:paraId="40DE67DD" w14:textId="77777777" w:rsidR="00806344" w:rsidRPr="00D12491" w:rsidRDefault="00806344" w:rsidP="00D342F5">
      <w:pPr>
        <w:tabs>
          <w:tab w:val="left" w:pos="5540"/>
        </w:tabs>
        <w:rPr>
          <w:lang w:val="lt-LT"/>
        </w:rPr>
      </w:pPr>
    </w:p>
    <w:sectPr w:rsidR="00806344" w:rsidRPr="00D12491" w:rsidSect="00E2182D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E30AC" w14:textId="77777777" w:rsidR="00800395" w:rsidRDefault="00800395" w:rsidP="00D12491">
      <w:r>
        <w:separator/>
      </w:r>
    </w:p>
  </w:endnote>
  <w:endnote w:type="continuationSeparator" w:id="0">
    <w:p w14:paraId="1215E53A" w14:textId="77777777" w:rsidR="00800395" w:rsidRDefault="00800395" w:rsidP="00D1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C3B6" w14:textId="77777777" w:rsidR="00800395" w:rsidRDefault="00800395" w:rsidP="00D12491">
      <w:r>
        <w:separator/>
      </w:r>
    </w:p>
  </w:footnote>
  <w:footnote w:type="continuationSeparator" w:id="0">
    <w:p w14:paraId="43383EBB" w14:textId="77777777" w:rsidR="00800395" w:rsidRDefault="00800395" w:rsidP="00D1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-1019550991"/>
      <w:docPartObj>
        <w:docPartGallery w:val="Page Numbers (Top of Page)"/>
        <w:docPartUnique/>
      </w:docPartObj>
    </w:sdtPr>
    <w:sdtContent>
      <w:p w14:paraId="1979EF81" w14:textId="0F333DBC" w:rsidR="00D12491" w:rsidRDefault="00D12491" w:rsidP="00A21313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4A61800A" w14:textId="77777777" w:rsidR="00D12491" w:rsidRDefault="00D124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-1421559132"/>
      <w:docPartObj>
        <w:docPartGallery w:val="Page Numbers (Top of Page)"/>
        <w:docPartUnique/>
      </w:docPartObj>
    </w:sdtPr>
    <w:sdtEndPr>
      <w:rPr>
        <w:rStyle w:val="Puslapionumeris"/>
        <w:rFonts w:ascii="Times New Roman" w:hAnsi="Times New Roman"/>
      </w:rPr>
    </w:sdtEndPr>
    <w:sdtContent>
      <w:p w14:paraId="3437D422" w14:textId="2B05878E" w:rsidR="00D12491" w:rsidRPr="00D12491" w:rsidRDefault="00D12491" w:rsidP="00A21313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</w:rPr>
        </w:pPr>
        <w:r w:rsidRPr="00D12491">
          <w:rPr>
            <w:rStyle w:val="Puslapionumeris"/>
            <w:rFonts w:ascii="Times New Roman" w:hAnsi="Times New Roman"/>
          </w:rPr>
          <w:fldChar w:fldCharType="begin"/>
        </w:r>
        <w:r w:rsidRPr="00D12491">
          <w:rPr>
            <w:rStyle w:val="Puslapionumeris"/>
            <w:rFonts w:ascii="Times New Roman" w:hAnsi="Times New Roman"/>
          </w:rPr>
          <w:instrText xml:space="preserve"> PAGE </w:instrText>
        </w:r>
        <w:r w:rsidRPr="00D12491">
          <w:rPr>
            <w:rStyle w:val="Puslapionumeris"/>
            <w:rFonts w:ascii="Times New Roman" w:hAnsi="Times New Roman"/>
          </w:rPr>
          <w:fldChar w:fldCharType="separate"/>
        </w:r>
        <w:r w:rsidR="00333491">
          <w:rPr>
            <w:rStyle w:val="Puslapionumeris"/>
            <w:rFonts w:ascii="Times New Roman" w:hAnsi="Times New Roman"/>
            <w:noProof/>
          </w:rPr>
          <w:t>3</w:t>
        </w:r>
        <w:r w:rsidRPr="00D12491">
          <w:rPr>
            <w:rStyle w:val="Puslapionumeris"/>
            <w:rFonts w:ascii="Times New Roman" w:hAnsi="Times New Roman"/>
          </w:rPr>
          <w:fldChar w:fldCharType="end"/>
        </w:r>
      </w:p>
    </w:sdtContent>
  </w:sdt>
  <w:p w14:paraId="5316FEBF" w14:textId="77777777" w:rsidR="00D12491" w:rsidRDefault="00D124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3C8C"/>
    <w:multiLevelType w:val="multilevel"/>
    <w:tmpl w:val="55A65AC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52"/>
        </w:tabs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52"/>
        </w:tabs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72"/>
        </w:tabs>
        <w:ind w:left="1872" w:hanging="1800"/>
      </w:pPr>
      <w:rPr>
        <w:rFonts w:hint="default"/>
      </w:rPr>
    </w:lvl>
  </w:abstractNum>
  <w:abstractNum w:abstractNumId="1" w15:restartNumberingAfterBreak="0">
    <w:nsid w:val="24952661"/>
    <w:multiLevelType w:val="hybridMultilevel"/>
    <w:tmpl w:val="CA14E1D0"/>
    <w:lvl w:ilvl="0" w:tplc="9F1C75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100308">
    <w:abstractNumId w:val="1"/>
  </w:num>
  <w:num w:numId="2" w16cid:durableId="15337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491"/>
    <w:rsid w:val="00016D4B"/>
    <w:rsid w:val="00046D4D"/>
    <w:rsid w:val="000657C7"/>
    <w:rsid w:val="00077D83"/>
    <w:rsid w:val="000853BC"/>
    <w:rsid w:val="000B76DB"/>
    <w:rsid w:val="001A440D"/>
    <w:rsid w:val="001C3FD2"/>
    <w:rsid w:val="001F5B8A"/>
    <w:rsid w:val="001F67F1"/>
    <w:rsid w:val="001F7CFF"/>
    <w:rsid w:val="00203272"/>
    <w:rsid w:val="00241644"/>
    <w:rsid w:val="00261838"/>
    <w:rsid w:val="00280DBC"/>
    <w:rsid w:val="002A05AF"/>
    <w:rsid w:val="002B3730"/>
    <w:rsid w:val="002B69FC"/>
    <w:rsid w:val="002C3EDA"/>
    <w:rsid w:val="002D579B"/>
    <w:rsid w:val="002E4117"/>
    <w:rsid w:val="00333491"/>
    <w:rsid w:val="0034075A"/>
    <w:rsid w:val="003C249F"/>
    <w:rsid w:val="003E2EBE"/>
    <w:rsid w:val="003E3B1C"/>
    <w:rsid w:val="003E6ECC"/>
    <w:rsid w:val="00455CAD"/>
    <w:rsid w:val="00471B52"/>
    <w:rsid w:val="0048383A"/>
    <w:rsid w:val="004D400F"/>
    <w:rsid w:val="004F6A9C"/>
    <w:rsid w:val="00545691"/>
    <w:rsid w:val="00585D49"/>
    <w:rsid w:val="005A0F30"/>
    <w:rsid w:val="005F1E37"/>
    <w:rsid w:val="0060528A"/>
    <w:rsid w:val="00613343"/>
    <w:rsid w:val="00630C47"/>
    <w:rsid w:val="006660ED"/>
    <w:rsid w:val="006A126D"/>
    <w:rsid w:val="006A757D"/>
    <w:rsid w:val="006E11D6"/>
    <w:rsid w:val="006F3A7F"/>
    <w:rsid w:val="0075062A"/>
    <w:rsid w:val="00753A3A"/>
    <w:rsid w:val="0076312F"/>
    <w:rsid w:val="007D28FF"/>
    <w:rsid w:val="007E4D5A"/>
    <w:rsid w:val="00800395"/>
    <w:rsid w:val="00806344"/>
    <w:rsid w:val="00834CF1"/>
    <w:rsid w:val="008410D3"/>
    <w:rsid w:val="00843C09"/>
    <w:rsid w:val="008656FE"/>
    <w:rsid w:val="008B5381"/>
    <w:rsid w:val="008C6C12"/>
    <w:rsid w:val="00907BF5"/>
    <w:rsid w:val="00941C4C"/>
    <w:rsid w:val="00963B60"/>
    <w:rsid w:val="00975410"/>
    <w:rsid w:val="009B067C"/>
    <w:rsid w:val="00A47E42"/>
    <w:rsid w:val="00A87F3A"/>
    <w:rsid w:val="00BA4F35"/>
    <w:rsid w:val="00C30E9F"/>
    <w:rsid w:val="00C34E08"/>
    <w:rsid w:val="00C76325"/>
    <w:rsid w:val="00C915A4"/>
    <w:rsid w:val="00C978BE"/>
    <w:rsid w:val="00CA2EAD"/>
    <w:rsid w:val="00CB3866"/>
    <w:rsid w:val="00CB7CD1"/>
    <w:rsid w:val="00CD4AB5"/>
    <w:rsid w:val="00CF2C8D"/>
    <w:rsid w:val="00D12491"/>
    <w:rsid w:val="00D342F5"/>
    <w:rsid w:val="00D45505"/>
    <w:rsid w:val="00D92A1E"/>
    <w:rsid w:val="00E2182D"/>
    <w:rsid w:val="00E40C61"/>
    <w:rsid w:val="00E7501A"/>
    <w:rsid w:val="00EA4B33"/>
    <w:rsid w:val="00EC4853"/>
    <w:rsid w:val="00EC7E60"/>
    <w:rsid w:val="00FD1E2A"/>
    <w:rsid w:val="00FE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FB34"/>
  <w15:chartTrackingRefBased/>
  <w15:docId w15:val="{92526BE1-738B-6E4A-A14F-86935D6D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D1249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D12491"/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paragraph" w:styleId="Antrats">
    <w:name w:val="header"/>
    <w:basedOn w:val="prastasis"/>
    <w:link w:val="AntratsDiagrama"/>
    <w:semiHidden/>
    <w:rsid w:val="00D12491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semiHidden/>
    <w:rsid w:val="00D12491"/>
    <w:rPr>
      <w:rFonts w:ascii="TIMESLT" w:eastAsia="Times New Roman" w:hAnsi="TIMESLT" w:cs="Times New Roman"/>
      <w:kern w:val="0"/>
      <w:szCs w:val="20"/>
      <w:lang w:val="lt-LT"/>
      <w14:ligatures w14:val="none"/>
    </w:rPr>
  </w:style>
  <w:style w:type="character" w:styleId="Puslapionumeris">
    <w:name w:val="page number"/>
    <w:basedOn w:val="Numatytasispastraiposriftas"/>
    <w:uiPriority w:val="99"/>
    <w:semiHidden/>
    <w:unhideWhenUsed/>
    <w:rsid w:val="00D12491"/>
  </w:style>
  <w:style w:type="paragraph" w:styleId="Porat">
    <w:name w:val="footer"/>
    <w:basedOn w:val="prastasis"/>
    <w:link w:val="PoratDiagrama"/>
    <w:uiPriority w:val="99"/>
    <w:unhideWhenUsed/>
    <w:rsid w:val="00D1249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table" w:styleId="Lentelstinklelis">
    <w:name w:val="Table Grid"/>
    <w:basedOn w:val="prastojilentel"/>
    <w:uiPriority w:val="39"/>
    <w:rsid w:val="00D45505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1396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Lipskytė</dc:creator>
  <cp:lastModifiedBy>Zarasu Savivaldybe</cp:lastModifiedBy>
  <cp:revision>3</cp:revision>
  <cp:lastPrinted>2025-11-19T09:22:00Z</cp:lastPrinted>
  <dcterms:created xsi:type="dcterms:W3CDTF">2025-11-25T12:25:00Z</dcterms:created>
  <dcterms:modified xsi:type="dcterms:W3CDTF">2025-11-25T14:34:00Z</dcterms:modified>
</cp:coreProperties>
</file>