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7E96" w14:textId="6F0625A7" w:rsidR="004E2F35" w:rsidRPr="00C86AC8" w:rsidRDefault="004E2F35" w:rsidP="007A31B4">
      <w:pPr>
        <w:jc w:val="center"/>
        <w:rPr>
          <w:sz w:val="24"/>
          <w:szCs w:val="24"/>
          <w:lang w:val="lt-LT"/>
        </w:rPr>
      </w:pPr>
      <w:r>
        <w:rPr>
          <w:noProof/>
        </w:rPr>
        <w:drawing>
          <wp:inline distT="0" distB="0" distL="0" distR="0" wp14:anchorId="71B67D67" wp14:editId="00F5C152">
            <wp:extent cx="597535" cy="597535"/>
            <wp:effectExtent l="0" t="0" r="0" b="0"/>
            <wp:docPr id="225466710" name="Paveikslėlis 1" descr="Paveikslėlis, kuriame yra papuošal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7545433D" w14:textId="77777777" w:rsidR="004E2F35" w:rsidRPr="00C86AC8" w:rsidRDefault="004E2F35" w:rsidP="007A31B4">
      <w:pPr>
        <w:jc w:val="center"/>
        <w:rPr>
          <w:sz w:val="24"/>
          <w:szCs w:val="24"/>
          <w:lang w:val="lt-LT"/>
        </w:rPr>
      </w:pPr>
    </w:p>
    <w:p w14:paraId="7D317A03" w14:textId="77777777" w:rsidR="004E2F35" w:rsidRPr="00C86AC8" w:rsidRDefault="004E2F35" w:rsidP="007A31B4">
      <w:pPr>
        <w:jc w:val="center"/>
        <w:rPr>
          <w:b/>
          <w:sz w:val="24"/>
          <w:szCs w:val="24"/>
          <w:lang w:val="lt-LT"/>
        </w:rPr>
      </w:pPr>
      <w:r w:rsidRPr="00C86AC8">
        <w:rPr>
          <w:b/>
          <w:sz w:val="24"/>
          <w:szCs w:val="24"/>
          <w:lang w:val="lt-LT"/>
        </w:rPr>
        <w:t>VILNIAUS MIESTO SAVIVALDYBĖS ADMINISTRACIJOS</w:t>
      </w:r>
    </w:p>
    <w:p w14:paraId="6E22B2DB" w14:textId="77777777" w:rsidR="004E2F35" w:rsidRPr="00C86AC8" w:rsidRDefault="004E2F35" w:rsidP="007A31B4">
      <w:pPr>
        <w:jc w:val="center"/>
        <w:rPr>
          <w:b/>
          <w:sz w:val="24"/>
          <w:szCs w:val="24"/>
          <w:lang w:val="lt-LT"/>
        </w:rPr>
      </w:pPr>
      <w:r w:rsidRPr="00C86AC8">
        <w:rPr>
          <w:b/>
          <w:sz w:val="24"/>
          <w:szCs w:val="24"/>
          <w:lang w:val="lt-LT"/>
        </w:rPr>
        <w:t>VIEŠŲJŲ PIRKIMŲ SKYRIUS</w:t>
      </w:r>
    </w:p>
    <w:p w14:paraId="44347FCF" w14:textId="77777777" w:rsidR="004E2F35" w:rsidRPr="00C86AC8" w:rsidRDefault="004E2F35" w:rsidP="007A31B4">
      <w:pPr>
        <w:jc w:val="center"/>
        <w:rPr>
          <w:b/>
          <w:sz w:val="24"/>
          <w:szCs w:val="24"/>
          <w:lang w:val="lt-LT"/>
        </w:rPr>
      </w:pPr>
    </w:p>
    <w:p w14:paraId="00BF8E9A" w14:textId="31E43C01" w:rsidR="000256E2" w:rsidRPr="007A31B4" w:rsidRDefault="007A31B4" w:rsidP="007A31B4">
      <w:pPr>
        <w:jc w:val="both"/>
        <w:rPr>
          <w:bCs/>
          <w:sz w:val="24"/>
          <w:szCs w:val="24"/>
          <w:lang w:val="lt-LT"/>
        </w:rPr>
      </w:pPr>
      <w:r>
        <w:rPr>
          <w:bCs/>
          <w:sz w:val="24"/>
          <w:szCs w:val="24"/>
          <w:lang w:val="lt-LT"/>
        </w:rPr>
        <w:t>Pirkimo dalyviams</w:t>
      </w:r>
      <w:r>
        <w:rPr>
          <w:bCs/>
          <w:sz w:val="24"/>
          <w:szCs w:val="24"/>
          <w:lang w:val="lt-LT"/>
        </w:rPr>
        <w:tab/>
      </w:r>
      <w:r>
        <w:rPr>
          <w:bCs/>
          <w:sz w:val="24"/>
          <w:szCs w:val="24"/>
          <w:lang w:val="lt-LT"/>
        </w:rPr>
        <w:tab/>
      </w:r>
      <w:r>
        <w:rPr>
          <w:bCs/>
          <w:sz w:val="24"/>
          <w:szCs w:val="24"/>
          <w:lang w:val="lt-LT"/>
        </w:rPr>
        <w:tab/>
      </w:r>
      <w:r>
        <w:rPr>
          <w:bCs/>
          <w:sz w:val="24"/>
          <w:szCs w:val="24"/>
          <w:lang w:val="lt-LT"/>
        </w:rPr>
        <w:tab/>
      </w:r>
      <w:r>
        <w:rPr>
          <w:bCs/>
          <w:sz w:val="24"/>
          <w:szCs w:val="24"/>
          <w:lang w:val="lt-LT"/>
        </w:rPr>
        <w:tab/>
        <w:t xml:space="preserve">    </w:t>
      </w:r>
      <w:r w:rsidRPr="00B36D81">
        <w:rPr>
          <w:bCs/>
          <w:sz w:val="24"/>
          <w:szCs w:val="24"/>
          <w:lang w:val="lt-LT"/>
        </w:rPr>
        <w:t>2025-</w:t>
      </w:r>
      <w:r w:rsidR="00F13D55" w:rsidRPr="00B36D81">
        <w:rPr>
          <w:bCs/>
          <w:sz w:val="24"/>
          <w:szCs w:val="24"/>
          <w:lang w:val="lt-LT"/>
        </w:rPr>
        <w:t>11-26</w:t>
      </w:r>
    </w:p>
    <w:p w14:paraId="3BD43F0B" w14:textId="77777777" w:rsidR="000256E2" w:rsidRPr="00CB6401" w:rsidRDefault="000256E2" w:rsidP="007A31B4">
      <w:pPr>
        <w:jc w:val="both"/>
        <w:rPr>
          <w:b/>
          <w:bCs/>
          <w:sz w:val="24"/>
          <w:szCs w:val="24"/>
          <w:lang w:val="lt-LT"/>
        </w:rPr>
      </w:pPr>
    </w:p>
    <w:p w14:paraId="65A93B03" w14:textId="4FCE63B7" w:rsidR="004E2F35" w:rsidRPr="00C86AC8" w:rsidRDefault="004A05E9" w:rsidP="007A31B4">
      <w:pPr>
        <w:jc w:val="both"/>
        <w:rPr>
          <w:b/>
          <w:sz w:val="24"/>
          <w:szCs w:val="24"/>
          <w:lang w:val="lt-LT"/>
        </w:rPr>
      </w:pPr>
      <w:r w:rsidRPr="00CB6401">
        <w:rPr>
          <w:b/>
          <w:bCs/>
          <w:sz w:val="24"/>
          <w:szCs w:val="24"/>
          <w:lang w:val="lt-LT"/>
        </w:rPr>
        <w:t xml:space="preserve">DĖL </w:t>
      </w:r>
      <w:r w:rsidR="006D2997" w:rsidRPr="00CB6401">
        <w:rPr>
          <w:b/>
          <w:bCs/>
          <w:sz w:val="24"/>
          <w:szCs w:val="24"/>
          <w:lang w:val="lt-LT"/>
        </w:rPr>
        <w:t>GAUTOS PRETENZIJOS</w:t>
      </w:r>
    </w:p>
    <w:p w14:paraId="2849D39C" w14:textId="77777777" w:rsidR="004E2F35" w:rsidRDefault="004E2F35" w:rsidP="007A31B4">
      <w:pPr>
        <w:suppressAutoHyphens/>
        <w:ind w:firstLine="567"/>
        <w:jc w:val="both"/>
        <w:outlineLvl w:val="0"/>
        <w:rPr>
          <w:sz w:val="24"/>
          <w:szCs w:val="24"/>
          <w:lang w:val="lt-LT"/>
        </w:rPr>
      </w:pPr>
    </w:p>
    <w:p w14:paraId="6E3CF645" w14:textId="77777777" w:rsidR="002940B4" w:rsidRPr="00962756" w:rsidRDefault="002940B4" w:rsidP="002940B4">
      <w:pPr>
        <w:autoSpaceDE w:val="0"/>
        <w:autoSpaceDN w:val="0"/>
        <w:adjustRightInd w:val="0"/>
        <w:ind w:firstLine="567"/>
        <w:jc w:val="both"/>
        <w:rPr>
          <w:sz w:val="24"/>
          <w:szCs w:val="24"/>
          <w:lang w:val="lt-LT"/>
        </w:rPr>
      </w:pPr>
      <w:r w:rsidRPr="00962756">
        <w:rPr>
          <w:sz w:val="24"/>
          <w:szCs w:val="24"/>
          <w:lang w:val="lt-LT"/>
        </w:rPr>
        <w:t xml:space="preserve">CPO Vilnius – Vilniaus miesto savivaldybės administracija (toliau – </w:t>
      </w:r>
      <w:r w:rsidRPr="00962756">
        <w:rPr>
          <w:b/>
          <w:bCs/>
          <w:sz w:val="24"/>
          <w:szCs w:val="24"/>
          <w:lang w:val="lt-LT"/>
        </w:rPr>
        <w:t>CPO Vilnius</w:t>
      </w:r>
      <w:r w:rsidRPr="00962756">
        <w:rPr>
          <w:sz w:val="24"/>
          <w:szCs w:val="24"/>
          <w:lang w:val="lt-LT"/>
        </w:rPr>
        <w:t xml:space="preserve">) vykdo  tarptautinio pirkimo atviro konkurso būdu </w:t>
      </w:r>
      <w:r w:rsidRPr="00962756">
        <w:rPr>
          <w:b/>
          <w:bCs/>
          <w:sz w:val="24"/>
          <w:szCs w:val="24"/>
          <w:lang w:val="lt-LT"/>
        </w:rPr>
        <w:t>„VMKL- 55735-11 Medicininė įranga naujam operacinės blokui (vaizdo endoskopinės sistemos)</w:t>
      </w:r>
      <w:r w:rsidRPr="00962756">
        <w:rPr>
          <w:sz w:val="24"/>
          <w:szCs w:val="24"/>
          <w:lang w:val="lt-LT"/>
        </w:rPr>
        <w:t>“ (</w:t>
      </w:r>
      <w:r w:rsidRPr="00962756">
        <w:rPr>
          <w:rStyle w:val="Numatytasispastraiposriftas1"/>
          <w:rFonts w:eastAsiaTheme="majorEastAsia"/>
          <w:sz w:val="24"/>
          <w:szCs w:val="24"/>
          <w:lang w:val="lt-LT" w:eastAsia="lt-LT"/>
        </w:rPr>
        <w:t xml:space="preserve">Centrinės viešųjų pirkimų informacinės sistemos (toliau – </w:t>
      </w:r>
      <w:r w:rsidRPr="00962756">
        <w:rPr>
          <w:rStyle w:val="Numatytasispastraiposriftas1"/>
          <w:rFonts w:eastAsiaTheme="majorEastAsia"/>
          <w:b/>
          <w:bCs/>
          <w:sz w:val="24"/>
          <w:szCs w:val="24"/>
          <w:lang w:val="lt-LT" w:eastAsia="lt-LT"/>
        </w:rPr>
        <w:t>CVP IS</w:t>
      </w:r>
      <w:r w:rsidRPr="00962756">
        <w:rPr>
          <w:rStyle w:val="Numatytasispastraiposriftas1"/>
          <w:rFonts w:eastAsiaTheme="majorEastAsia"/>
          <w:sz w:val="24"/>
          <w:szCs w:val="24"/>
          <w:lang w:val="lt-LT" w:eastAsia="lt-LT"/>
        </w:rPr>
        <w:t xml:space="preserve">) </w:t>
      </w:r>
      <w:r w:rsidRPr="00962756">
        <w:rPr>
          <w:sz w:val="24"/>
          <w:szCs w:val="24"/>
          <w:lang w:val="lt-LT"/>
        </w:rPr>
        <w:t>pirkimo ID 5372568) (toliau –</w:t>
      </w:r>
      <w:r w:rsidRPr="00962756">
        <w:rPr>
          <w:b/>
          <w:bCs/>
          <w:sz w:val="24"/>
          <w:szCs w:val="24"/>
          <w:lang w:val="lt-LT"/>
        </w:rPr>
        <w:t>Pirkimas</w:t>
      </w:r>
      <w:r w:rsidRPr="00962756">
        <w:rPr>
          <w:sz w:val="24"/>
          <w:szCs w:val="24"/>
          <w:lang w:val="lt-LT"/>
        </w:rPr>
        <w:t>)</w:t>
      </w:r>
      <w:r w:rsidRPr="00962756">
        <w:rPr>
          <w:color w:val="000000" w:themeColor="text1"/>
          <w:sz w:val="24"/>
          <w:szCs w:val="24"/>
          <w:lang w:val="lt-LT" w:eastAsia="lt-LT"/>
        </w:rPr>
        <w:t xml:space="preserve"> procedūras kitai perkančiajai organizacijai – </w:t>
      </w:r>
      <w:bookmarkStart w:id="0" w:name="_Hlk169010758"/>
      <w:r w:rsidRPr="00962756">
        <w:rPr>
          <w:sz w:val="24"/>
          <w:szCs w:val="24"/>
          <w:lang w:val="lt-LT"/>
        </w:rPr>
        <w:t xml:space="preserve">VšĮ </w:t>
      </w:r>
      <w:bookmarkEnd w:id="0"/>
      <w:r w:rsidRPr="00962756">
        <w:rPr>
          <w:sz w:val="24"/>
          <w:szCs w:val="24"/>
          <w:lang w:val="lt-LT"/>
        </w:rPr>
        <w:t xml:space="preserve">Vilniaus miesto klinikinė ligoninė (toliau – </w:t>
      </w:r>
      <w:r w:rsidRPr="00962756">
        <w:rPr>
          <w:b/>
          <w:bCs/>
          <w:sz w:val="24"/>
          <w:szCs w:val="24"/>
          <w:lang w:val="lt-LT"/>
        </w:rPr>
        <w:t>perkančioji organizacija</w:t>
      </w:r>
      <w:r w:rsidRPr="00962756">
        <w:rPr>
          <w:sz w:val="24"/>
          <w:szCs w:val="24"/>
          <w:lang w:val="lt-LT"/>
        </w:rPr>
        <w:t>).</w:t>
      </w:r>
    </w:p>
    <w:p w14:paraId="33C09833" w14:textId="1D5307CF" w:rsidR="002940B4" w:rsidRPr="00962756" w:rsidRDefault="002940B4" w:rsidP="002940B4">
      <w:pPr>
        <w:ind w:firstLine="567"/>
        <w:contextualSpacing/>
        <w:jc w:val="both"/>
        <w:rPr>
          <w:sz w:val="24"/>
          <w:szCs w:val="24"/>
          <w:lang w:val="lt-LT"/>
        </w:rPr>
      </w:pPr>
      <w:r w:rsidRPr="00962756">
        <w:rPr>
          <w:sz w:val="24"/>
          <w:szCs w:val="24"/>
          <w:lang w:val="lt-LT"/>
        </w:rPr>
        <w:t xml:space="preserve">2025-11-19 CVP IS susirašinėjimo priemonėmis buvo gauta </w:t>
      </w:r>
      <w:r>
        <w:rPr>
          <w:sz w:val="24"/>
          <w:szCs w:val="24"/>
          <w:lang w:val="lt-LT"/>
        </w:rPr>
        <w:t>suinteresuoto dalyvio</w:t>
      </w:r>
      <w:r w:rsidRPr="00962756">
        <w:rPr>
          <w:sz w:val="24"/>
          <w:szCs w:val="24"/>
          <w:lang w:val="lt-LT"/>
        </w:rPr>
        <w:t xml:space="preserve"> </w:t>
      </w:r>
      <w:r w:rsidR="00193764">
        <w:rPr>
          <w:sz w:val="24"/>
          <w:szCs w:val="24"/>
          <w:lang w:val="lt-LT"/>
        </w:rPr>
        <w:t xml:space="preserve">(toliau – </w:t>
      </w:r>
      <w:r w:rsidR="00193764">
        <w:rPr>
          <w:b/>
          <w:bCs/>
          <w:sz w:val="24"/>
          <w:szCs w:val="24"/>
          <w:lang w:val="lt-LT"/>
        </w:rPr>
        <w:t>Dalyvis</w:t>
      </w:r>
      <w:r w:rsidR="00193764">
        <w:rPr>
          <w:sz w:val="24"/>
          <w:szCs w:val="24"/>
          <w:lang w:val="lt-LT"/>
        </w:rPr>
        <w:t>)</w:t>
      </w:r>
      <w:r w:rsidR="00193764">
        <w:rPr>
          <w:b/>
          <w:bCs/>
          <w:sz w:val="24"/>
          <w:szCs w:val="24"/>
          <w:lang w:val="lt-LT"/>
        </w:rPr>
        <w:t xml:space="preserve"> </w:t>
      </w:r>
      <w:r w:rsidRPr="00962756">
        <w:rPr>
          <w:sz w:val="24"/>
          <w:szCs w:val="24"/>
          <w:lang w:val="lt-LT"/>
        </w:rPr>
        <w:t xml:space="preserve">pretenzija </w:t>
      </w:r>
      <w:r w:rsidRPr="00962756">
        <w:rPr>
          <w:b/>
          <w:bCs/>
          <w:sz w:val="24"/>
          <w:szCs w:val="24"/>
          <w:u w:val="single"/>
          <w:lang w:val="lt-LT"/>
        </w:rPr>
        <w:t>2 ir 3 pirkimo objekto dalims</w:t>
      </w:r>
      <w:r w:rsidRPr="00962756">
        <w:rPr>
          <w:sz w:val="24"/>
          <w:szCs w:val="24"/>
          <w:lang w:val="lt-LT"/>
        </w:rPr>
        <w:t xml:space="preserve"> (toliau – </w:t>
      </w:r>
      <w:r w:rsidRPr="00962756">
        <w:rPr>
          <w:b/>
          <w:bCs/>
          <w:sz w:val="24"/>
          <w:szCs w:val="24"/>
          <w:lang w:val="lt-LT"/>
        </w:rPr>
        <w:t>p. o. d.</w:t>
      </w:r>
      <w:r w:rsidRPr="00962756">
        <w:rPr>
          <w:sz w:val="24"/>
          <w:szCs w:val="24"/>
          <w:lang w:val="lt-LT"/>
        </w:rPr>
        <w:t>)</w:t>
      </w:r>
      <w:r w:rsidRPr="00962756">
        <w:rPr>
          <w:b/>
          <w:bCs/>
          <w:sz w:val="24"/>
          <w:szCs w:val="24"/>
          <w:lang w:val="lt-LT"/>
        </w:rPr>
        <w:t xml:space="preserve"> </w:t>
      </w:r>
      <w:r w:rsidRPr="00962756">
        <w:rPr>
          <w:sz w:val="24"/>
          <w:szCs w:val="24"/>
          <w:lang w:val="lt-LT"/>
        </w:rPr>
        <w:t>su prašymu</w:t>
      </w:r>
      <w:r w:rsidR="00477851">
        <w:rPr>
          <w:sz w:val="24"/>
          <w:szCs w:val="24"/>
          <w:lang w:val="lt-LT"/>
        </w:rPr>
        <w:t xml:space="preserve"> (toliau – </w:t>
      </w:r>
      <w:r w:rsidR="00477851">
        <w:rPr>
          <w:b/>
          <w:bCs/>
          <w:sz w:val="24"/>
          <w:szCs w:val="24"/>
          <w:lang w:val="lt-LT"/>
        </w:rPr>
        <w:t>Pretenzija</w:t>
      </w:r>
      <w:r w:rsidR="00477851">
        <w:rPr>
          <w:sz w:val="24"/>
          <w:szCs w:val="24"/>
          <w:lang w:val="lt-LT"/>
        </w:rPr>
        <w:t>)</w:t>
      </w:r>
      <w:r w:rsidRPr="00962756">
        <w:rPr>
          <w:sz w:val="24"/>
          <w:szCs w:val="24"/>
          <w:lang w:val="lt-LT"/>
        </w:rPr>
        <w:t xml:space="preserve">: </w:t>
      </w:r>
      <w:r w:rsidRPr="00962756">
        <w:rPr>
          <w:i/>
          <w:iCs/>
          <w:sz w:val="24"/>
          <w:szCs w:val="24"/>
          <w:lang w:val="lt-LT"/>
        </w:rPr>
        <w:t>„patikslinti techninės specifikacijos reikalavimus atitinkamai, siekiant užtikrinti didesnę konkurenciją“</w:t>
      </w:r>
      <w:r w:rsidRPr="00962756">
        <w:rPr>
          <w:sz w:val="24"/>
          <w:szCs w:val="24"/>
          <w:lang w:val="lt-LT"/>
        </w:rPr>
        <w:t>.</w:t>
      </w:r>
    </w:p>
    <w:p w14:paraId="4D7074C8" w14:textId="3ECFAE1C" w:rsidR="002940B4" w:rsidRDefault="00477851" w:rsidP="007A31B4">
      <w:pPr>
        <w:ind w:firstLine="567"/>
        <w:jc w:val="both"/>
        <w:rPr>
          <w:bCs/>
          <w:sz w:val="24"/>
          <w:szCs w:val="24"/>
          <w:lang w:val="lt-LT"/>
        </w:rPr>
      </w:pPr>
      <w:r w:rsidRPr="00962756">
        <w:rPr>
          <w:color w:val="000000"/>
          <w:sz w:val="24"/>
          <w:szCs w:val="24"/>
          <w:lang w:val="lt-LT" w:eastAsia="lt-LT"/>
        </w:rPr>
        <w:t xml:space="preserve">CPO Vilnius Viešųjų pirkimų komisija (toliau – </w:t>
      </w:r>
      <w:r w:rsidRPr="00962756">
        <w:rPr>
          <w:b/>
          <w:bCs/>
          <w:color w:val="000000"/>
          <w:sz w:val="24"/>
          <w:szCs w:val="24"/>
          <w:lang w:val="lt-LT" w:eastAsia="lt-LT"/>
        </w:rPr>
        <w:t>komisija</w:t>
      </w:r>
      <w:r w:rsidRPr="00962756">
        <w:rPr>
          <w:color w:val="000000"/>
          <w:sz w:val="24"/>
          <w:szCs w:val="24"/>
          <w:lang w:val="lt-LT" w:eastAsia="lt-LT"/>
        </w:rPr>
        <w:t xml:space="preserve">), išnagrinėjusi ir įvertinusi pretenzijoje pateiktus argumentus, atsižvelgdama į perkančiosios organizacijos ekspertų išvadas, nepraleisdama LR Viešųjų pirkimų įstatymo (toliau – </w:t>
      </w:r>
      <w:r w:rsidRPr="00962756">
        <w:rPr>
          <w:b/>
          <w:bCs/>
          <w:color w:val="000000"/>
          <w:sz w:val="24"/>
          <w:szCs w:val="24"/>
          <w:lang w:val="lt-LT" w:eastAsia="lt-LT"/>
        </w:rPr>
        <w:t>VPĮ</w:t>
      </w:r>
      <w:r w:rsidRPr="00962756">
        <w:rPr>
          <w:color w:val="000000"/>
          <w:sz w:val="24"/>
          <w:szCs w:val="24"/>
          <w:lang w:val="lt-LT" w:eastAsia="lt-LT"/>
        </w:rPr>
        <w:t xml:space="preserve">) </w:t>
      </w:r>
      <w:r w:rsidRPr="00962756">
        <w:rPr>
          <w:sz w:val="24"/>
          <w:szCs w:val="24"/>
          <w:lang w:val="lt-LT"/>
        </w:rPr>
        <w:t xml:space="preserve">103 straipsnio 3 dalyje nurodyto termino, </w:t>
      </w:r>
      <w:r w:rsidRPr="00962756">
        <w:rPr>
          <w:b/>
          <w:bCs/>
          <w:sz w:val="24"/>
          <w:szCs w:val="24"/>
          <w:u w:val="single"/>
          <w:lang w:val="lt-LT"/>
        </w:rPr>
        <w:t>priėmė sprendimą netenkinti Dalyvio pateiktos pretenzijos ir atmesti ją kaip nepagrįstą</w:t>
      </w:r>
      <w:r w:rsidRPr="00962756">
        <w:rPr>
          <w:sz w:val="24"/>
          <w:szCs w:val="24"/>
          <w:lang w:val="lt-LT"/>
        </w:rPr>
        <w:t xml:space="preserve">. </w:t>
      </w:r>
      <w:r w:rsidRPr="00962756">
        <w:rPr>
          <w:bCs/>
          <w:sz w:val="24"/>
          <w:szCs w:val="24"/>
          <w:lang w:val="lt-LT"/>
        </w:rPr>
        <w:t>Žemiau pateikiami pretenzijos nagrinėjimo argumentai.</w:t>
      </w:r>
    </w:p>
    <w:p w14:paraId="558A2F73" w14:textId="77777777" w:rsidR="00477851" w:rsidRDefault="00477851" w:rsidP="007A31B4">
      <w:pPr>
        <w:ind w:firstLine="567"/>
        <w:jc w:val="both"/>
        <w:rPr>
          <w:sz w:val="24"/>
          <w:szCs w:val="24"/>
          <w:lang w:val="lt-LT"/>
        </w:rPr>
      </w:pPr>
    </w:p>
    <w:p w14:paraId="239D0A9A" w14:textId="77777777" w:rsidR="00193764" w:rsidRPr="00962756" w:rsidRDefault="00193764" w:rsidP="00193764">
      <w:pPr>
        <w:ind w:firstLine="567"/>
        <w:jc w:val="both"/>
        <w:rPr>
          <w:b/>
          <w:bCs/>
          <w:sz w:val="24"/>
          <w:szCs w:val="24"/>
          <w:lang w:val="lt-LT"/>
        </w:rPr>
      </w:pPr>
      <w:r w:rsidRPr="00962756">
        <w:rPr>
          <w:b/>
          <w:bCs/>
          <w:sz w:val="24"/>
          <w:szCs w:val="24"/>
          <w:lang w:val="lt-LT"/>
        </w:rPr>
        <w:t>Dėl 2 p. o. d. techninės specifikacijos 2.1.4 ir 2.1.5 punktų</w:t>
      </w:r>
    </w:p>
    <w:p w14:paraId="5AAC867E" w14:textId="77777777" w:rsidR="00193764" w:rsidRPr="00962756" w:rsidRDefault="00193764" w:rsidP="00193764">
      <w:pPr>
        <w:widowControl w:val="0"/>
        <w:autoSpaceDE w:val="0"/>
        <w:autoSpaceDN w:val="0"/>
        <w:adjustRightInd w:val="0"/>
        <w:ind w:firstLine="567"/>
        <w:jc w:val="both"/>
        <w:rPr>
          <w:bCs/>
          <w:i/>
          <w:iCs/>
          <w:sz w:val="24"/>
          <w:szCs w:val="24"/>
          <w:lang w:val="lt-LT"/>
        </w:rPr>
      </w:pPr>
      <w:r w:rsidRPr="00962756">
        <w:rPr>
          <w:sz w:val="24"/>
          <w:szCs w:val="24"/>
          <w:lang w:val="lt-LT"/>
        </w:rPr>
        <w:t xml:space="preserve">Dalyvis Pretenzijoje teigia, kad </w:t>
      </w:r>
      <w:r w:rsidRPr="00962756">
        <w:rPr>
          <w:i/>
          <w:iCs/>
          <w:sz w:val="24"/>
          <w:szCs w:val="24"/>
          <w:lang w:val="lt-LT"/>
        </w:rPr>
        <w:t>„</w:t>
      </w:r>
      <w:r w:rsidRPr="00962756">
        <w:rPr>
          <w:bCs/>
          <w:i/>
          <w:iCs/>
          <w:sz w:val="24"/>
          <w:szCs w:val="24"/>
          <w:lang w:val="lt-LT"/>
        </w:rPr>
        <w:t xml:space="preserve">prie šios įrangos nurodyti endoskopai perkami nėra ir/ar reikiamas suderinamumas su įstaigoje galimai jau turimais endoskopais taip pat nenurodomas, minėti endoskopai nėra naudojami laparoskopinėse operacijose, kurios yra pagrindinis pirkimo tikslas, todėl šie reikalavimai yra pertekliniai ir ribojantys konkurenciją. Siūlome juos panaikinti“. </w:t>
      </w:r>
      <w:r w:rsidRPr="00962756">
        <w:rPr>
          <w:sz w:val="24"/>
          <w:szCs w:val="24"/>
          <w:lang w:val="lt-LT"/>
        </w:rPr>
        <w:t>Tokie Dalyvio teiginiai rodo, kad Dalyvis galimai nėra įsigilinęs į perkančiosios organizacijos realius poreikius bei neteisingai interpretuoja procesus ir situacijas, su kuriomis susiduria gydymo procese dalyvaujantys specialistai atlikdami laparoskopines operacijas.</w:t>
      </w:r>
    </w:p>
    <w:p w14:paraId="27B073BB" w14:textId="77777777" w:rsidR="00193764" w:rsidRPr="00962756" w:rsidRDefault="00193764" w:rsidP="00193764">
      <w:pPr>
        <w:ind w:firstLine="567"/>
        <w:jc w:val="both"/>
        <w:rPr>
          <w:sz w:val="24"/>
          <w:szCs w:val="24"/>
          <w:lang w:val="lt-LT"/>
        </w:rPr>
      </w:pPr>
      <w:r w:rsidRPr="00962756">
        <w:rPr>
          <w:sz w:val="24"/>
          <w:szCs w:val="24"/>
          <w:lang w:val="lt-LT"/>
        </w:rPr>
        <w:t xml:space="preserve">CPO Vilnius komisija paaiškina, kad </w:t>
      </w:r>
      <w:r w:rsidRPr="003A1ED5">
        <w:rPr>
          <w:sz w:val="24"/>
          <w:szCs w:val="24"/>
          <w:lang w:val="lt-LT"/>
        </w:rPr>
        <w:t xml:space="preserve">techninės specifikacijos 2 punkto reikalavimas nustato kameros valdymo bloko funkcionalumą, o ne lanksčių daugkartinių / vienkartinių </w:t>
      </w:r>
      <w:proofErr w:type="spellStart"/>
      <w:r w:rsidRPr="003A1ED5">
        <w:rPr>
          <w:sz w:val="24"/>
          <w:szCs w:val="24"/>
          <w:lang w:val="lt-LT"/>
        </w:rPr>
        <w:t>video</w:t>
      </w:r>
      <w:proofErr w:type="spellEnd"/>
      <w:r w:rsidRPr="003A1ED5">
        <w:rPr>
          <w:sz w:val="24"/>
          <w:szCs w:val="24"/>
          <w:lang w:val="lt-LT"/>
        </w:rPr>
        <w:t xml:space="preserve"> (skaitmeninių) endoskopų tiekimo apimtį. Perkama vaizdo sistema turi turėti sąsają / prievadus / modulį, leidžiantį prisijungti įvairių tipų endoskopus, jei / kai tokie būtų / bus naudojami klinikoje praktikoje. Nustatytas funkcionalumas yra universalumo, ateities poreikių ir sistemos lankstumo reikalavimas, o ne įsipareigojimas endoskopus įsigyti / pasiūlyti dabar</w:t>
      </w:r>
      <w:r w:rsidRPr="00962756">
        <w:rPr>
          <w:sz w:val="24"/>
          <w:szCs w:val="24"/>
          <w:lang w:val="lt-LT"/>
        </w:rPr>
        <w:t>.</w:t>
      </w:r>
    </w:p>
    <w:p w14:paraId="37548C40" w14:textId="77777777" w:rsidR="00193764" w:rsidRPr="006156F9" w:rsidRDefault="00193764" w:rsidP="00193764">
      <w:pPr>
        <w:ind w:firstLine="567"/>
        <w:jc w:val="both"/>
        <w:rPr>
          <w:sz w:val="24"/>
          <w:szCs w:val="24"/>
          <w:lang w:val="lt-LT"/>
        </w:rPr>
      </w:pPr>
      <w:r w:rsidRPr="00962756">
        <w:rPr>
          <w:sz w:val="24"/>
          <w:szCs w:val="24"/>
          <w:lang w:val="lt-LT"/>
        </w:rPr>
        <w:t xml:space="preserve">CPO Vilnius komisija patvirtina, kad </w:t>
      </w:r>
      <w:r w:rsidRPr="006156F9">
        <w:rPr>
          <w:sz w:val="24"/>
          <w:szCs w:val="24"/>
          <w:lang w:val="lt-LT"/>
        </w:rPr>
        <w:t>šiuo metu pirkimo tikslas yra laparoskopija, tačiau paaiškina, jog ginekologijos skyriuje reguliariai atliekami ir kiti endoskopiniai tyrimai bei procedūros (</w:t>
      </w:r>
      <w:proofErr w:type="spellStart"/>
      <w:r w:rsidRPr="006156F9">
        <w:rPr>
          <w:sz w:val="24"/>
          <w:szCs w:val="24"/>
          <w:lang w:val="lt-LT"/>
        </w:rPr>
        <w:t>histeroskopija</w:t>
      </w:r>
      <w:proofErr w:type="spellEnd"/>
      <w:r w:rsidRPr="006156F9">
        <w:rPr>
          <w:sz w:val="24"/>
          <w:szCs w:val="24"/>
          <w:lang w:val="lt-LT"/>
        </w:rPr>
        <w:t xml:space="preserve">, diagnostinė </w:t>
      </w:r>
      <w:proofErr w:type="spellStart"/>
      <w:r w:rsidRPr="006156F9">
        <w:rPr>
          <w:sz w:val="24"/>
          <w:szCs w:val="24"/>
          <w:lang w:val="lt-LT"/>
        </w:rPr>
        <w:t>cervikoskopija</w:t>
      </w:r>
      <w:proofErr w:type="spellEnd"/>
      <w:r w:rsidRPr="006156F9">
        <w:rPr>
          <w:sz w:val="24"/>
          <w:szCs w:val="24"/>
          <w:lang w:val="lt-LT"/>
        </w:rPr>
        <w:t xml:space="preserve">, sudėtingos sąaugų atlaisvinimo procedūros). </w:t>
      </w:r>
    </w:p>
    <w:p w14:paraId="41953962" w14:textId="77777777" w:rsidR="00193764" w:rsidRPr="00962756" w:rsidRDefault="00193764" w:rsidP="00193764">
      <w:pPr>
        <w:ind w:firstLine="567"/>
        <w:jc w:val="both"/>
        <w:rPr>
          <w:sz w:val="24"/>
          <w:szCs w:val="24"/>
          <w:lang w:val="lt-LT"/>
        </w:rPr>
      </w:pPr>
      <w:r w:rsidRPr="006156F9">
        <w:rPr>
          <w:sz w:val="24"/>
          <w:szCs w:val="24"/>
          <w:lang w:val="lt-LT"/>
        </w:rPr>
        <w:t>Sistemos universalumas privalo sudaryti galimybes prie endoskopinės įrangos jungti endoskopus iš kitų skyrių, pvz. skubios pagalbos, urologijos, chirurgijos, ir panaudoti ją esant ekstremalioms situacijoms. Perkančiojoje organizacijoje naudojama įranga privalo būti maksimaliai universali, nes ji bus naudojama ne mažiau nei 10 metų</w:t>
      </w:r>
      <w:r w:rsidRPr="00962756">
        <w:rPr>
          <w:sz w:val="24"/>
          <w:szCs w:val="24"/>
          <w:lang w:val="lt-LT"/>
        </w:rPr>
        <w:t>.</w:t>
      </w:r>
    </w:p>
    <w:p w14:paraId="14C73F0B" w14:textId="77777777" w:rsidR="00193764" w:rsidRPr="00962756" w:rsidRDefault="00193764" w:rsidP="00193764">
      <w:pPr>
        <w:ind w:firstLine="567"/>
        <w:jc w:val="both"/>
        <w:rPr>
          <w:sz w:val="24"/>
          <w:szCs w:val="24"/>
          <w:lang w:val="lt-LT"/>
        </w:rPr>
      </w:pPr>
      <w:r w:rsidRPr="00B76F86">
        <w:rPr>
          <w:sz w:val="24"/>
          <w:szCs w:val="24"/>
          <w:lang w:val="lt-LT"/>
        </w:rPr>
        <w:lastRenderedPageBreak/>
        <w:t>Atsižvelgus į tai, kad technologijos itin greitai keičiasi bei siekiant racionaliai naudoti valstybės lėšas perkančioji organizacija privalo nusimatyti galimus technologinius pokyčius susijusius su vienkartinių / daugkartinių lanksčių endoskopų panaudojimu bei pritaikomumu viešajam interesui. Todėl reikalavimas turėti numatytas jungtis visų pirma susijęs su realiais klinikiniais poreikiais ir nėra laikytinas pertekliniais reikalavimais</w:t>
      </w:r>
      <w:r w:rsidRPr="00962756">
        <w:rPr>
          <w:sz w:val="24"/>
          <w:szCs w:val="24"/>
          <w:lang w:val="lt-LT"/>
        </w:rPr>
        <w:t>.</w:t>
      </w:r>
    </w:p>
    <w:p w14:paraId="3ACA45B0" w14:textId="77777777" w:rsidR="00193764" w:rsidRPr="00EB2821" w:rsidRDefault="00193764" w:rsidP="00193764">
      <w:pPr>
        <w:ind w:firstLine="567"/>
        <w:jc w:val="both"/>
        <w:rPr>
          <w:sz w:val="24"/>
          <w:szCs w:val="24"/>
          <w:lang w:val="lt-LT"/>
        </w:rPr>
      </w:pPr>
      <w:r w:rsidRPr="00962756">
        <w:rPr>
          <w:sz w:val="24"/>
          <w:szCs w:val="24"/>
          <w:lang w:val="lt-LT"/>
        </w:rPr>
        <w:t xml:space="preserve">CPO Vilnius komisija paaiškina, kad </w:t>
      </w:r>
      <w:r w:rsidRPr="00EB2821">
        <w:rPr>
          <w:sz w:val="24"/>
          <w:szCs w:val="24"/>
          <w:lang w:val="lt-LT"/>
        </w:rPr>
        <w:t>parengta techninė specifikacija nėra pritaikyta išskirtinai vienam gamintojui. Atlikus rinkos konsultacijas nustatyta, kad perkančiosios organizacijos poreikius gali patenkinti ne mažiau nei 2 gamintojų įranga. Atsižvelgus į perkamo objekto sudėtingumą ir ribotą gamintojų segmentą parengta techninė specifikacija užtikrina sąžiningą ir svarbiausia realią konkurenciją tarp tiekėjų ir / arba gamintojų.</w:t>
      </w:r>
    </w:p>
    <w:p w14:paraId="7CE04FB8" w14:textId="77777777" w:rsidR="00193764" w:rsidRPr="00962756" w:rsidRDefault="00193764" w:rsidP="00193764">
      <w:pPr>
        <w:ind w:firstLine="567"/>
        <w:jc w:val="both"/>
        <w:rPr>
          <w:sz w:val="24"/>
          <w:szCs w:val="24"/>
          <w:lang w:val="lt-LT"/>
        </w:rPr>
      </w:pPr>
      <w:r w:rsidRPr="00EB2821">
        <w:rPr>
          <w:sz w:val="24"/>
          <w:szCs w:val="24"/>
          <w:lang w:val="lt-LT"/>
        </w:rPr>
        <w:t>Visų dalyvių, galinčių dalyvauti pirkime, atstovaujami gamintojai standartinėse endoskopinių sistemų konfigūracijose turi reikiamus adapterius kietiems endoskopams, jungtis lanksčių endoskopų procesoriams arba tiesioginiam prijungimui bei technologinius sprendinius leidžiančius dirbti tiek su daugkartiniais, tiek su vienkartiniais endoskopais</w:t>
      </w:r>
      <w:r w:rsidRPr="00962756">
        <w:rPr>
          <w:sz w:val="24"/>
          <w:szCs w:val="24"/>
          <w:lang w:val="lt-LT"/>
        </w:rPr>
        <w:t>.</w:t>
      </w:r>
    </w:p>
    <w:p w14:paraId="445F3D6E" w14:textId="77777777" w:rsidR="00193764" w:rsidRPr="00962756" w:rsidRDefault="00193764" w:rsidP="00193764">
      <w:pPr>
        <w:ind w:firstLine="567"/>
        <w:jc w:val="both"/>
        <w:rPr>
          <w:sz w:val="24"/>
          <w:szCs w:val="24"/>
          <w:lang w:val="lt-LT"/>
        </w:rPr>
      </w:pPr>
      <w:r w:rsidRPr="00962756">
        <w:rPr>
          <w:sz w:val="24"/>
          <w:szCs w:val="24"/>
          <w:lang w:val="lt-LT"/>
        </w:rPr>
        <w:t xml:space="preserve">CPO Vilnius komisija pažymi, kad </w:t>
      </w:r>
      <w:r w:rsidRPr="00FF18EF">
        <w:rPr>
          <w:sz w:val="24"/>
          <w:szCs w:val="24"/>
          <w:lang w:val="lt-LT"/>
        </w:rPr>
        <w:t xml:space="preserve">jei perkančioji organizacija panaikintų nustatytą reikalavimą, tuomet būtų sudarytos realios sąlygos įsigyti sistemą, turinčią „uždarą“ kamerų valdymo bloką, veikiantį tik su vieno gamintojo kietais </w:t>
      </w:r>
      <w:proofErr w:type="spellStart"/>
      <w:r w:rsidRPr="00FF18EF">
        <w:rPr>
          <w:sz w:val="24"/>
          <w:szCs w:val="24"/>
          <w:lang w:val="lt-LT"/>
        </w:rPr>
        <w:t>laparoskopais</w:t>
      </w:r>
      <w:proofErr w:type="spellEnd"/>
      <w:r w:rsidRPr="00FF18EF">
        <w:rPr>
          <w:sz w:val="24"/>
          <w:szCs w:val="24"/>
          <w:lang w:val="lt-LT"/>
        </w:rPr>
        <w:t>, o tokia sistema būtų apribota ateityje, nes negalėtų priimti kitų tipų endoskopų, prireikus jungti vienkartinius endoskopus, tai būtų neįmanoma įgyvendinti</w:t>
      </w:r>
      <w:r w:rsidRPr="00962756">
        <w:rPr>
          <w:sz w:val="24"/>
          <w:szCs w:val="24"/>
          <w:lang w:val="lt-LT"/>
        </w:rPr>
        <w:t>.</w:t>
      </w:r>
    </w:p>
    <w:p w14:paraId="14C47AE8" w14:textId="77777777" w:rsidR="00193764" w:rsidRPr="00122BBC" w:rsidRDefault="00193764" w:rsidP="00193764">
      <w:pPr>
        <w:ind w:firstLine="567"/>
        <w:jc w:val="both"/>
        <w:rPr>
          <w:sz w:val="24"/>
          <w:szCs w:val="24"/>
          <w:lang w:val="lt-LT"/>
        </w:rPr>
      </w:pPr>
      <w:r w:rsidRPr="00122BBC">
        <w:rPr>
          <w:sz w:val="24"/>
          <w:szCs w:val="24"/>
          <w:lang w:val="lt-LT"/>
        </w:rPr>
        <w:t>Dalyvio argumentas Pretenzijoje, kad „</w:t>
      </w:r>
      <w:r w:rsidRPr="00122BBC">
        <w:rPr>
          <w:i/>
          <w:iCs/>
          <w:sz w:val="24"/>
          <w:szCs w:val="24"/>
          <w:lang w:val="lt-LT"/>
        </w:rPr>
        <w:t>Endoskopai nėra perkami, todėl reikalavimas perteklinis</w:t>
      </w:r>
      <w:r w:rsidRPr="00122BBC">
        <w:rPr>
          <w:sz w:val="24"/>
          <w:szCs w:val="24"/>
          <w:lang w:val="lt-LT"/>
        </w:rPr>
        <w:t xml:space="preserve">“ yra teisiškai ir technologiškai neteisingas, nes pirkimo objektas yra </w:t>
      </w:r>
      <w:r w:rsidRPr="00122BBC">
        <w:rPr>
          <w:i/>
          <w:iCs/>
          <w:sz w:val="24"/>
          <w:szCs w:val="24"/>
          <w:lang w:val="lt-LT"/>
        </w:rPr>
        <w:t>vaizdo endoskopinės sistemos</w:t>
      </w:r>
      <w:r w:rsidRPr="00122BBC">
        <w:rPr>
          <w:sz w:val="24"/>
          <w:szCs w:val="24"/>
          <w:lang w:val="lt-LT"/>
        </w:rPr>
        <w:t>, o ne endoskopai. Vaizdo endoskopinės sistemos privalo būti universalios ir pritaikomos įvairiems endoskopams, net jei šiuo metu dėl riboto biudžeto nėra perkamos.</w:t>
      </w:r>
    </w:p>
    <w:p w14:paraId="50ABD6DE" w14:textId="77777777" w:rsidR="00193764" w:rsidRPr="00962756" w:rsidRDefault="00193764" w:rsidP="00193764">
      <w:pPr>
        <w:ind w:firstLine="567"/>
        <w:jc w:val="both"/>
        <w:rPr>
          <w:sz w:val="24"/>
          <w:szCs w:val="24"/>
          <w:lang w:val="lt-LT"/>
        </w:rPr>
      </w:pPr>
      <w:r w:rsidRPr="00122BBC">
        <w:rPr>
          <w:sz w:val="24"/>
          <w:szCs w:val="24"/>
          <w:lang w:val="lt-LT"/>
        </w:rPr>
        <w:t>Perkančioji organizacija neprivalo įsigyti visų galimų priedų šiuo metu, kad numatytų jų panaudojimą ateityje. Pasirinkta pirkimo taktika užtikrina vaizdo endoskopinių sistemų suderinamumą, universalumą ir ilgalaikę įrangos vertę</w:t>
      </w:r>
      <w:r w:rsidRPr="00962756">
        <w:rPr>
          <w:sz w:val="24"/>
          <w:szCs w:val="24"/>
          <w:lang w:val="lt-LT"/>
        </w:rPr>
        <w:t xml:space="preserve">. </w:t>
      </w:r>
    </w:p>
    <w:p w14:paraId="6B5EF284" w14:textId="77777777" w:rsidR="00193764" w:rsidRPr="00962756" w:rsidRDefault="00193764" w:rsidP="00193764">
      <w:pPr>
        <w:tabs>
          <w:tab w:val="left" w:pos="1134"/>
        </w:tabs>
        <w:ind w:firstLine="567"/>
        <w:jc w:val="both"/>
        <w:rPr>
          <w:sz w:val="24"/>
          <w:szCs w:val="24"/>
          <w:lang w:val="lt-LT"/>
        </w:rPr>
      </w:pPr>
    </w:p>
    <w:p w14:paraId="348A9310" w14:textId="77777777" w:rsidR="00193764" w:rsidRPr="00962756" w:rsidRDefault="00193764" w:rsidP="00193764">
      <w:pPr>
        <w:ind w:firstLine="567"/>
        <w:jc w:val="both"/>
        <w:rPr>
          <w:b/>
          <w:bCs/>
          <w:sz w:val="24"/>
          <w:szCs w:val="24"/>
          <w:lang w:val="lt-LT"/>
        </w:rPr>
      </w:pPr>
      <w:r w:rsidRPr="00962756">
        <w:rPr>
          <w:b/>
          <w:bCs/>
          <w:sz w:val="24"/>
          <w:szCs w:val="24"/>
          <w:lang w:val="lt-LT"/>
        </w:rPr>
        <w:t>Dėl 2 p. o. d. techninės specifikacijos 6.3 punkto</w:t>
      </w:r>
    </w:p>
    <w:p w14:paraId="43388FE0" w14:textId="77777777" w:rsidR="00193764" w:rsidRPr="00962756" w:rsidRDefault="00193764" w:rsidP="00193764">
      <w:pPr>
        <w:widowControl w:val="0"/>
        <w:autoSpaceDE w:val="0"/>
        <w:autoSpaceDN w:val="0"/>
        <w:adjustRightInd w:val="0"/>
        <w:ind w:firstLine="567"/>
        <w:jc w:val="both"/>
        <w:rPr>
          <w:bCs/>
          <w:i/>
          <w:iCs/>
          <w:sz w:val="24"/>
          <w:szCs w:val="24"/>
          <w:lang w:val="lt-LT"/>
        </w:rPr>
      </w:pPr>
      <w:r w:rsidRPr="00962756">
        <w:rPr>
          <w:sz w:val="24"/>
          <w:szCs w:val="24"/>
          <w:lang w:val="lt-LT"/>
        </w:rPr>
        <w:t xml:space="preserve">Dalyvis savo Pretenzijoje teigia, kad </w:t>
      </w:r>
      <w:r w:rsidRPr="00962756">
        <w:rPr>
          <w:i/>
          <w:iCs/>
          <w:sz w:val="24"/>
          <w:szCs w:val="24"/>
          <w:lang w:val="lt-LT"/>
        </w:rPr>
        <w:t>„</w:t>
      </w:r>
      <w:r w:rsidRPr="00962756">
        <w:rPr>
          <w:bCs/>
          <w:i/>
          <w:iCs/>
          <w:sz w:val="24"/>
          <w:szCs w:val="24"/>
          <w:lang w:val="lt-LT"/>
        </w:rPr>
        <w:t>lazeriniai šviesos šaltiniai pasižymi gerokai ilgesne tarnavimo trukme, aukšta šviesos kokybe ir efektyvumu, todėl jų įtraukimas į reikalavimą skatintų konkurencingumą ir galimai geresnį kainos ir kokybės santykį, todėl siūlome papildyti sekančiai: LED ar lygiavertė lempa, kurios tarnavimo laikas ≥ 15000 val. arba su šviesos šaltiniu pristatyti 5 atsargines lempas arba siūlomas lazerinis šviesos šaltinis“.</w:t>
      </w:r>
    </w:p>
    <w:p w14:paraId="6BF44DA7" w14:textId="77777777" w:rsidR="00193764" w:rsidRPr="00962756" w:rsidRDefault="00193764" w:rsidP="00193764">
      <w:pPr>
        <w:widowControl w:val="0"/>
        <w:autoSpaceDE w:val="0"/>
        <w:autoSpaceDN w:val="0"/>
        <w:adjustRightInd w:val="0"/>
        <w:ind w:firstLine="567"/>
        <w:jc w:val="both"/>
        <w:rPr>
          <w:i/>
          <w:iCs/>
          <w:sz w:val="24"/>
          <w:szCs w:val="24"/>
          <w:lang w:val="lt-LT"/>
        </w:rPr>
      </w:pPr>
      <w:r w:rsidRPr="00962756">
        <w:rPr>
          <w:sz w:val="24"/>
          <w:szCs w:val="24"/>
          <w:lang w:val="lt-LT"/>
        </w:rPr>
        <w:t xml:space="preserve">CPO Vilnius komisija primena, jog Pirkimo specialiųjų sąlygų 2.4 punkte nurodyta, kad </w:t>
      </w:r>
      <w:r w:rsidRPr="00962756">
        <w:rPr>
          <w:i/>
          <w:iCs/>
          <w:sz w:val="24"/>
          <w:szCs w:val="24"/>
          <w:lang w:val="lt-LT"/>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653F23C" w14:textId="77777777" w:rsidR="00193764" w:rsidRPr="00962756" w:rsidRDefault="00193764" w:rsidP="00193764">
      <w:pPr>
        <w:widowControl w:val="0"/>
        <w:autoSpaceDE w:val="0"/>
        <w:autoSpaceDN w:val="0"/>
        <w:adjustRightInd w:val="0"/>
        <w:ind w:firstLine="567"/>
        <w:jc w:val="both"/>
        <w:rPr>
          <w:sz w:val="24"/>
          <w:szCs w:val="24"/>
          <w:lang w:val="lt-LT"/>
        </w:rPr>
      </w:pPr>
      <w:r w:rsidRPr="00962756">
        <w:rPr>
          <w:sz w:val="24"/>
          <w:szCs w:val="24"/>
          <w:lang w:val="lt-LT"/>
        </w:rPr>
        <w:t xml:space="preserve">CPO Vilnius komisija paaiškina, kad pirkimo techninėje specifikacijoje NIR/ICG šviesos šaltiniui nėra keliami jokie funkciniai ir fizikiniai kriterijai </w:t>
      </w:r>
      <w:r w:rsidRPr="00962756">
        <w:rPr>
          <w:i/>
          <w:iCs/>
          <w:sz w:val="24"/>
          <w:szCs w:val="24"/>
          <w:lang w:val="lt-LT"/>
        </w:rPr>
        <w:t>(pvz. šviesos kokybė ar efektyvumas)</w:t>
      </w:r>
      <w:r w:rsidRPr="00962756">
        <w:rPr>
          <w:sz w:val="24"/>
          <w:szCs w:val="24"/>
          <w:lang w:val="lt-LT"/>
        </w:rPr>
        <w:t>, išskyrus tai, kad šviesos šaltinis turi turėti LED arba lygiavertę lempą, kurios tarnavimo laikas ≥ 15000 val. Dalyviams nėra draudžiama siūlyti ne LED tipo lempas. Perkančiajai organizacijai svarbiausia, jog lempos tarnavimo laikas būtų pakankamai ilgas (≥ 15000 val.), kad nereikėtų patirti neproporcingai didelių išlaidų sistemos eksploatavimo laikotarpiu.</w:t>
      </w:r>
    </w:p>
    <w:p w14:paraId="2D80B74C" w14:textId="77777777" w:rsidR="00193764" w:rsidRPr="00962756" w:rsidRDefault="00193764" w:rsidP="00193764">
      <w:pPr>
        <w:pStyle w:val="Body2"/>
        <w:tabs>
          <w:tab w:val="left" w:pos="1160"/>
        </w:tabs>
        <w:spacing w:after="0"/>
        <w:ind w:firstLine="567"/>
        <w:rPr>
          <w:rFonts w:cs="Times New Roman"/>
          <w:sz w:val="24"/>
          <w:szCs w:val="24"/>
          <w:lang w:val="lt-LT"/>
        </w:rPr>
      </w:pPr>
      <w:r w:rsidRPr="00962756">
        <w:rPr>
          <w:rFonts w:cs="Times New Roman"/>
          <w:sz w:val="24"/>
          <w:szCs w:val="24"/>
          <w:lang w:val="lt-LT"/>
        </w:rPr>
        <w:t>Įvertinus pirkimo sąlygų visumą, dalyviai nėra ribojami siūlyti lazerinių šviesos šaltinių, svarbiausia, kad pasiūlymo pateikimo metu, kartu su pasiūlymo dokumentais pateiktų lygiavertiškumą patvirtinančius įrodymus.</w:t>
      </w:r>
    </w:p>
    <w:p w14:paraId="3E04ADBC" w14:textId="77777777" w:rsidR="00193764" w:rsidRPr="00962756" w:rsidRDefault="00193764" w:rsidP="00193764">
      <w:pPr>
        <w:pStyle w:val="Body2"/>
        <w:tabs>
          <w:tab w:val="left" w:pos="1160"/>
        </w:tabs>
        <w:spacing w:after="0"/>
        <w:ind w:firstLine="567"/>
        <w:rPr>
          <w:rFonts w:cs="Times New Roman"/>
          <w:color w:val="auto"/>
          <w:sz w:val="24"/>
          <w:szCs w:val="24"/>
          <w:lang w:val="lt-LT" w:eastAsia="ar-SA"/>
        </w:rPr>
      </w:pPr>
    </w:p>
    <w:p w14:paraId="5489D7F1" w14:textId="77777777" w:rsidR="00193764" w:rsidRPr="00962756" w:rsidRDefault="00193764" w:rsidP="00193764">
      <w:pPr>
        <w:ind w:firstLine="567"/>
        <w:jc w:val="both"/>
        <w:rPr>
          <w:b/>
          <w:bCs/>
          <w:sz w:val="24"/>
          <w:szCs w:val="24"/>
          <w:lang w:val="lt-LT"/>
        </w:rPr>
      </w:pPr>
      <w:r w:rsidRPr="00962756">
        <w:rPr>
          <w:b/>
          <w:bCs/>
          <w:sz w:val="24"/>
          <w:szCs w:val="24"/>
          <w:lang w:val="lt-LT"/>
        </w:rPr>
        <w:t>Dėl 2 p. o. d. techninės specifikacijos 10.3 punkto</w:t>
      </w:r>
    </w:p>
    <w:p w14:paraId="472E1FCD" w14:textId="77777777" w:rsidR="00193764" w:rsidRPr="00962756" w:rsidRDefault="00193764" w:rsidP="00193764">
      <w:pPr>
        <w:widowControl w:val="0"/>
        <w:autoSpaceDE w:val="0"/>
        <w:autoSpaceDN w:val="0"/>
        <w:adjustRightInd w:val="0"/>
        <w:ind w:firstLine="567"/>
        <w:jc w:val="both"/>
        <w:rPr>
          <w:bCs/>
          <w:i/>
          <w:iCs/>
          <w:sz w:val="24"/>
          <w:szCs w:val="24"/>
          <w:lang w:val="lt-LT"/>
        </w:rPr>
      </w:pPr>
      <w:r w:rsidRPr="00962756">
        <w:rPr>
          <w:sz w:val="24"/>
          <w:szCs w:val="24"/>
          <w:lang w:val="lt-LT"/>
        </w:rPr>
        <w:t>Dalyvis Pretenzijoje siūlo</w:t>
      </w:r>
      <w:r w:rsidRPr="00962756">
        <w:rPr>
          <w:bCs/>
          <w:i/>
          <w:iCs/>
          <w:sz w:val="24"/>
          <w:szCs w:val="24"/>
          <w:lang w:val="lt-LT"/>
        </w:rPr>
        <w:t xml:space="preserve"> „išplėsti ribas iki 330 mm, nes ilgesni teleskopai leidžia gydytojams geriau prieiti prie sudėtingų anatominių vietų, ypač didesniuose ar sudėtinguose operacijos laukuose. Tai padidina operacijų efektyvumą ir sumažina galimų komplikacijų riziką, susijusią su netinkamu prieigos kampu ar atstumu. Taip pat didesnis darbo ilgis leidžia išvengti papildomų įrenginių ar pozicijų keitimo operacijos metu, kas sumažina klaidų tikimybę ir pagerina procedūrų saugumą“.</w:t>
      </w:r>
    </w:p>
    <w:p w14:paraId="4F86E0DA" w14:textId="77777777" w:rsidR="00193764" w:rsidRPr="00962756" w:rsidRDefault="00193764" w:rsidP="00193764">
      <w:pPr>
        <w:widowControl w:val="0"/>
        <w:autoSpaceDE w:val="0"/>
        <w:autoSpaceDN w:val="0"/>
        <w:adjustRightInd w:val="0"/>
        <w:ind w:firstLine="567"/>
        <w:jc w:val="both"/>
        <w:rPr>
          <w:sz w:val="24"/>
          <w:szCs w:val="24"/>
          <w:lang w:val="lt-LT"/>
        </w:rPr>
      </w:pPr>
      <w:r w:rsidRPr="00962756">
        <w:rPr>
          <w:sz w:val="24"/>
          <w:szCs w:val="24"/>
          <w:lang w:val="lt-LT"/>
        </w:rPr>
        <w:t xml:space="preserve">CPO Vilnius komisija informuoja, kad </w:t>
      </w:r>
      <w:r w:rsidRPr="002C2C5B">
        <w:rPr>
          <w:sz w:val="24"/>
          <w:szCs w:val="24"/>
          <w:lang w:val="lt-LT"/>
        </w:rPr>
        <w:t>standartiniai ginekologiniai laparoskopiniai teleskopai (teleskopai / endoskopai) yra 300 – 320 mm darbinio ilgio, o jų skersmuo būna 5 mm arba 10 mm ir yra išskirtinai pritaikyti anatominiam moters mažojo dubens gylio bei operacinio lauko specifikai. Techninėje specifikacijoje nustatytas reikalavimas 310 mm ± 10 mm (t. y. 300–320 mm) yra visiškai įprastas ir medicininės praktikos standartus atitinkantis teleskopo ilgis</w:t>
      </w:r>
      <w:r w:rsidRPr="00962756">
        <w:rPr>
          <w:sz w:val="24"/>
          <w:szCs w:val="24"/>
          <w:lang w:val="lt-LT"/>
        </w:rPr>
        <w:t>.</w:t>
      </w:r>
    </w:p>
    <w:p w14:paraId="046CDBD2" w14:textId="77777777" w:rsidR="00193764" w:rsidRPr="008037AE" w:rsidRDefault="00193764" w:rsidP="00193764">
      <w:pPr>
        <w:widowControl w:val="0"/>
        <w:autoSpaceDE w:val="0"/>
        <w:autoSpaceDN w:val="0"/>
        <w:adjustRightInd w:val="0"/>
        <w:ind w:firstLine="567"/>
        <w:jc w:val="both"/>
        <w:rPr>
          <w:sz w:val="24"/>
          <w:szCs w:val="24"/>
          <w:lang w:val="lt-LT"/>
        </w:rPr>
      </w:pPr>
      <w:r w:rsidRPr="00962756">
        <w:rPr>
          <w:sz w:val="24"/>
          <w:szCs w:val="24"/>
          <w:lang w:val="lt-LT"/>
        </w:rPr>
        <w:t xml:space="preserve">CPO Vilnius komisija pažymi, kad </w:t>
      </w:r>
      <w:r w:rsidRPr="008037AE">
        <w:rPr>
          <w:sz w:val="24"/>
          <w:szCs w:val="24"/>
          <w:lang w:val="lt-LT"/>
        </w:rPr>
        <w:t xml:space="preserve">teleskopo darbinis ilgis nustatytas ne atsitiktinai, o todėl, kad būtent toks ilgis leidžia optimaliai manevruoti mažajame dubenyje, suteikia tinkamą vaizdo stabilumą ir instrumentų </w:t>
      </w:r>
      <w:proofErr w:type="spellStart"/>
      <w:r w:rsidRPr="008037AE">
        <w:rPr>
          <w:sz w:val="24"/>
          <w:szCs w:val="24"/>
          <w:lang w:val="lt-LT"/>
        </w:rPr>
        <w:t>trianguliaciją</w:t>
      </w:r>
      <w:proofErr w:type="spellEnd"/>
      <w:r w:rsidRPr="008037AE">
        <w:rPr>
          <w:sz w:val="24"/>
          <w:szCs w:val="24"/>
          <w:lang w:val="lt-LT"/>
        </w:rPr>
        <w:t xml:space="preserve"> bei yra suderintas su visais kitais ginekologiniais instrumentais (</w:t>
      </w:r>
      <w:proofErr w:type="spellStart"/>
      <w:r w:rsidRPr="008037AE">
        <w:rPr>
          <w:sz w:val="24"/>
          <w:szCs w:val="24"/>
          <w:lang w:val="lt-LT"/>
        </w:rPr>
        <w:t>trokarais</w:t>
      </w:r>
      <w:proofErr w:type="spellEnd"/>
      <w:r w:rsidRPr="008037AE">
        <w:rPr>
          <w:sz w:val="24"/>
          <w:szCs w:val="24"/>
          <w:lang w:val="lt-LT"/>
        </w:rPr>
        <w:t>, žnyplėmis, kabliais, siuvimo instrumentais).</w:t>
      </w:r>
    </w:p>
    <w:p w14:paraId="5F39CBD9" w14:textId="77777777" w:rsidR="00193764" w:rsidRPr="00962756" w:rsidRDefault="00193764" w:rsidP="00193764">
      <w:pPr>
        <w:widowControl w:val="0"/>
        <w:autoSpaceDE w:val="0"/>
        <w:autoSpaceDN w:val="0"/>
        <w:adjustRightInd w:val="0"/>
        <w:ind w:firstLine="567"/>
        <w:jc w:val="both"/>
        <w:rPr>
          <w:sz w:val="24"/>
          <w:szCs w:val="24"/>
          <w:lang w:val="lt-LT"/>
        </w:rPr>
      </w:pPr>
      <w:r w:rsidRPr="008037AE">
        <w:rPr>
          <w:sz w:val="24"/>
          <w:szCs w:val="24"/>
          <w:lang w:val="lt-LT"/>
        </w:rPr>
        <w:t xml:space="preserve">Dalyviams turėtų būti žinoma, kad 330 mm teleskopai yra naudojami </w:t>
      </w:r>
      <w:proofErr w:type="spellStart"/>
      <w:r w:rsidRPr="008037AE">
        <w:rPr>
          <w:sz w:val="24"/>
          <w:szCs w:val="24"/>
          <w:lang w:val="lt-LT"/>
        </w:rPr>
        <w:t>bariatrinėje</w:t>
      </w:r>
      <w:proofErr w:type="spellEnd"/>
      <w:r w:rsidRPr="008037AE">
        <w:rPr>
          <w:sz w:val="24"/>
          <w:szCs w:val="24"/>
          <w:lang w:val="lt-LT"/>
        </w:rPr>
        <w:t xml:space="preserve"> chirurgijoje, kai kuriose </w:t>
      </w:r>
      <w:proofErr w:type="spellStart"/>
      <w:r w:rsidRPr="008037AE">
        <w:rPr>
          <w:sz w:val="24"/>
          <w:szCs w:val="24"/>
          <w:lang w:val="lt-LT"/>
        </w:rPr>
        <w:t>kolorektalinės</w:t>
      </w:r>
      <w:proofErr w:type="spellEnd"/>
      <w:r w:rsidRPr="008037AE">
        <w:rPr>
          <w:sz w:val="24"/>
          <w:szCs w:val="24"/>
          <w:lang w:val="lt-LT"/>
        </w:rPr>
        <w:t xml:space="preserve"> chirurgijos situacijose, bei operuojant giliai esančius organus, </w:t>
      </w:r>
      <w:r w:rsidRPr="008037AE">
        <w:rPr>
          <w:b/>
          <w:bCs/>
          <w:sz w:val="24"/>
          <w:szCs w:val="24"/>
          <w:u w:val="single"/>
          <w:lang w:val="lt-LT"/>
        </w:rPr>
        <w:t>bet ne ginekologijoje</w:t>
      </w:r>
      <w:r w:rsidRPr="008037AE">
        <w:rPr>
          <w:sz w:val="24"/>
          <w:szCs w:val="24"/>
          <w:lang w:val="lt-LT"/>
        </w:rPr>
        <w:t xml:space="preserve">. Ginekologinė laparoskopija vyksta daug arčiau priekinės pilvo sienos nei viršutinės pilvo dalies ar </w:t>
      </w:r>
      <w:proofErr w:type="spellStart"/>
      <w:r w:rsidRPr="008037AE">
        <w:rPr>
          <w:sz w:val="24"/>
          <w:szCs w:val="24"/>
          <w:lang w:val="lt-LT"/>
        </w:rPr>
        <w:t>retroperitoninės</w:t>
      </w:r>
      <w:proofErr w:type="spellEnd"/>
      <w:r w:rsidRPr="008037AE">
        <w:rPr>
          <w:sz w:val="24"/>
          <w:szCs w:val="24"/>
          <w:lang w:val="lt-LT"/>
        </w:rPr>
        <w:t xml:space="preserve"> struktūros operacijos</w:t>
      </w:r>
      <w:r w:rsidRPr="00962756">
        <w:rPr>
          <w:sz w:val="24"/>
          <w:szCs w:val="24"/>
          <w:lang w:val="lt-LT"/>
        </w:rPr>
        <w:t>.</w:t>
      </w:r>
    </w:p>
    <w:p w14:paraId="474E2563" w14:textId="77777777" w:rsidR="00193764" w:rsidRPr="00962756" w:rsidRDefault="00193764" w:rsidP="00193764">
      <w:pPr>
        <w:widowControl w:val="0"/>
        <w:autoSpaceDE w:val="0"/>
        <w:autoSpaceDN w:val="0"/>
        <w:adjustRightInd w:val="0"/>
        <w:ind w:firstLine="567"/>
        <w:jc w:val="both"/>
        <w:rPr>
          <w:sz w:val="24"/>
          <w:szCs w:val="24"/>
          <w:lang w:val="lt-LT"/>
        </w:rPr>
      </w:pPr>
      <w:r w:rsidRPr="00962756">
        <w:rPr>
          <w:sz w:val="24"/>
          <w:szCs w:val="24"/>
          <w:lang w:val="lt-LT"/>
        </w:rPr>
        <w:t xml:space="preserve">CPO Vilnius komisija paaiškina, kad </w:t>
      </w:r>
      <w:r w:rsidRPr="003774D7">
        <w:rPr>
          <w:sz w:val="24"/>
          <w:szCs w:val="24"/>
          <w:lang w:val="lt-LT"/>
        </w:rPr>
        <w:t xml:space="preserve">ilgesni teleskopai sukuria didesnį svirties efektą, pablogina rankų ergonomiką, didina instrumentų virpesius, sumažina vaizdo stabilumą bei gali sukelti nepageidaujamą spaudimą </w:t>
      </w:r>
      <w:proofErr w:type="spellStart"/>
      <w:r w:rsidRPr="003774D7">
        <w:rPr>
          <w:sz w:val="24"/>
          <w:szCs w:val="24"/>
          <w:lang w:val="lt-LT"/>
        </w:rPr>
        <w:t>trokarui</w:t>
      </w:r>
      <w:proofErr w:type="spellEnd"/>
      <w:r w:rsidRPr="003774D7">
        <w:rPr>
          <w:sz w:val="24"/>
          <w:szCs w:val="24"/>
          <w:lang w:val="lt-LT"/>
        </w:rPr>
        <w:t xml:space="preserve"> ar siūlių vietoms, todėl 330 mm ilgis nėra privalumas, kaip teigiama Pretenzijoje, o kai kuriais atvejais net kenkia tiksliai laparoskopinei ginekologinei chirurgijai</w:t>
      </w:r>
      <w:r w:rsidRPr="00962756">
        <w:rPr>
          <w:sz w:val="24"/>
          <w:szCs w:val="24"/>
          <w:lang w:val="lt-LT"/>
        </w:rPr>
        <w:t>.</w:t>
      </w:r>
    </w:p>
    <w:p w14:paraId="1BFD33D7" w14:textId="77777777" w:rsidR="00193764" w:rsidRPr="003D3774" w:rsidRDefault="00193764" w:rsidP="00193764">
      <w:pPr>
        <w:ind w:firstLine="567"/>
        <w:jc w:val="both"/>
        <w:rPr>
          <w:sz w:val="24"/>
          <w:szCs w:val="24"/>
          <w:lang w:val="lt-LT"/>
        </w:rPr>
      </w:pPr>
      <w:r w:rsidRPr="003D3774">
        <w:rPr>
          <w:sz w:val="24"/>
          <w:szCs w:val="24"/>
          <w:lang w:val="lt-LT"/>
        </w:rPr>
        <w:t>Dalyvio argumentai apie darbinio ilgio išplėtimą iki 330 mm yra bendro pobūdžio ir netaikomas NIR/ICG optikai. NIR/ICG teleskopai turi savo specifiką: (i) optinis kelias turi būti optimizuotas fluorescencijai; (ii) ilgesnis vamzdis didina šviesos nuostolius; (iii) prastėja signalo–triukšmo santykis; (iv) mažėja fluorescencijos jautrumas. Apibendrinant, ilgesnis korpusas tiesiogiai mažina NIR/ICG vaizdo kokybę, todėl NIR/ICG teleskopų ilgis visų gamintojų yra specialiai ribojamas.</w:t>
      </w:r>
    </w:p>
    <w:p w14:paraId="5BBA6FA8" w14:textId="77777777" w:rsidR="00193764" w:rsidRPr="00962756" w:rsidRDefault="00193764" w:rsidP="00193764">
      <w:pPr>
        <w:ind w:firstLine="567"/>
        <w:jc w:val="both"/>
        <w:rPr>
          <w:i/>
          <w:iCs/>
          <w:sz w:val="24"/>
          <w:szCs w:val="24"/>
          <w:lang w:val="lt-LT"/>
        </w:rPr>
      </w:pPr>
      <w:r w:rsidRPr="003D3774">
        <w:rPr>
          <w:sz w:val="24"/>
          <w:szCs w:val="24"/>
          <w:lang w:val="lt-LT"/>
        </w:rPr>
        <w:t>Nustatytas reikalavimas ne tik atitinka konkrečius perkančiosios organizacijos specialistų poreikius, bet ir nėra ribojantis tinkamos konkurencijos tarp gamintojų ir / arba tiekėjų. Atliktos rinkos konsultacijos perkančiajai organizacijai leidžia daryti pagrįstas išvadas, kad rinkoje yra ne vienas tiekėjas galintis pasiūlyti ne tik techninės specifikacijos 10.4 punkto reikalavimą atitinkančias vaizdo endoskopines sistemas, bet ir techninės specifikacijos parametrų visumą atitinkančias sistemas</w:t>
      </w:r>
      <w:r w:rsidRPr="00962756">
        <w:rPr>
          <w:sz w:val="24"/>
          <w:szCs w:val="24"/>
          <w:lang w:val="lt-LT"/>
        </w:rPr>
        <w:t>.</w:t>
      </w:r>
    </w:p>
    <w:p w14:paraId="1A5A74D9" w14:textId="77777777" w:rsidR="00193764" w:rsidRPr="00962756" w:rsidRDefault="00193764" w:rsidP="00193764">
      <w:pPr>
        <w:pStyle w:val="Body2"/>
        <w:tabs>
          <w:tab w:val="left" w:pos="1160"/>
        </w:tabs>
        <w:spacing w:after="0"/>
        <w:ind w:firstLine="567"/>
        <w:rPr>
          <w:rFonts w:cs="Times New Roman"/>
          <w:b/>
          <w:bCs/>
          <w:color w:val="auto"/>
          <w:sz w:val="24"/>
          <w:szCs w:val="24"/>
          <w:lang w:val="lt-LT" w:eastAsia="ar-SA"/>
        </w:rPr>
      </w:pPr>
    </w:p>
    <w:p w14:paraId="1B416321" w14:textId="77777777" w:rsidR="00193764" w:rsidRPr="00962756" w:rsidRDefault="00193764" w:rsidP="00193764">
      <w:pPr>
        <w:ind w:firstLine="567"/>
        <w:jc w:val="both"/>
        <w:rPr>
          <w:b/>
          <w:bCs/>
          <w:sz w:val="24"/>
          <w:szCs w:val="24"/>
          <w:lang w:val="lt-LT"/>
        </w:rPr>
      </w:pPr>
      <w:r w:rsidRPr="00962756">
        <w:rPr>
          <w:b/>
          <w:bCs/>
          <w:sz w:val="24"/>
          <w:szCs w:val="24"/>
          <w:lang w:val="lt-LT"/>
        </w:rPr>
        <w:t>Dėl 3 p. o. d. techninės specifikacijos 2.4.2 punkto</w:t>
      </w:r>
    </w:p>
    <w:p w14:paraId="3684A89A" w14:textId="77777777" w:rsidR="00193764" w:rsidRPr="00962756" w:rsidRDefault="00193764" w:rsidP="00193764">
      <w:pPr>
        <w:widowControl w:val="0"/>
        <w:autoSpaceDE w:val="0"/>
        <w:autoSpaceDN w:val="0"/>
        <w:adjustRightInd w:val="0"/>
        <w:ind w:firstLine="567"/>
        <w:jc w:val="both"/>
        <w:rPr>
          <w:bCs/>
          <w:i/>
          <w:iCs/>
          <w:sz w:val="24"/>
          <w:szCs w:val="24"/>
          <w:lang w:val="lt-LT"/>
        </w:rPr>
      </w:pPr>
      <w:r w:rsidRPr="00962756">
        <w:rPr>
          <w:sz w:val="24"/>
          <w:szCs w:val="24"/>
          <w:lang w:val="lt-LT"/>
        </w:rPr>
        <w:t xml:space="preserve">Dalyvis Pretenzijoje teigia, kad </w:t>
      </w:r>
      <w:r w:rsidRPr="00962756">
        <w:rPr>
          <w:i/>
          <w:iCs/>
          <w:sz w:val="24"/>
          <w:szCs w:val="24"/>
          <w:lang w:val="lt-LT"/>
        </w:rPr>
        <w:t>„</w:t>
      </w:r>
      <w:r w:rsidRPr="00962756">
        <w:rPr>
          <w:bCs/>
          <w:i/>
          <w:iCs/>
          <w:sz w:val="24"/>
          <w:szCs w:val="24"/>
          <w:lang w:val="lt-LT"/>
        </w:rPr>
        <w:t>siauro/susiaurinto spektro režimai yra specifiniai ir nenaudojami laparoskopinėse operacijose, jie skirti išryškinti paviršinių (</w:t>
      </w:r>
      <w:proofErr w:type="spellStart"/>
      <w:r w:rsidRPr="00962756">
        <w:rPr>
          <w:bCs/>
          <w:i/>
          <w:iCs/>
          <w:sz w:val="24"/>
          <w:szCs w:val="24"/>
          <w:lang w:val="lt-LT"/>
        </w:rPr>
        <w:t>submukozinių</w:t>
      </w:r>
      <w:proofErr w:type="spellEnd"/>
      <w:r w:rsidRPr="00962756">
        <w:rPr>
          <w:bCs/>
          <w:i/>
          <w:iCs/>
          <w:sz w:val="24"/>
          <w:szCs w:val="24"/>
          <w:lang w:val="lt-LT"/>
        </w:rPr>
        <w:t xml:space="preserve">) kraujagyslių tinklą ankstyvajai vežinių darinių diagnostikai, kas yra endoskopinių diagnostinių tyrimų ar terapinių procedūrų režimas, todėl šis reikalavimas Pirkime yra perteklinis ir ribojantis reikalavimas. Siūlome koreguoti sekančiai: Vizualizacijos režimas, skirtas pagerinti audinių, kraujagyslių ar gleivinių struktūrų išryškinimą, nepriklausomai nuo jų veikimo principo (optinis ar elektroninis)“. </w:t>
      </w:r>
      <w:r w:rsidRPr="00962756">
        <w:rPr>
          <w:bCs/>
          <w:sz w:val="24"/>
          <w:szCs w:val="24"/>
          <w:lang w:val="lt-LT"/>
        </w:rPr>
        <w:t xml:space="preserve">Tokie Dalyvio teiginiai </w:t>
      </w:r>
      <w:r w:rsidRPr="00962756">
        <w:rPr>
          <w:sz w:val="24"/>
          <w:szCs w:val="24"/>
          <w:lang w:val="lt-LT"/>
        </w:rPr>
        <w:t>rodo, kad Dalyvis galimai nėra įsigilinęs į perkančiosios organizacijos realius poreikius bei neteisingai interpretuoja procesus ir situacijas, su kuriomis susiduria gydymo procese dalyvaujantys specialistai atlikdami laparoskopines operacijas.</w:t>
      </w:r>
    </w:p>
    <w:p w14:paraId="1A44FDF4" w14:textId="77777777" w:rsidR="00193764" w:rsidRPr="00962756" w:rsidRDefault="00193764" w:rsidP="00193764">
      <w:pPr>
        <w:ind w:firstLine="567"/>
        <w:jc w:val="both"/>
        <w:rPr>
          <w:sz w:val="24"/>
          <w:szCs w:val="24"/>
          <w:lang w:val="lt-LT"/>
        </w:rPr>
      </w:pPr>
      <w:r w:rsidRPr="00514638">
        <w:rPr>
          <w:sz w:val="24"/>
          <w:szCs w:val="24"/>
          <w:lang w:val="lt-LT"/>
        </w:rPr>
        <w:lastRenderedPageBreak/>
        <w:t>Dalyvio teiginys, kad siauro spektro režimai „</w:t>
      </w:r>
      <w:r w:rsidRPr="00514638">
        <w:rPr>
          <w:i/>
          <w:iCs/>
          <w:sz w:val="24"/>
          <w:szCs w:val="24"/>
          <w:lang w:val="lt-LT"/>
        </w:rPr>
        <w:t>nenaudojami laparoskopijoje</w:t>
      </w:r>
      <w:r w:rsidRPr="00514638">
        <w:rPr>
          <w:sz w:val="24"/>
          <w:szCs w:val="24"/>
          <w:lang w:val="lt-LT"/>
        </w:rPr>
        <w:t>“, yra klaidingas, nes šiuolaikinėje laparoskopinėje chirurgijoje siauro spektro (</w:t>
      </w:r>
      <w:proofErr w:type="spellStart"/>
      <w:r w:rsidRPr="00514638">
        <w:rPr>
          <w:i/>
          <w:iCs/>
          <w:sz w:val="24"/>
          <w:szCs w:val="24"/>
          <w:lang w:val="lt-LT"/>
        </w:rPr>
        <w:t>narrow</w:t>
      </w:r>
      <w:proofErr w:type="spellEnd"/>
      <w:r w:rsidRPr="00514638">
        <w:rPr>
          <w:i/>
          <w:iCs/>
          <w:sz w:val="24"/>
          <w:szCs w:val="24"/>
          <w:lang w:val="lt-LT"/>
        </w:rPr>
        <w:t xml:space="preserve"> </w:t>
      </w:r>
      <w:proofErr w:type="spellStart"/>
      <w:r w:rsidRPr="00514638">
        <w:rPr>
          <w:i/>
          <w:iCs/>
          <w:sz w:val="24"/>
          <w:szCs w:val="24"/>
          <w:lang w:val="lt-LT"/>
        </w:rPr>
        <w:t>band</w:t>
      </w:r>
      <w:proofErr w:type="spellEnd"/>
      <w:r w:rsidRPr="00514638">
        <w:rPr>
          <w:i/>
          <w:iCs/>
          <w:sz w:val="24"/>
          <w:szCs w:val="24"/>
          <w:lang w:val="lt-LT"/>
        </w:rPr>
        <w:t xml:space="preserve">, </w:t>
      </w:r>
      <w:proofErr w:type="spellStart"/>
      <w:r w:rsidRPr="00514638">
        <w:rPr>
          <w:i/>
          <w:iCs/>
          <w:sz w:val="24"/>
          <w:szCs w:val="24"/>
          <w:lang w:val="lt-LT"/>
        </w:rPr>
        <w:t>narrow</w:t>
      </w:r>
      <w:proofErr w:type="spellEnd"/>
      <w:r w:rsidRPr="00514638">
        <w:rPr>
          <w:i/>
          <w:iCs/>
          <w:sz w:val="24"/>
          <w:szCs w:val="24"/>
          <w:lang w:val="lt-LT"/>
        </w:rPr>
        <w:t xml:space="preserve"> </w:t>
      </w:r>
      <w:proofErr w:type="spellStart"/>
      <w:r w:rsidRPr="00514638">
        <w:rPr>
          <w:i/>
          <w:iCs/>
          <w:sz w:val="24"/>
          <w:szCs w:val="24"/>
          <w:lang w:val="lt-LT"/>
        </w:rPr>
        <w:t>wavelength</w:t>
      </w:r>
      <w:proofErr w:type="spellEnd"/>
      <w:r w:rsidRPr="00514638">
        <w:rPr>
          <w:sz w:val="24"/>
          <w:szCs w:val="24"/>
          <w:lang w:val="lt-LT"/>
        </w:rPr>
        <w:t>) režimai yra plačiai taikomi, ypač skrandžio chirurgijoje (</w:t>
      </w:r>
      <w:r w:rsidRPr="00514638">
        <w:rPr>
          <w:i/>
          <w:iCs/>
          <w:sz w:val="24"/>
          <w:szCs w:val="24"/>
          <w:lang w:val="lt-LT"/>
        </w:rPr>
        <w:t xml:space="preserve">identifikuojant </w:t>
      </w:r>
      <w:proofErr w:type="spellStart"/>
      <w:r w:rsidRPr="00514638">
        <w:rPr>
          <w:i/>
          <w:iCs/>
          <w:sz w:val="24"/>
          <w:szCs w:val="24"/>
          <w:lang w:val="lt-LT"/>
        </w:rPr>
        <w:t>perfuzijos</w:t>
      </w:r>
      <w:proofErr w:type="spellEnd"/>
      <w:r w:rsidRPr="00514638">
        <w:rPr>
          <w:i/>
          <w:iCs/>
          <w:sz w:val="24"/>
          <w:szCs w:val="24"/>
          <w:lang w:val="lt-LT"/>
        </w:rPr>
        <w:t xml:space="preserve"> sutrikimus, įvertinti kraujotakos ribines zonas, </w:t>
      </w:r>
      <w:proofErr w:type="spellStart"/>
      <w:r w:rsidRPr="00514638">
        <w:rPr>
          <w:i/>
          <w:iCs/>
          <w:sz w:val="24"/>
          <w:szCs w:val="24"/>
          <w:lang w:val="lt-LT"/>
        </w:rPr>
        <w:t>aptikant</w:t>
      </w:r>
      <w:proofErr w:type="spellEnd"/>
      <w:r w:rsidRPr="00514638">
        <w:rPr>
          <w:i/>
          <w:iCs/>
          <w:sz w:val="24"/>
          <w:szCs w:val="24"/>
          <w:lang w:val="lt-LT"/>
        </w:rPr>
        <w:t xml:space="preserve"> </w:t>
      </w:r>
      <w:proofErr w:type="spellStart"/>
      <w:r w:rsidRPr="00514638">
        <w:rPr>
          <w:i/>
          <w:iCs/>
          <w:sz w:val="24"/>
          <w:szCs w:val="24"/>
          <w:lang w:val="lt-LT"/>
        </w:rPr>
        <w:t>mikroperforacijas</w:t>
      </w:r>
      <w:proofErr w:type="spellEnd"/>
      <w:r w:rsidRPr="00514638">
        <w:rPr>
          <w:sz w:val="24"/>
          <w:szCs w:val="24"/>
          <w:lang w:val="lt-LT"/>
        </w:rPr>
        <w:t xml:space="preserve">), </w:t>
      </w:r>
      <w:proofErr w:type="spellStart"/>
      <w:r w:rsidRPr="00514638">
        <w:rPr>
          <w:sz w:val="24"/>
          <w:szCs w:val="24"/>
          <w:lang w:val="lt-LT"/>
        </w:rPr>
        <w:t>kolorektalinėje</w:t>
      </w:r>
      <w:proofErr w:type="spellEnd"/>
      <w:r w:rsidRPr="00514638">
        <w:rPr>
          <w:sz w:val="24"/>
          <w:szCs w:val="24"/>
          <w:lang w:val="lt-LT"/>
        </w:rPr>
        <w:t xml:space="preserve"> chirurgijoje (</w:t>
      </w:r>
      <w:r w:rsidRPr="00514638">
        <w:rPr>
          <w:i/>
          <w:iCs/>
          <w:sz w:val="24"/>
          <w:szCs w:val="24"/>
          <w:lang w:val="lt-LT"/>
        </w:rPr>
        <w:t xml:space="preserve">įvertinant </w:t>
      </w:r>
      <w:proofErr w:type="spellStart"/>
      <w:r w:rsidRPr="00514638">
        <w:rPr>
          <w:i/>
          <w:iCs/>
          <w:sz w:val="24"/>
          <w:szCs w:val="24"/>
          <w:lang w:val="lt-LT"/>
        </w:rPr>
        <w:t>anastomozės</w:t>
      </w:r>
      <w:proofErr w:type="spellEnd"/>
      <w:r w:rsidRPr="00514638">
        <w:rPr>
          <w:i/>
          <w:iCs/>
          <w:sz w:val="24"/>
          <w:szCs w:val="24"/>
          <w:lang w:val="lt-LT"/>
        </w:rPr>
        <w:t xml:space="preserve"> </w:t>
      </w:r>
      <w:proofErr w:type="spellStart"/>
      <w:r w:rsidRPr="00514638">
        <w:rPr>
          <w:i/>
          <w:iCs/>
          <w:sz w:val="24"/>
          <w:szCs w:val="24"/>
          <w:lang w:val="lt-LT"/>
        </w:rPr>
        <w:t>perfuziją</w:t>
      </w:r>
      <w:proofErr w:type="spellEnd"/>
      <w:r w:rsidRPr="00514638">
        <w:rPr>
          <w:i/>
          <w:iCs/>
          <w:sz w:val="24"/>
          <w:szCs w:val="24"/>
          <w:lang w:val="lt-LT"/>
        </w:rPr>
        <w:t xml:space="preserve">, identifikuojant kraujagyslių tinklą, siekiant sumažinti </w:t>
      </w:r>
      <w:proofErr w:type="spellStart"/>
      <w:r w:rsidRPr="00514638">
        <w:rPr>
          <w:i/>
          <w:iCs/>
          <w:sz w:val="24"/>
          <w:szCs w:val="24"/>
          <w:lang w:val="lt-LT"/>
        </w:rPr>
        <w:t>anastomozinių</w:t>
      </w:r>
      <w:proofErr w:type="spellEnd"/>
      <w:r w:rsidRPr="00514638">
        <w:rPr>
          <w:i/>
          <w:iCs/>
          <w:sz w:val="24"/>
          <w:szCs w:val="24"/>
          <w:lang w:val="lt-LT"/>
        </w:rPr>
        <w:t xml:space="preserve"> nuotėkių rizikas</w:t>
      </w:r>
      <w:r w:rsidRPr="00514638">
        <w:rPr>
          <w:sz w:val="24"/>
          <w:szCs w:val="24"/>
          <w:lang w:val="lt-LT"/>
        </w:rPr>
        <w:t xml:space="preserve">), </w:t>
      </w:r>
      <w:proofErr w:type="spellStart"/>
      <w:r w:rsidRPr="00514638">
        <w:rPr>
          <w:sz w:val="24"/>
          <w:szCs w:val="24"/>
          <w:lang w:val="lt-LT"/>
        </w:rPr>
        <w:t>hepatobiliarinėje</w:t>
      </w:r>
      <w:proofErr w:type="spellEnd"/>
      <w:r w:rsidRPr="00514638">
        <w:rPr>
          <w:sz w:val="24"/>
          <w:szCs w:val="24"/>
          <w:lang w:val="lt-LT"/>
        </w:rPr>
        <w:t xml:space="preserve"> chirurgijoje (</w:t>
      </w:r>
      <w:r w:rsidRPr="00514638">
        <w:rPr>
          <w:i/>
          <w:iCs/>
          <w:sz w:val="24"/>
          <w:szCs w:val="24"/>
          <w:lang w:val="lt-LT"/>
        </w:rPr>
        <w:t xml:space="preserve">siekiant sustiprinti pūslės ir cistinio latako struktūrų kontūrus, identifikuojant mažas arterijas ar </w:t>
      </w:r>
      <w:proofErr w:type="spellStart"/>
      <w:r w:rsidRPr="00514638">
        <w:rPr>
          <w:i/>
          <w:iCs/>
          <w:sz w:val="24"/>
          <w:szCs w:val="24"/>
          <w:lang w:val="lt-LT"/>
        </w:rPr>
        <w:t>venules</w:t>
      </w:r>
      <w:proofErr w:type="spellEnd"/>
      <w:r w:rsidRPr="00514638">
        <w:rPr>
          <w:i/>
          <w:iCs/>
          <w:sz w:val="24"/>
          <w:szCs w:val="24"/>
          <w:lang w:val="lt-LT"/>
        </w:rPr>
        <w:t>, siekiant sumažinti tulžies latakų traumos riziką</w:t>
      </w:r>
      <w:r w:rsidRPr="00514638">
        <w:rPr>
          <w:sz w:val="24"/>
          <w:szCs w:val="24"/>
          <w:lang w:val="lt-LT"/>
        </w:rPr>
        <w:t>). Visose išvardintose klinikinėse situacijose būtent siauro spektro režimai turi didžiausią klinikinę naudą ir tai nėra tik diagnostinis endoskopinių sistemų privalumas, o realiai kasdien naudojamas funkcionalumas</w:t>
      </w:r>
      <w:r w:rsidRPr="00962756">
        <w:rPr>
          <w:sz w:val="24"/>
          <w:szCs w:val="24"/>
          <w:lang w:val="lt-LT"/>
        </w:rPr>
        <w:t>.</w:t>
      </w:r>
    </w:p>
    <w:p w14:paraId="63CF4398" w14:textId="77777777" w:rsidR="00193764" w:rsidRPr="00581824" w:rsidRDefault="00193764" w:rsidP="00193764">
      <w:pPr>
        <w:ind w:firstLine="567"/>
        <w:jc w:val="both"/>
        <w:rPr>
          <w:sz w:val="24"/>
          <w:szCs w:val="24"/>
          <w:lang w:val="lt-LT"/>
        </w:rPr>
      </w:pPr>
      <w:r w:rsidRPr="00962756">
        <w:rPr>
          <w:sz w:val="24"/>
          <w:szCs w:val="24"/>
          <w:lang w:val="lt-LT"/>
        </w:rPr>
        <w:t xml:space="preserve">CPO Vilnius komisija paaiškina, kad </w:t>
      </w:r>
      <w:r w:rsidRPr="00581824">
        <w:rPr>
          <w:sz w:val="24"/>
          <w:szCs w:val="24"/>
          <w:lang w:val="lt-LT"/>
        </w:rPr>
        <w:t xml:space="preserve">siauro spektro režimai gerina kraujagyslių vizualizaciją, sustiprindami mėlynos/žalios spektro absorbciją hemoglobine, leidžia matyti </w:t>
      </w:r>
      <w:proofErr w:type="spellStart"/>
      <w:r w:rsidRPr="00581824">
        <w:rPr>
          <w:sz w:val="24"/>
          <w:szCs w:val="24"/>
          <w:lang w:val="lt-LT"/>
        </w:rPr>
        <w:t>subserozines</w:t>
      </w:r>
      <w:proofErr w:type="spellEnd"/>
      <w:r w:rsidRPr="00581824">
        <w:rPr>
          <w:sz w:val="24"/>
          <w:szCs w:val="24"/>
          <w:lang w:val="lt-LT"/>
        </w:rPr>
        <w:t xml:space="preserve"> kraujagysles ir padeda išvengti netyčinio jų pažeidimo. Pagerina audinių ribų diferencijavimą, nes chirurgui yra matomi paviršiniai struktūriniai skirtumai, kurie palengvina navikų, endometriozės židinių, </w:t>
      </w:r>
      <w:proofErr w:type="spellStart"/>
      <w:r w:rsidRPr="00581824">
        <w:rPr>
          <w:sz w:val="24"/>
          <w:szCs w:val="24"/>
          <w:lang w:val="lt-LT"/>
        </w:rPr>
        <w:t>randinių</w:t>
      </w:r>
      <w:proofErr w:type="spellEnd"/>
      <w:r w:rsidRPr="00581824">
        <w:rPr>
          <w:sz w:val="24"/>
          <w:szCs w:val="24"/>
          <w:lang w:val="lt-LT"/>
        </w:rPr>
        <w:t xml:space="preserve"> audinių identifikavimą. Taip pat, gerina anatominių struktūrų saugų identifikavimą: cistinius latakus, arterijas, šlapimtakius, endometriozės fibrinius mazgus.</w:t>
      </w:r>
    </w:p>
    <w:p w14:paraId="216102C6" w14:textId="77777777" w:rsidR="00193764" w:rsidRPr="00962756" w:rsidRDefault="00193764" w:rsidP="00193764">
      <w:pPr>
        <w:ind w:firstLine="567"/>
        <w:jc w:val="both"/>
        <w:rPr>
          <w:sz w:val="24"/>
          <w:szCs w:val="24"/>
          <w:lang w:val="lt-LT"/>
        </w:rPr>
      </w:pPr>
      <w:r w:rsidRPr="00581824">
        <w:rPr>
          <w:sz w:val="24"/>
          <w:szCs w:val="24"/>
          <w:lang w:val="lt-LT"/>
        </w:rPr>
        <w:t>Pakeitus reikalavimą į Dalyvio siūlomą išdėstymą „</w:t>
      </w:r>
      <w:r w:rsidRPr="00581824">
        <w:rPr>
          <w:i/>
          <w:iCs/>
          <w:sz w:val="24"/>
          <w:szCs w:val="24"/>
          <w:lang w:val="lt-LT"/>
        </w:rPr>
        <w:t>Vizualizacijos režimas, skirtas pagerinti audinių, kraujagyslių ar gleivinių struktūrų išryškinimą, nepriklausomai nuo jų veikimo principo (optinis ar elektroninis)</w:t>
      </w:r>
      <w:r w:rsidRPr="00581824">
        <w:rPr>
          <w:sz w:val="24"/>
          <w:szCs w:val="24"/>
          <w:lang w:val="lt-LT"/>
        </w:rPr>
        <w:t>“, dalyviams leistų pasiūlyti tik vieną režimą, pvz. automatinį kontrasto padidinimą, kuris yra elementarus funkcionalumas būdingas pigioms, žemos klasės kameroms. Toks režimas nėra lygiavertis siauro spektro filtravimui ir nesuteikia jokios diagnostinės naudos</w:t>
      </w:r>
      <w:r w:rsidRPr="00962756">
        <w:rPr>
          <w:sz w:val="24"/>
          <w:szCs w:val="24"/>
          <w:lang w:val="lt-LT"/>
        </w:rPr>
        <w:t>.</w:t>
      </w:r>
    </w:p>
    <w:p w14:paraId="21B436A1" w14:textId="77777777" w:rsidR="00193764" w:rsidRPr="00D411D1" w:rsidRDefault="00193764" w:rsidP="00193764">
      <w:pPr>
        <w:ind w:firstLine="567"/>
        <w:jc w:val="both"/>
        <w:rPr>
          <w:sz w:val="24"/>
          <w:szCs w:val="24"/>
          <w:lang w:val="lt-LT"/>
        </w:rPr>
      </w:pPr>
      <w:r w:rsidRPr="00962756">
        <w:rPr>
          <w:sz w:val="24"/>
          <w:szCs w:val="24"/>
          <w:lang w:val="lt-LT"/>
        </w:rPr>
        <w:t xml:space="preserve">CPO Vilnius komisija paaiškina, kad </w:t>
      </w:r>
      <w:r w:rsidRPr="00D411D1">
        <w:rPr>
          <w:sz w:val="24"/>
          <w:szCs w:val="24"/>
          <w:lang w:val="lt-LT"/>
        </w:rPr>
        <w:t xml:space="preserve">siauro/susiaurinto spektro pagrindu veikiantis režimas tiesiogiai susijęs pacientų saugumu, nes endoskopinė sistema turintį tokį režimą leidžia sumažinti kraujavimų riziką (matomos smulkios kraujagyslės), tulžies latakų pažeidimo riziką (geriau matomi kontūrai). </w:t>
      </w:r>
    </w:p>
    <w:p w14:paraId="19A08A05" w14:textId="77777777" w:rsidR="00193764" w:rsidRPr="00962756" w:rsidRDefault="00193764" w:rsidP="00193764">
      <w:pPr>
        <w:ind w:firstLine="567"/>
        <w:jc w:val="both"/>
        <w:rPr>
          <w:sz w:val="24"/>
          <w:szCs w:val="24"/>
          <w:lang w:val="lt-LT"/>
        </w:rPr>
      </w:pPr>
      <w:r w:rsidRPr="00D411D1">
        <w:rPr>
          <w:sz w:val="24"/>
          <w:szCs w:val="24"/>
          <w:lang w:val="lt-LT"/>
        </w:rPr>
        <w:t>Perkančioji organizacija tokį Dalyvio siūlymą vertina kaip bandymą sumažinti sistemos techninį lygį ir sudaryti sąlygas pasiūlyti perkančiosios organizacijos poreikių neatitinkančią endoskopinę sistemą. Nustatytas reikalavimas ne tik atitinka konkrečius perkančiosios organizacijos specialistų poreikius, bet ir nėra ribojantis tinkamos konkurencijos tarp gamintojų ir / arba tiekėjų. Atliktos rinkos konsultacijos perkančiajai organizacijai leidžia daryti pagrįstas išvadas, kad rinkoje yra ne vienas tiekėjas galintis pasiūlyti ne tik techninės specifikacijos 2.4.2 punkto reikalavimą atitinkančias vaizdo endoskopines sistemas, bet ir techninės specifikacijos parametrų visumą atitinkančias sistemas</w:t>
      </w:r>
      <w:r w:rsidRPr="00962756">
        <w:rPr>
          <w:sz w:val="24"/>
          <w:szCs w:val="24"/>
          <w:lang w:val="lt-LT"/>
        </w:rPr>
        <w:t xml:space="preserve">. </w:t>
      </w:r>
    </w:p>
    <w:p w14:paraId="3EDB98E4" w14:textId="77777777" w:rsidR="00193764" w:rsidRPr="00962756" w:rsidRDefault="00193764" w:rsidP="00193764">
      <w:pPr>
        <w:pStyle w:val="Body2"/>
        <w:tabs>
          <w:tab w:val="left" w:pos="1160"/>
        </w:tabs>
        <w:spacing w:after="0"/>
        <w:ind w:firstLine="567"/>
        <w:rPr>
          <w:rFonts w:cs="Times New Roman"/>
          <w:b/>
          <w:bCs/>
          <w:color w:val="auto"/>
          <w:sz w:val="24"/>
          <w:szCs w:val="24"/>
          <w:lang w:val="lt-LT" w:eastAsia="ar-SA"/>
        </w:rPr>
      </w:pPr>
    </w:p>
    <w:p w14:paraId="098529B7" w14:textId="77777777" w:rsidR="00193764" w:rsidRPr="00962756" w:rsidRDefault="00193764" w:rsidP="00193764">
      <w:pPr>
        <w:ind w:firstLine="567"/>
        <w:jc w:val="both"/>
        <w:rPr>
          <w:b/>
          <w:bCs/>
          <w:sz w:val="24"/>
          <w:szCs w:val="24"/>
          <w:lang w:val="lt-LT"/>
        </w:rPr>
      </w:pPr>
      <w:r w:rsidRPr="00962756">
        <w:rPr>
          <w:b/>
          <w:bCs/>
          <w:sz w:val="24"/>
          <w:szCs w:val="24"/>
          <w:lang w:val="lt-LT"/>
        </w:rPr>
        <w:t>Dėl 3 p. o. d. techninės specifikacijos 3.2.2.3 punkto</w:t>
      </w:r>
    </w:p>
    <w:p w14:paraId="549DFE83" w14:textId="77777777" w:rsidR="00193764" w:rsidRPr="00426332" w:rsidRDefault="00193764" w:rsidP="00193764">
      <w:pPr>
        <w:ind w:firstLine="567"/>
        <w:jc w:val="both"/>
        <w:rPr>
          <w:sz w:val="24"/>
          <w:szCs w:val="24"/>
          <w:lang w:val="lt-LT"/>
        </w:rPr>
      </w:pPr>
      <w:r w:rsidRPr="00426332">
        <w:rPr>
          <w:sz w:val="24"/>
          <w:szCs w:val="24"/>
          <w:lang w:val="lt-LT"/>
        </w:rPr>
        <w:t xml:space="preserve">Atsakymas dėl lanksčių daugkartinių </w:t>
      </w:r>
      <w:proofErr w:type="spellStart"/>
      <w:r w:rsidRPr="00426332">
        <w:rPr>
          <w:sz w:val="24"/>
          <w:szCs w:val="24"/>
          <w:lang w:val="lt-LT"/>
        </w:rPr>
        <w:t>video</w:t>
      </w:r>
      <w:proofErr w:type="spellEnd"/>
      <w:r w:rsidRPr="00426332">
        <w:rPr>
          <w:sz w:val="24"/>
          <w:szCs w:val="24"/>
          <w:lang w:val="lt-LT"/>
        </w:rPr>
        <w:t xml:space="preserve"> (skaitmeninių) endoskopų pateiktas </w:t>
      </w:r>
      <w:r>
        <w:rPr>
          <w:sz w:val="24"/>
          <w:szCs w:val="24"/>
          <w:lang w:val="lt-LT"/>
        </w:rPr>
        <w:t>„</w:t>
      </w:r>
      <w:r w:rsidRPr="00426332">
        <w:rPr>
          <w:i/>
          <w:iCs/>
          <w:sz w:val="24"/>
          <w:szCs w:val="24"/>
          <w:lang w:val="lt-LT"/>
        </w:rPr>
        <w:t>Dėl 2 p. o. d. techninės specifikacijos 2.1.4 ir 2.1.5 punktų</w:t>
      </w:r>
      <w:r>
        <w:rPr>
          <w:b/>
          <w:bCs/>
          <w:sz w:val="24"/>
          <w:szCs w:val="24"/>
          <w:lang w:val="lt-LT"/>
        </w:rPr>
        <w:t>“</w:t>
      </w:r>
      <w:r w:rsidRPr="00426332">
        <w:rPr>
          <w:b/>
          <w:bCs/>
          <w:sz w:val="24"/>
          <w:szCs w:val="24"/>
          <w:lang w:val="lt-LT"/>
        </w:rPr>
        <w:t xml:space="preserve"> </w:t>
      </w:r>
      <w:r w:rsidRPr="00426332">
        <w:rPr>
          <w:sz w:val="24"/>
          <w:szCs w:val="24"/>
          <w:lang w:val="lt-LT"/>
        </w:rPr>
        <w:t>dalyje.</w:t>
      </w:r>
    </w:p>
    <w:p w14:paraId="4C39C7CC" w14:textId="77777777" w:rsidR="00193764" w:rsidRPr="00962756" w:rsidRDefault="00193764" w:rsidP="00193764">
      <w:pPr>
        <w:pStyle w:val="Body2"/>
        <w:tabs>
          <w:tab w:val="left" w:pos="1160"/>
        </w:tabs>
        <w:spacing w:after="0"/>
        <w:ind w:firstLine="567"/>
        <w:rPr>
          <w:rFonts w:cs="Times New Roman"/>
          <w:b/>
          <w:bCs/>
          <w:color w:val="auto"/>
          <w:sz w:val="24"/>
          <w:szCs w:val="24"/>
          <w:lang w:val="lt-LT" w:eastAsia="ar-SA"/>
        </w:rPr>
      </w:pPr>
    </w:p>
    <w:p w14:paraId="5FB2BFA3" w14:textId="77777777" w:rsidR="00193764" w:rsidRPr="00962756" w:rsidRDefault="00193764" w:rsidP="00193764">
      <w:pPr>
        <w:ind w:firstLine="567"/>
        <w:jc w:val="both"/>
        <w:rPr>
          <w:b/>
          <w:bCs/>
          <w:sz w:val="24"/>
          <w:szCs w:val="24"/>
          <w:lang w:val="lt-LT"/>
        </w:rPr>
      </w:pPr>
      <w:r w:rsidRPr="00962756">
        <w:rPr>
          <w:b/>
          <w:bCs/>
          <w:sz w:val="24"/>
          <w:szCs w:val="24"/>
          <w:lang w:val="lt-LT"/>
        </w:rPr>
        <w:t>Dėl 3 p. o. d. techninės specifikacijos 4 punkto</w:t>
      </w:r>
    </w:p>
    <w:p w14:paraId="676ECAF2" w14:textId="77777777" w:rsidR="00193764" w:rsidRPr="00962756" w:rsidRDefault="00193764" w:rsidP="00193764">
      <w:pPr>
        <w:widowControl w:val="0"/>
        <w:autoSpaceDE w:val="0"/>
        <w:autoSpaceDN w:val="0"/>
        <w:adjustRightInd w:val="0"/>
        <w:ind w:firstLine="567"/>
        <w:jc w:val="both"/>
        <w:rPr>
          <w:bCs/>
          <w:i/>
          <w:iCs/>
          <w:sz w:val="24"/>
          <w:szCs w:val="24"/>
          <w:lang w:val="lt-LT"/>
        </w:rPr>
      </w:pPr>
      <w:r w:rsidRPr="00962756">
        <w:rPr>
          <w:sz w:val="24"/>
          <w:szCs w:val="24"/>
          <w:lang w:val="lt-LT"/>
        </w:rPr>
        <w:t xml:space="preserve">Dalyvis savo Pretenzijoje teigia, kad </w:t>
      </w:r>
      <w:r w:rsidRPr="00962756">
        <w:rPr>
          <w:i/>
          <w:iCs/>
          <w:sz w:val="24"/>
          <w:szCs w:val="24"/>
          <w:lang w:val="lt-LT"/>
        </w:rPr>
        <w:t>„</w:t>
      </w:r>
      <w:r w:rsidRPr="00962756">
        <w:rPr>
          <w:bCs/>
          <w:i/>
          <w:iCs/>
          <w:sz w:val="24"/>
          <w:szCs w:val="24"/>
          <w:lang w:val="lt-LT"/>
        </w:rPr>
        <w:t xml:space="preserve">šiuo metu 4 p. reikalavimai yra gana griežti ir specifiniai, nurodant tik LED ar lygiavertį šviesos šaltinį, kuris gali riboti konkurenciją ir apsunkinti tiekėjų galimybes pasiūlyti alternatyvius sprendimus, kurie galėtų būti ekonomiškai efektyvesni ir technologiškai tinkami bei pranašesni. Siūlome 4 p. reikalavimą papildyti papildomu reikalavimu „Šviesos šaltinis atskiras blokas arba integruotas 3 p. Vaizdo apdorojimo įrenginys“ - papildomas reikalavimas dėl šviesos šaltinio formos ir integracijos leidžia ne tik padidinti konkurenciją, bet ir užtikrina lankstesnį, modernesnį, ekonomiškesnį ir </w:t>
      </w:r>
      <w:proofErr w:type="spellStart"/>
      <w:r w:rsidRPr="00962756">
        <w:rPr>
          <w:bCs/>
          <w:i/>
          <w:iCs/>
          <w:sz w:val="24"/>
          <w:szCs w:val="24"/>
          <w:lang w:val="lt-LT"/>
        </w:rPr>
        <w:t>suderinamesnį</w:t>
      </w:r>
      <w:proofErr w:type="spellEnd"/>
      <w:r w:rsidRPr="00962756">
        <w:rPr>
          <w:bCs/>
          <w:i/>
          <w:iCs/>
          <w:sz w:val="24"/>
          <w:szCs w:val="24"/>
          <w:lang w:val="lt-LT"/>
        </w:rPr>
        <w:t xml:space="preserve"> įrangos sprendimą. Tai yra būtina siekiant užtikrinti, kad viešasis pirkimas būtų skaidrus, efektyvus ir atitiktų šiuolaikines technologines </w:t>
      </w:r>
      <w:r w:rsidRPr="00962756">
        <w:rPr>
          <w:bCs/>
          <w:i/>
          <w:iCs/>
          <w:sz w:val="24"/>
          <w:szCs w:val="24"/>
          <w:lang w:val="lt-LT"/>
        </w:rPr>
        <w:lastRenderedPageBreak/>
        <w:t>tendencijas bei viešųjų pirkimų principus, todėl siūlome papildyti sekančiai: Šviesos šaltinis atskiras blokas arba integruotas 3 p. Vaizdo apdorojimo įrenginys“.</w:t>
      </w:r>
    </w:p>
    <w:p w14:paraId="206C93FC" w14:textId="77777777" w:rsidR="00193764" w:rsidRPr="00962756" w:rsidRDefault="00193764" w:rsidP="00193764">
      <w:pPr>
        <w:ind w:firstLine="567"/>
        <w:jc w:val="both"/>
        <w:rPr>
          <w:sz w:val="24"/>
          <w:szCs w:val="24"/>
          <w:lang w:val="lt-LT"/>
        </w:rPr>
      </w:pPr>
      <w:r w:rsidRPr="00962756">
        <w:rPr>
          <w:sz w:val="24"/>
          <w:szCs w:val="24"/>
          <w:lang w:val="lt-LT"/>
        </w:rPr>
        <w:t xml:space="preserve">Įvertinus Dalyvio Pretenzijos turinį, </w:t>
      </w:r>
      <w:r>
        <w:rPr>
          <w:sz w:val="24"/>
          <w:szCs w:val="24"/>
          <w:lang w:val="lt-LT"/>
        </w:rPr>
        <w:t>CPO Vilnius komisija</w:t>
      </w:r>
      <w:r w:rsidRPr="00962756">
        <w:rPr>
          <w:sz w:val="24"/>
          <w:szCs w:val="24"/>
          <w:lang w:val="lt-LT"/>
        </w:rPr>
        <w:t xml:space="preserve"> daro išvadą, jog Dalyvis neteisingai interpretuoja techninės specifikacijos parametrų visumą. Techninėje specifikacijoje nurodyta, kad vaizdo endoskopinę sistemą turi sudaryti įvairūs komponentai, </w:t>
      </w:r>
      <w:r w:rsidRPr="00962756">
        <w:rPr>
          <w:i/>
          <w:iCs/>
          <w:sz w:val="24"/>
          <w:szCs w:val="24"/>
          <w:lang w:val="lt-LT"/>
        </w:rPr>
        <w:t>pvz. ultra aukštos raiškos (4K) monitorius, videokameros galva, vaizdo apdorojimo įrenginys, šviesos šaltinis ir pan</w:t>
      </w:r>
      <w:r w:rsidRPr="00962756">
        <w:rPr>
          <w:sz w:val="24"/>
          <w:szCs w:val="24"/>
          <w:lang w:val="lt-LT"/>
        </w:rPr>
        <w:t>. Techninėje specifikacijoje niekur nėra nurodoma, kad tiekėjai negali siūlyti integruoto į vaizdo apdorojimo įrenginį šviesos šaltinio. Dalyviai privalo pasiūlyti sistemą turinčią vaizdo apdorojimo įrenginį, šviesos šaltinį ir šios sudedamosios dalys privalo atitikti konkrečius nustatytus techninius reikalavimus. Kokiais konkrečiais technologiniais sprendiniais gamintojai sprendžia sistemos veikimą perkančiajai organizacijai nėra aktualu, dėl to, tai nėra detalizuojama techninėje specifikacijoje.</w:t>
      </w:r>
    </w:p>
    <w:p w14:paraId="0075FDDF" w14:textId="77777777" w:rsidR="00193764" w:rsidRPr="00962756" w:rsidRDefault="00193764" w:rsidP="00193764">
      <w:pPr>
        <w:ind w:firstLine="567"/>
        <w:jc w:val="both"/>
        <w:rPr>
          <w:sz w:val="24"/>
          <w:szCs w:val="24"/>
          <w:lang w:val="lt-LT"/>
        </w:rPr>
      </w:pPr>
      <w:r w:rsidRPr="00962756">
        <w:rPr>
          <w:sz w:val="24"/>
          <w:szCs w:val="24"/>
          <w:lang w:val="lt-LT"/>
        </w:rPr>
        <w:t>Atsižvelgus į tai, kas išdėstyta, Dalyvio siūlymas koreguoti techninės specifikacijos 4 punkto reikalavimą netikslingas.</w:t>
      </w:r>
    </w:p>
    <w:p w14:paraId="499906E3" w14:textId="77777777" w:rsidR="00193764" w:rsidRPr="00962756" w:rsidRDefault="00193764" w:rsidP="00193764">
      <w:pPr>
        <w:pStyle w:val="Body2"/>
        <w:tabs>
          <w:tab w:val="left" w:pos="1160"/>
        </w:tabs>
        <w:spacing w:after="0"/>
        <w:ind w:firstLine="567"/>
        <w:rPr>
          <w:rFonts w:cs="Times New Roman"/>
          <w:b/>
          <w:bCs/>
          <w:color w:val="auto"/>
          <w:sz w:val="24"/>
          <w:szCs w:val="24"/>
          <w:lang w:val="lt-LT" w:eastAsia="ar-SA"/>
        </w:rPr>
      </w:pPr>
    </w:p>
    <w:p w14:paraId="0EAA191F" w14:textId="77777777" w:rsidR="00193764" w:rsidRPr="00962756" w:rsidRDefault="00193764" w:rsidP="00193764">
      <w:pPr>
        <w:pStyle w:val="Body2"/>
        <w:tabs>
          <w:tab w:val="left" w:pos="1160"/>
        </w:tabs>
        <w:spacing w:after="0"/>
        <w:ind w:firstLine="567"/>
        <w:rPr>
          <w:rFonts w:cs="Times New Roman"/>
          <w:b/>
          <w:bCs/>
          <w:color w:val="auto"/>
          <w:sz w:val="24"/>
          <w:szCs w:val="24"/>
          <w:lang w:val="lt-LT" w:eastAsia="ar-SA"/>
        </w:rPr>
      </w:pPr>
      <w:r w:rsidRPr="00962756">
        <w:rPr>
          <w:rFonts w:cs="Times New Roman"/>
          <w:b/>
          <w:bCs/>
          <w:color w:val="auto"/>
          <w:sz w:val="24"/>
          <w:szCs w:val="24"/>
          <w:lang w:val="lt-LT" w:eastAsia="ar-SA"/>
        </w:rPr>
        <w:t>Pretenzijos vertinimas</w:t>
      </w:r>
    </w:p>
    <w:p w14:paraId="2E92735C" w14:textId="77777777" w:rsidR="00193764" w:rsidRPr="00584F62" w:rsidRDefault="00193764" w:rsidP="00193764">
      <w:pPr>
        <w:ind w:firstLine="567"/>
        <w:jc w:val="both"/>
        <w:rPr>
          <w:sz w:val="24"/>
          <w:szCs w:val="24"/>
          <w:lang w:val="lt-LT"/>
        </w:rPr>
      </w:pPr>
      <w:r w:rsidRPr="00962756">
        <w:rPr>
          <w:sz w:val="24"/>
          <w:szCs w:val="24"/>
          <w:lang w:val="lt-LT"/>
        </w:rPr>
        <w:t xml:space="preserve">Europos Sąjungos Teisingumo Teismas (toliau – </w:t>
      </w:r>
      <w:r w:rsidRPr="00962756">
        <w:rPr>
          <w:b/>
          <w:bCs/>
          <w:sz w:val="24"/>
          <w:szCs w:val="24"/>
          <w:lang w:val="lt-LT"/>
        </w:rPr>
        <w:t>ESTT</w:t>
      </w:r>
      <w:r w:rsidRPr="00962756">
        <w:rPr>
          <w:sz w:val="24"/>
          <w:szCs w:val="24"/>
          <w:lang w:val="lt-LT"/>
        </w:rPr>
        <w:t xml:space="preserve">) </w:t>
      </w:r>
      <w:r w:rsidRPr="00584F62">
        <w:rPr>
          <w:sz w:val="24"/>
          <w:szCs w:val="24"/>
          <w:lang w:val="lt-LT"/>
        </w:rPr>
        <w:t xml:space="preserve">nurodo, kad techninė specifikacija yra apibrėžiama kaip ,,[...] </w:t>
      </w:r>
      <w:r w:rsidRPr="00584F62">
        <w:rPr>
          <w:i/>
          <w:iCs/>
          <w:sz w:val="24"/>
          <w:szCs w:val="24"/>
          <w:lang w:val="lt-LT"/>
        </w:rPr>
        <w:t xml:space="preserve">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w:t>
      </w:r>
      <w:r w:rsidRPr="00584F62">
        <w:rPr>
          <w:b/>
          <w:bCs/>
          <w:i/>
          <w:iCs/>
          <w:sz w:val="24"/>
          <w:szCs w:val="24"/>
          <w:lang w:val="lt-LT"/>
        </w:rPr>
        <w:t>parodant jos tinkamumą tam panaudojimui, kurio siekia sutartį sudarantis ūkio subjektas</w:t>
      </w:r>
      <w:r w:rsidRPr="00584F62">
        <w:rPr>
          <w:sz w:val="24"/>
          <w:szCs w:val="24"/>
          <w:lang w:val="lt-LT"/>
        </w:rPr>
        <w:t xml:space="preserve"> (</w:t>
      </w:r>
      <w:r w:rsidRPr="00584F62">
        <w:rPr>
          <w:i/>
          <w:iCs/>
          <w:sz w:val="24"/>
          <w:szCs w:val="24"/>
          <w:lang w:val="lt-LT"/>
        </w:rPr>
        <w:t xml:space="preserve">ESTT byla C-174/03 </w:t>
      </w:r>
      <w:proofErr w:type="spellStart"/>
      <w:r w:rsidRPr="00584F62">
        <w:rPr>
          <w:i/>
          <w:iCs/>
          <w:sz w:val="24"/>
          <w:szCs w:val="24"/>
          <w:lang w:val="lt-LT"/>
        </w:rPr>
        <w:t>Impresa</w:t>
      </w:r>
      <w:proofErr w:type="spellEnd"/>
      <w:r w:rsidRPr="00584F62">
        <w:rPr>
          <w:i/>
          <w:iCs/>
          <w:sz w:val="24"/>
          <w:szCs w:val="24"/>
          <w:lang w:val="lt-LT"/>
        </w:rPr>
        <w:t xml:space="preserve"> </w:t>
      </w:r>
      <w:proofErr w:type="spellStart"/>
      <w:r w:rsidRPr="00584F62">
        <w:rPr>
          <w:i/>
          <w:iCs/>
          <w:sz w:val="24"/>
          <w:szCs w:val="24"/>
          <w:lang w:val="lt-LT"/>
        </w:rPr>
        <w:t>Portuale</w:t>
      </w:r>
      <w:proofErr w:type="spellEnd"/>
      <w:r w:rsidRPr="00584F62">
        <w:rPr>
          <w:i/>
          <w:iCs/>
          <w:sz w:val="24"/>
          <w:szCs w:val="24"/>
          <w:lang w:val="lt-LT"/>
        </w:rPr>
        <w:t xml:space="preserve"> di </w:t>
      </w:r>
      <w:proofErr w:type="spellStart"/>
      <w:r w:rsidRPr="00584F62">
        <w:rPr>
          <w:i/>
          <w:iCs/>
          <w:sz w:val="24"/>
          <w:szCs w:val="24"/>
          <w:lang w:val="lt-LT"/>
        </w:rPr>
        <w:t>Cagliari</w:t>
      </w:r>
      <w:proofErr w:type="spellEnd"/>
      <w:r w:rsidRPr="00584F62">
        <w:rPr>
          <w:i/>
          <w:iCs/>
          <w:sz w:val="24"/>
          <w:szCs w:val="24"/>
          <w:lang w:val="lt-LT"/>
        </w:rPr>
        <w:t xml:space="preserve"> </w:t>
      </w:r>
      <w:proofErr w:type="spellStart"/>
      <w:r w:rsidRPr="00584F62">
        <w:rPr>
          <w:i/>
          <w:iCs/>
          <w:sz w:val="24"/>
          <w:szCs w:val="24"/>
          <w:lang w:val="lt-LT"/>
        </w:rPr>
        <w:t>Srl</w:t>
      </w:r>
      <w:proofErr w:type="spellEnd"/>
      <w:r w:rsidRPr="00584F62">
        <w:rPr>
          <w:i/>
          <w:iCs/>
          <w:sz w:val="24"/>
          <w:szCs w:val="24"/>
          <w:lang w:val="lt-LT"/>
        </w:rPr>
        <w:t xml:space="preserve"> v. </w:t>
      </w:r>
      <w:proofErr w:type="spellStart"/>
      <w:r w:rsidRPr="00584F62">
        <w:rPr>
          <w:i/>
          <w:iCs/>
          <w:sz w:val="24"/>
          <w:szCs w:val="24"/>
          <w:lang w:val="lt-LT"/>
        </w:rPr>
        <w:t>Tirrenia</w:t>
      </w:r>
      <w:proofErr w:type="spellEnd"/>
      <w:r w:rsidRPr="00584F62">
        <w:rPr>
          <w:i/>
          <w:iCs/>
          <w:sz w:val="24"/>
          <w:szCs w:val="24"/>
          <w:lang w:val="lt-LT"/>
        </w:rPr>
        <w:t xml:space="preserve"> di </w:t>
      </w:r>
      <w:proofErr w:type="spellStart"/>
      <w:r w:rsidRPr="00584F62">
        <w:rPr>
          <w:i/>
          <w:iCs/>
          <w:sz w:val="24"/>
          <w:szCs w:val="24"/>
          <w:lang w:val="lt-LT"/>
        </w:rPr>
        <w:t>Navigazione</w:t>
      </w:r>
      <w:proofErr w:type="spellEnd"/>
      <w:r w:rsidRPr="00584F62">
        <w:rPr>
          <w:i/>
          <w:iCs/>
          <w:sz w:val="24"/>
          <w:szCs w:val="24"/>
          <w:lang w:val="lt-LT"/>
        </w:rPr>
        <w:t xml:space="preserve"> </w:t>
      </w:r>
      <w:proofErr w:type="spellStart"/>
      <w:r w:rsidRPr="00584F62">
        <w:rPr>
          <w:i/>
          <w:iCs/>
          <w:sz w:val="24"/>
          <w:szCs w:val="24"/>
          <w:lang w:val="lt-LT"/>
        </w:rPr>
        <w:t>SpA</w:t>
      </w:r>
      <w:proofErr w:type="spellEnd"/>
      <w:r w:rsidRPr="00584F62">
        <w:rPr>
          <w:sz w:val="24"/>
          <w:szCs w:val="24"/>
          <w:lang w:val="lt-LT"/>
        </w:rPr>
        <w:t>).</w:t>
      </w:r>
    </w:p>
    <w:p w14:paraId="436053A2" w14:textId="77777777" w:rsidR="00193764" w:rsidRPr="00584F62" w:rsidRDefault="00193764" w:rsidP="00193764">
      <w:pPr>
        <w:ind w:firstLine="567"/>
        <w:jc w:val="both"/>
        <w:rPr>
          <w:bCs/>
          <w:sz w:val="24"/>
          <w:szCs w:val="24"/>
          <w:lang w:val="lt-LT"/>
        </w:rPr>
      </w:pPr>
      <w:r w:rsidRPr="00584F62">
        <w:rPr>
          <w:bCs/>
          <w:sz w:val="24"/>
          <w:szCs w:val="24"/>
          <w:lang w:val="lt-LT"/>
        </w:rPr>
        <w:t>K</w:t>
      </w:r>
      <w:r w:rsidRPr="00584F62">
        <w:rPr>
          <w:sz w:val="24"/>
          <w:szCs w:val="24"/>
          <w:lang w:val="lt-LT"/>
        </w:rPr>
        <w:t>iekvienas įgyvendinamas viešasis pirkimas turi sudaryti sąlygas perkančiajai organizacijai, racionaliai naudojant lėšas, įsigyti tai, ko būtent jai reikia konkrečiu momentu</w:t>
      </w:r>
      <w:r w:rsidRPr="00584F62">
        <w:rPr>
          <w:bCs/>
          <w:sz w:val="24"/>
          <w:szCs w:val="24"/>
          <w:lang w:val="lt-LT"/>
        </w:rPr>
        <w:t xml:space="preserve">. ESTT išaiškino, kad pagal 2014 m. vasario 26 d. Europos Parlamento ir Tarybos direktyvos 2014/24/ES dėl viešųjų pirkimų, kuria panaikinama Direktyva 2004/18/EB, 42 straipsnio 3 dalį, nedraudžiama, jog prekių tiekimo sąlygose būtų nurodytos siekiamos įsigyti įrangos veikimo ir naudojimo charakteristikos ir siekiamos įsigyti individualios priemonės; be to, šioje nuostatoje neįtvirtinta techninių specifikacijų formulavimo metodų hierarchija ir nesuteikta jokios pirmenybės kuriam nors iš šių metodų; iš šios nuostatos matyti, kad technines specifikacijas reglamentuojančiose Sąjungos teisės normose </w:t>
      </w:r>
      <w:r w:rsidRPr="00584F62">
        <w:rPr>
          <w:b/>
          <w:sz w:val="24"/>
          <w:szCs w:val="24"/>
          <w:lang w:val="lt-LT"/>
        </w:rPr>
        <w:t xml:space="preserve">perkančiajai organizacijai pripažįstama didelė jos poreikių išmanymu pagrįsta </w:t>
      </w:r>
      <w:proofErr w:type="spellStart"/>
      <w:r w:rsidRPr="00584F62">
        <w:rPr>
          <w:b/>
          <w:sz w:val="24"/>
          <w:szCs w:val="24"/>
          <w:lang w:val="lt-LT"/>
        </w:rPr>
        <w:t>diskrecija</w:t>
      </w:r>
      <w:proofErr w:type="spellEnd"/>
      <w:r w:rsidRPr="00584F62">
        <w:rPr>
          <w:b/>
          <w:sz w:val="24"/>
          <w:szCs w:val="24"/>
          <w:lang w:val="lt-LT"/>
        </w:rPr>
        <w:t xml:space="preserve"> formuluojant technines pirkimo specifikacijas</w:t>
      </w:r>
      <w:r w:rsidRPr="00584F62">
        <w:rPr>
          <w:bCs/>
          <w:sz w:val="24"/>
          <w:szCs w:val="24"/>
          <w:lang w:val="lt-LT"/>
        </w:rPr>
        <w:t xml:space="preserve"> (</w:t>
      </w:r>
      <w:r w:rsidRPr="00584F62">
        <w:rPr>
          <w:bCs/>
          <w:i/>
          <w:iCs/>
          <w:sz w:val="24"/>
          <w:szCs w:val="24"/>
          <w:lang w:val="lt-LT"/>
        </w:rPr>
        <w:t xml:space="preserve">ESTT 2018 m. spalio 25 d. sprendimas byloje </w:t>
      </w:r>
      <w:proofErr w:type="spellStart"/>
      <w:r w:rsidRPr="00584F62">
        <w:rPr>
          <w:bCs/>
          <w:i/>
          <w:iCs/>
          <w:sz w:val="24"/>
          <w:szCs w:val="24"/>
          <w:lang w:val="lt-LT"/>
        </w:rPr>
        <w:t>Roche</w:t>
      </w:r>
      <w:proofErr w:type="spellEnd"/>
      <w:r w:rsidRPr="00584F62">
        <w:rPr>
          <w:bCs/>
          <w:i/>
          <w:iCs/>
          <w:sz w:val="24"/>
          <w:szCs w:val="24"/>
          <w:lang w:val="lt-LT"/>
        </w:rPr>
        <w:t xml:space="preserve"> Lietuva, C-413/17, 27–30 punktai</w:t>
      </w:r>
      <w:r w:rsidRPr="00584F62">
        <w:rPr>
          <w:bCs/>
          <w:sz w:val="24"/>
          <w:szCs w:val="24"/>
          <w:lang w:val="lt-LT"/>
        </w:rPr>
        <w:t xml:space="preserve">). Ši </w:t>
      </w:r>
      <w:proofErr w:type="spellStart"/>
      <w:r w:rsidRPr="00584F62">
        <w:rPr>
          <w:bCs/>
          <w:sz w:val="24"/>
          <w:szCs w:val="24"/>
          <w:lang w:val="lt-LT"/>
        </w:rPr>
        <w:t>diskrecija</w:t>
      </w:r>
      <w:proofErr w:type="spellEnd"/>
      <w:r w:rsidRPr="00584F62">
        <w:rPr>
          <w:bCs/>
          <w:sz w:val="24"/>
          <w:szCs w:val="24"/>
          <w:lang w:val="lt-LT"/>
        </w:rPr>
        <w:t xml:space="preserve"> pateisinama tuo, kad būtent perkančiosios organizacijos geriausiai žino prekes, kurių joms reikia, ir gali geriausiai nustatyti reikalavimus, kurie turi būti tenkinami tam, kad būtų gauti pageidaujami rezultatai.</w:t>
      </w:r>
    </w:p>
    <w:p w14:paraId="61754511" w14:textId="77777777" w:rsidR="00193764" w:rsidRPr="00584F62" w:rsidRDefault="00193764" w:rsidP="00193764">
      <w:pPr>
        <w:ind w:firstLine="567"/>
        <w:jc w:val="both"/>
        <w:rPr>
          <w:sz w:val="24"/>
          <w:szCs w:val="24"/>
          <w:lang w:val="lt-LT"/>
        </w:rPr>
      </w:pPr>
      <w:r w:rsidRPr="00584F62">
        <w:rPr>
          <w:sz w:val="24"/>
          <w:szCs w:val="24"/>
          <w:lang w:val="lt-LT"/>
        </w:rPr>
        <w:t>LAT pažymėjo</w:t>
      </w:r>
      <w:r w:rsidRPr="00584F62">
        <w:rPr>
          <w:sz w:val="24"/>
          <w:szCs w:val="24"/>
          <w:vertAlign w:val="superscript"/>
          <w:lang w:val="lt-LT"/>
        </w:rPr>
        <w:footnoteReference w:id="1"/>
      </w:r>
      <w:r w:rsidRPr="00584F62">
        <w:rPr>
          <w:sz w:val="24"/>
          <w:szCs w:val="24"/>
          <w:lang w:val="lt-LT"/>
        </w:rPr>
        <w:t xml:space="preserve">, jog LR viešųjų pirkimų įstatyme (toliau – </w:t>
      </w:r>
      <w:r w:rsidRPr="00584F62">
        <w:rPr>
          <w:b/>
          <w:bCs/>
          <w:sz w:val="24"/>
          <w:szCs w:val="24"/>
          <w:lang w:val="lt-LT"/>
        </w:rPr>
        <w:t>VPĮ</w:t>
      </w:r>
      <w:r w:rsidRPr="00584F62">
        <w:rPr>
          <w:sz w:val="24"/>
          <w:szCs w:val="24"/>
          <w:lang w:val="lt-LT"/>
        </w:rPr>
        <w:t>) numatytas viešųjų pirkimų tikslas reiškia reikalavimą atsižvelgti ne tik į siūlomos prekės kainą, bet ir į jos kokybę, ir į tai, kad jos būtų</w:t>
      </w:r>
      <w:r w:rsidRPr="00584F62">
        <w:rPr>
          <w:b/>
          <w:bCs/>
          <w:sz w:val="24"/>
          <w:szCs w:val="24"/>
          <w:lang w:val="lt-LT"/>
        </w:rPr>
        <w:t xml:space="preserve"> </w:t>
      </w:r>
      <w:r w:rsidRPr="00584F62">
        <w:rPr>
          <w:b/>
          <w:bCs/>
          <w:sz w:val="24"/>
          <w:szCs w:val="24"/>
          <w:u w:val="single"/>
          <w:lang w:val="lt-LT"/>
        </w:rPr>
        <w:t>tinkamos ir galimos naudoti pagal paskirtį</w:t>
      </w:r>
      <w:r w:rsidRPr="00584F62">
        <w:rPr>
          <w:b/>
          <w:bCs/>
          <w:sz w:val="24"/>
          <w:szCs w:val="24"/>
          <w:lang w:val="lt-LT"/>
        </w:rPr>
        <w:t xml:space="preserve"> </w:t>
      </w:r>
      <w:r w:rsidRPr="00584F62">
        <w:rPr>
          <w:sz w:val="24"/>
          <w:szCs w:val="24"/>
          <w:lang w:val="lt-LT"/>
        </w:rPr>
        <w:t>bei atitiktų kitus įstatymų reikalavimus. Taigi, įsigyjant perkamą objektą, pirkimo kaina yra ne vienintelis svarbus faktorius, kurį turi įvertinti perkančioji organizacija, tačiau privalo būti rasta protinga pusiausvyra tarp kainos ir būtinos perkamo objekto kokybės. LAT nuosekliai formuluoja praktiką, kad tik išskirtiniais atvejais, pavyzdžiui įsigyjant gyvybiškai reikalingas medicinos priemones ir atsižvelgiant į tai, jog žmogaus gyvybė yra svarbiausia vertybė, viešasis interesas reikalauja užtikrinti maksimalią įsigyjamų priemonių kokybę bei pirkti praktikoje patikrintas veiksmingas priemones</w:t>
      </w:r>
      <w:r w:rsidRPr="00584F62">
        <w:rPr>
          <w:sz w:val="24"/>
          <w:szCs w:val="24"/>
          <w:vertAlign w:val="superscript"/>
          <w:lang w:val="lt-LT"/>
        </w:rPr>
        <w:footnoteReference w:id="2"/>
      </w:r>
      <w:r w:rsidRPr="00584F62">
        <w:rPr>
          <w:sz w:val="24"/>
          <w:szCs w:val="24"/>
          <w:lang w:val="lt-LT"/>
        </w:rPr>
        <w:t>.</w:t>
      </w:r>
    </w:p>
    <w:p w14:paraId="6AE7877F" w14:textId="77777777" w:rsidR="00193764" w:rsidRPr="00962756" w:rsidRDefault="00193764" w:rsidP="00193764">
      <w:pPr>
        <w:ind w:firstLine="567"/>
        <w:jc w:val="both"/>
        <w:rPr>
          <w:sz w:val="24"/>
          <w:szCs w:val="24"/>
          <w:lang w:val="lt-LT"/>
        </w:rPr>
      </w:pPr>
      <w:r w:rsidRPr="00584F62">
        <w:rPr>
          <w:bCs/>
          <w:sz w:val="24"/>
          <w:szCs w:val="24"/>
          <w:lang w:val="lt-LT"/>
        </w:rPr>
        <w:lastRenderedPageBreak/>
        <w:t>Perkančioji organizacija techninėje specifikacijoje nusimatė jai būtinus perkamos įrangos techninius parametrus</w:t>
      </w:r>
      <w:r w:rsidRPr="00584F62">
        <w:rPr>
          <w:sz w:val="24"/>
          <w:szCs w:val="24"/>
          <w:lang w:val="lt-LT"/>
        </w:rPr>
        <w:t>,</w:t>
      </w:r>
      <w:r w:rsidRPr="00584F62">
        <w:rPr>
          <w:bCs/>
          <w:sz w:val="24"/>
          <w:szCs w:val="24"/>
          <w:lang w:val="lt-LT"/>
        </w:rPr>
        <w:t xml:space="preserve"> </w:t>
      </w:r>
      <w:r w:rsidRPr="00584F62">
        <w:rPr>
          <w:sz w:val="24"/>
          <w:szCs w:val="24"/>
          <w:lang w:val="lt-LT"/>
        </w:rPr>
        <w:t>kuriais bus pasiektas viešojo pirkimo tikslas – įsigytas perkančiosios organizacijos poreikius atitinkantis pirkimo objektas, racionaliai naudojant tam skirtas lėšas, bei sveikatos priežiūros paslaugos teikiamos vadovaujantis galiojančių teisės aktų reikalavimais. Techninių specifikacijų parametrų visuma sudaryta atsižvelgus į konkrečius perkančiosios organizacijos poreikius, bei nėra diskriminuojanti tiekėjų ir / arba gamintojų</w:t>
      </w:r>
      <w:r w:rsidRPr="00962756">
        <w:rPr>
          <w:sz w:val="24"/>
          <w:szCs w:val="24"/>
          <w:lang w:val="lt-LT"/>
        </w:rPr>
        <w:t>.</w:t>
      </w:r>
    </w:p>
    <w:p w14:paraId="4F4609AC" w14:textId="77777777" w:rsidR="00193764" w:rsidRDefault="00193764" w:rsidP="00193764">
      <w:pPr>
        <w:pStyle w:val="Body2"/>
        <w:spacing w:after="0"/>
        <w:ind w:firstLine="567"/>
        <w:rPr>
          <w:rFonts w:cs="Times New Roman"/>
          <w:sz w:val="24"/>
          <w:szCs w:val="24"/>
          <w:lang w:val="lt-LT"/>
        </w:rPr>
      </w:pPr>
      <w:r w:rsidRPr="00962756">
        <w:rPr>
          <w:rFonts w:cs="Times New Roman"/>
          <w:color w:val="auto"/>
          <w:sz w:val="24"/>
          <w:szCs w:val="24"/>
          <w:lang w:val="lt-LT" w:eastAsia="ar-SA"/>
        </w:rPr>
        <w:t xml:space="preserve">Įvertinus išdėstytus argumentus, </w:t>
      </w:r>
      <w:r w:rsidRPr="00962756">
        <w:rPr>
          <w:rFonts w:cs="Times New Roman"/>
          <w:sz w:val="24"/>
          <w:szCs w:val="24"/>
          <w:lang w:val="lt-LT"/>
        </w:rPr>
        <w:t>vadovaujantis VPĮ 103 straipsnio 3 dalimi</w:t>
      </w:r>
      <w:r w:rsidRPr="00962756">
        <w:rPr>
          <w:rFonts w:cs="Times New Roman"/>
          <w:color w:val="auto"/>
          <w:sz w:val="24"/>
          <w:szCs w:val="24"/>
          <w:lang w:val="lt-LT" w:eastAsia="ar-SA"/>
        </w:rPr>
        <w:t xml:space="preserve">, Dalyvio pateikta </w:t>
      </w:r>
      <w:r w:rsidRPr="00962756">
        <w:rPr>
          <w:rFonts w:cs="Times New Roman"/>
          <w:b/>
          <w:bCs/>
          <w:color w:val="auto"/>
          <w:sz w:val="24"/>
          <w:szCs w:val="24"/>
          <w:u w:val="single"/>
          <w:lang w:val="lt-LT" w:eastAsia="ar-SA"/>
        </w:rPr>
        <w:t>pretenzija netenkinama</w:t>
      </w:r>
      <w:r w:rsidRPr="00962756">
        <w:rPr>
          <w:rFonts w:cs="Times New Roman"/>
          <w:color w:val="auto"/>
          <w:sz w:val="24"/>
          <w:szCs w:val="24"/>
          <w:lang w:val="lt-LT" w:eastAsia="ar-SA"/>
        </w:rPr>
        <w:t xml:space="preserve"> ir </w:t>
      </w:r>
      <w:r w:rsidRPr="00962756">
        <w:rPr>
          <w:rFonts w:cs="Times New Roman"/>
          <w:b/>
          <w:bCs/>
          <w:sz w:val="24"/>
          <w:szCs w:val="24"/>
          <w:u w:val="single"/>
          <w:lang w:val="lt-LT"/>
        </w:rPr>
        <w:t>atmetama kaip nepagrįsta</w:t>
      </w:r>
      <w:r w:rsidRPr="00962756">
        <w:rPr>
          <w:rFonts w:cs="Times New Roman"/>
          <w:sz w:val="24"/>
          <w:szCs w:val="24"/>
          <w:lang w:val="lt-LT"/>
        </w:rPr>
        <w:t>.</w:t>
      </w:r>
    </w:p>
    <w:p w14:paraId="0DB392B9" w14:textId="074A999B" w:rsidR="00FF2F72" w:rsidRDefault="00193764" w:rsidP="008D7423">
      <w:pPr>
        <w:ind w:firstLine="567"/>
        <w:jc w:val="both"/>
        <w:rPr>
          <w:sz w:val="24"/>
          <w:szCs w:val="24"/>
          <w:lang w:val="lt-LT"/>
        </w:rPr>
      </w:pPr>
      <w:r w:rsidRPr="00773714">
        <w:rPr>
          <w:sz w:val="24"/>
          <w:szCs w:val="24"/>
          <w:lang w:val="lt-LT" w:eastAsia="ar-SA"/>
        </w:rPr>
        <w:t>CPO Vilnius komisija primena, kad pasiūlymai Pirkimui teikiami iki 2025-12-15 09:30 val., todėl v</w:t>
      </w:r>
      <w:r w:rsidRPr="00773714">
        <w:rPr>
          <w:rStyle w:val="Style29"/>
          <w:szCs w:val="24"/>
          <w:lang w:val="lt-LT"/>
        </w:rPr>
        <w:t xml:space="preserve">adovaujantis pirkimo specialiųjų sąlygų 1 priedo 4 punktu </w:t>
      </w:r>
      <w:r w:rsidRPr="00773714">
        <w:rPr>
          <w:rStyle w:val="Style29"/>
          <w:i/>
          <w:iCs/>
          <w:szCs w:val="24"/>
          <w:lang w:val="lt-LT"/>
        </w:rPr>
        <w:t>„</w:t>
      </w:r>
      <w:r w:rsidRPr="00773714">
        <w:rPr>
          <w:i/>
          <w:iCs/>
          <w:sz w:val="24"/>
          <w:szCs w:val="24"/>
          <w:lang w:val="lt-LT"/>
        </w:rPr>
        <w:t>Perkančioji organizacija pirkimo sąlygų paaiškinimą, patikslinimą pateikia visiems tiekėjams ne vėliau kaip 6 (šešios) dienos iki pasiūlymų pateikimo dienos“</w:t>
      </w:r>
      <w:r w:rsidRPr="00773714">
        <w:rPr>
          <w:rStyle w:val="Style29"/>
          <w:szCs w:val="24"/>
          <w:lang w:val="lt-LT"/>
        </w:rPr>
        <w:t>, pasiūlymų pateikimo termin</w:t>
      </w:r>
      <w:r>
        <w:rPr>
          <w:rStyle w:val="Style29"/>
          <w:szCs w:val="24"/>
          <w:lang w:val="lt-LT"/>
        </w:rPr>
        <w:t>as nekeičiamas</w:t>
      </w:r>
      <w:r w:rsidRPr="00773714">
        <w:rPr>
          <w:rStyle w:val="Style29"/>
          <w:szCs w:val="24"/>
          <w:lang w:val="lt-LT"/>
        </w:rPr>
        <w:t>.</w:t>
      </w:r>
    </w:p>
    <w:sectPr w:rsidR="00FF2F72" w:rsidSect="004E2F35">
      <w:footerReference w:type="default" r:id="rId11"/>
      <w:footerReference w:type="first" r:id="rId12"/>
      <w:pgSz w:w="11906" w:h="16838" w:code="9"/>
      <w:pgMar w:top="1134" w:right="567" w:bottom="284" w:left="1701" w:header="567"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2E05" w14:textId="77777777" w:rsidR="00FD0383" w:rsidRDefault="00FD0383" w:rsidP="009E2106">
      <w:r>
        <w:separator/>
      </w:r>
    </w:p>
  </w:endnote>
  <w:endnote w:type="continuationSeparator" w:id="0">
    <w:p w14:paraId="515C747E" w14:textId="77777777" w:rsidR="00FD0383" w:rsidRDefault="00FD0383" w:rsidP="009E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63FD" w14:textId="5AFA4932" w:rsidR="00CD2A28" w:rsidRPr="007163D9" w:rsidRDefault="00FF2F72" w:rsidP="00CD2A28">
    <w:pPr>
      <w:pStyle w:val="Porat"/>
    </w:pPr>
    <w:r>
      <w:rPr>
        <w:sz w:val="24"/>
        <w:szCs w:val="24"/>
        <w:lang w:val="lt-LT"/>
      </w:rPr>
      <w:t>Sandra Čiukšytė-Nagienė</w:t>
    </w:r>
    <w:r w:rsidR="00CD2A28" w:rsidRPr="00AE237A">
      <w:rPr>
        <w:sz w:val="24"/>
        <w:szCs w:val="24"/>
        <w:lang w:val="lt-LT"/>
      </w:rPr>
      <w:t xml:space="preserve">, tel. </w:t>
    </w:r>
    <w:r w:rsidR="00CD2A28">
      <w:rPr>
        <w:sz w:val="24"/>
        <w:szCs w:val="24"/>
        <w:lang w:val="lt-LT"/>
      </w:rPr>
      <w:t xml:space="preserve">+370 </w:t>
    </w:r>
    <w:r w:rsidR="00CD2A28" w:rsidRPr="00DC64A3">
      <w:rPr>
        <w:sz w:val="24"/>
        <w:szCs w:val="24"/>
        <w:lang w:val="lt-LT"/>
      </w:rPr>
      <w:t xml:space="preserve">664  </w:t>
    </w:r>
    <w:r>
      <w:rPr>
        <w:sz w:val="24"/>
        <w:szCs w:val="24"/>
        <w:lang w:val="lt-LT"/>
      </w:rPr>
      <w:t>59049</w:t>
    </w:r>
    <w:r w:rsidR="00CD2A28" w:rsidRPr="00AE237A">
      <w:rPr>
        <w:sz w:val="24"/>
        <w:szCs w:val="24"/>
        <w:lang w:val="lt-LT"/>
      </w:rPr>
      <w:t>, el. p.</w:t>
    </w:r>
    <w:r w:rsidR="00CD2A28" w:rsidRPr="00DC64A3">
      <w:rPr>
        <w:sz w:val="24"/>
        <w:szCs w:val="24"/>
        <w:lang w:val="lt-LT"/>
      </w:rPr>
      <w:t xml:space="preserve"> </w:t>
    </w:r>
    <w:hyperlink r:id="rId1" w:history="1">
      <w:r w:rsidR="007C6593" w:rsidRPr="00B23BF7">
        <w:rPr>
          <w:rStyle w:val="Hipersaitas"/>
          <w:rFonts w:eastAsiaTheme="majorEastAsia"/>
          <w:sz w:val="24"/>
          <w:szCs w:val="24"/>
          <w:bdr w:val="none" w:sz="0" w:space="0" w:color="auto" w:frame="1"/>
          <w:shd w:val="clear" w:color="auto" w:fill="FFFFFF"/>
        </w:rPr>
        <w:t>sandra.nagiene@vilnius.lt</w:t>
      </w:r>
    </w:hyperlink>
  </w:p>
  <w:p w14:paraId="3F9E07A3" w14:textId="126102D8" w:rsidR="009E2106" w:rsidRPr="002C1900" w:rsidRDefault="009E2106" w:rsidP="009E2106">
    <w:pPr>
      <w:rPr>
        <w:sz w:val="16"/>
        <w:szCs w:val="16"/>
      </w:rPr>
    </w:pPr>
    <w:hyperlink r:id="rId2" w:history="1"/>
    <w:r w:rsidRPr="002C1900">
      <w:rPr>
        <w:noProof/>
      </w:rPr>
      <mc:AlternateContent>
        <mc:Choice Requires="wps">
          <w:drawing>
            <wp:inline distT="0" distB="0" distL="0" distR="0" wp14:anchorId="7B173ACE" wp14:editId="4537EE4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w14:anchorId="41EBDFA1">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00EE7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9E2106" w:rsidRPr="00331DAF" w14:paraId="7507EBF1" w14:textId="77777777" w:rsidTr="0092361B">
      <w:tc>
        <w:tcPr>
          <w:tcW w:w="1072" w:type="dxa"/>
          <w:vMerge w:val="restart"/>
        </w:tcPr>
        <w:p w14:paraId="2C97BE0D" w14:textId="77777777" w:rsidR="009E2106" w:rsidRPr="002C1900" w:rsidRDefault="009E2106" w:rsidP="009E2106">
          <w:pPr>
            <w:rPr>
              <w:sz w:val="16"/>
              <w:szCs w:val="16"/>
            </w:rPr>
          </w:pPr>
          <w:r w:rsidRPr="002C1900">
            <w:rPr>
              <w:noProof/>
            </w:rPr>
            <w:drawing>
              <wp:inline distT="0" distB="0" distL="0" distR="0" wp14:anchorId="0DBC833E" wp14:editId="1403A184">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462B749" w14:textId="77777777" w:rsidR="009E2106" w:rsidRPr="002C1900" w:rsidRDefault="009E2106" w:rsidP="009E2106">
          <w:pPr>
            <w:rPr>
              <w:sz w:val="16"/>
              <w:szCs w:val="16"/>
            </w:rPr>
          </w:pPr>
          <w:proofErr w:type="spellStart"/>
          <w:r w:rsidRPr="002C1900">
            <w:rPr>
              <w:sz w:val="16"/>
              <w:szCs w:val="16"/>
            </w:rPr>
            <w:t>Biudžetinė</w:t>
          </w:r>
          <w:proofErr w:type="spellEnd"/>
          <w:r w:rsidRPr="002C1900">
            <w:rPr>
              <w:sz w:val="16"/>
              <w:szCs w:val="16"/>
            </w:rPr>
            <w:t xml:space="preserve"> </w:t>
          </w:r>
          <w:proofErr w:type="spellStart"/>
          <w:r w:rsidRPr="002C1900">
            <w:rPr>
              <w:sz w:val="16"/>
              <w:szCs w:val="16"/>
            </w:rPr>
            <w:t>įstaiga</w:t>
          </w:r>
          <w:proofErr w:type="spellEnd"/>
        </w:p>
      </w:tc>
      <w:tc>
        <w:tcPr>
          <w:tcW w:w="1701" w:type="dxa"/>
        </w:tcPr>
        <w:p w14:paraId="6A1E5F0F" w14:textId="77777777" w:rsidR="009E2106" w:rsidRPr="002C1900" w:rsidRDefault="009E2106" w:rsidP="009E2106">
          <w:pPr>
            <w:rPr>
              <w:sz w:val="16"/>
              <w:szCs w:val="16"/>
            </w:rPr>
          </w:pPr>
          <w:proofErr w:type="spellStart"/>
          <w:r w:rsidRPr="002C1900">
            <w:rPr>
              <w:sz w:val="16"/>
              <w:szCs w:val="16"/>
            </w:rPr>
            <w:t>Konstitucijos</w:t>
          </w:r>
          <w:proofErr w:type="spellEnd"/>
          <w:r w:rsidRPr="002C1900">
            <w:rPr>
              <w:sz w:val="16"/>
              <w:szCs w:val="16"/>
            </w:rPr>
            <w:t xml:space="preserve"> pr. 3</w:t>
          </w:r>
        </w:p>
      </w:tc>
      <w:tc>
        <w:tcPr>
          <w:tcW w:w="3123" w:type="dxa"/>
        </w:tcPr>
        <w:p w14:paraId="2A319FBD" w14:textId="77777777" w:rsidR="009E2106" w:rsidRPr="00614F3A" w:rsidRDefault="009E2106" w:rsidP="009E2106">
          <w:pPr>
            <w:rPr>
              <w:sz w:val="16"/>
              <w:szCs w:val="16"/>
              <w:lang w:val="pt-BR"/>
            </w:rPr>
          </w:pPr>
          <w:r w:rsidRPr="00614F3A">
            <w:rPr>
              <w:sz w:val="16"/>
              <w:szCs w:val="16"/>
              <w:lang w:val="pt-BR"/>
            </w:rPr>
            <w:t xml:space="preserve">El. p. </w:t>
          </w:r>
          <w:r w:rsidRPr="00614F3A">
            <w:rPr>
              <w:color w:val="000000"/>
              <w:sz w:val="16"/>
              <w:szCs w:val="16"/>
              <w:lang w:val="pt-BR"/>
            </w:rPr>
            <w:t>savivaldybe@vilnius.lt</w:t>
          </w:r>
        </w:p>
      </w:tc>
      <w:tc>
        <w:tcPr>
          <w:tcW w:w="1123" w:type="dxa"/>
          <w:vMerge w:val="restart"/>
        </w:tcPr>
        <w:p w14:paraId="4CC9CE9B" w14:textId="77777777" w:rsidR="009E2106" w:rsidRPr="00614F3A" w:rsidRDefault="009E2106" w:rsidP="009E2106">
          <w:pPr>
            <w:rPr>
              <w:sz w:val="16"/>
              <w:szCs w:val="16"/>
              <w:lang w:val="pt-BR"/>
            </w:rPr>
          </w:pPr>
        </w:p>
      </w:tc>
    </w:tr>
    <w:tr w:rsidR="009E2106" w:rsidRPr="002C1900" w14:paraId="0CC97868" w14:textId="77777777" w:rsidTr="0092361B">
      <w:tc>
        <w:tcPr>
          <w:tcW w:w="1072" w:type="dxa"/>
          <w:vMerge/>
        </w:tcPr>
        <w:p w14:paraId="4BF3825F" w14:textId="77777777" w:rsidR="009E2106" w:rsidRPr="00614F3A" w:rsidRDefault="009E2106" w:rsidP="009E2106">
          <w:pPr>
            <w:rPr>
              <w:sz w:val="16"/>
              <w:szCs w:val="16"/>
              <w:lang w:val="pt-BR"/>
            </w:rPr>
          </w:pPr>
        </w:p>
      </w:tc>
      <w:tc>
        <w:tcPr>
          <w:tcW w:w="2501" w:type="dxa"/>
        </w:tcPr>
        <w:p w14:paraId="57DD603C" w14:textId="77777777" w:rsidR="009E2106" w:rsidRPr="002C1900" w:rsidRDefault="009E2106" w:rsidP="009E2106">
          <w:pPr>
            <w:rPr>
              <w:sz w:val="16"/>
              <w:szCs w:val="16"/>
            </w:rPr>
          </w:pPr>
          <w:r w:rsidRPr="002C1900">
            <w:rPr>
              <w:sz w:val="16"/>
              <w:szCs w:val="16"/>
            </w:rPr>
            <w:t>Kodas 188710061</w:t>
          </w:r>
        </w:p>
      </w:tc>
      <w:tc>
        <w:tcPr>
          <w:tcW w:w="1701" w:type="dxa"/>
        </w:tcPr>
        <w:p w14:paraId="62C1C2F3" w14:textId="77777777" w:rsidR="009E2106" w:rsidRPr="002C1900" w:rsidRDefault="009E2106" w:rsidP="009E2106">
          <w:pPr>
            <w:rPr>
              <w:sz w:val="16"/>
              <w:szCs w:val="16"/>
            </w:rPr>
          </w:pPr>
          <w:r w:rsidRPr="002C1900">
            <w:rPr>
              <w:sz w:val="16"/>
              <w:szCs w:val="16"/>
            </w:rPr>
            <w:t>LT-09601 Vilnius</w:t>
          </w:r>
        </w:p>
      </w:tc>
      <w:tc>
        <w:tcPr>
          <w:tcW w:w="3123" w:type="dxa"/>
        </w:tcPr>
        <w:p w14:paraId="3E60C65C" w14:textId="77777777" w:rsidR="009E2106" w:rsidRPr="002C1900" w:rsidRDefault="009E2106" w:rsidP="009E2106">
          <w:pPr>
            <w:rPr>
              <w:sz w:val="16"/>
              <w:szCs w:val="16"/>
            </w:rPr>
          </w:pPr>
          <w:r w:rsidRPr="002C1900">
            <w:rPr>
              <w:sz w:val="16"/>
              <w:szCs w:val="16"/>
            </w:rPr>
            <w:t xml:space="preserve">E. </w:t>
          </w:r>
          <w:proofErr w:type="spellStart"/>
          <w:r w:rsidRPr="002C1900">
            <w:rPr>
              <w:sz w:val="16"/>
              <w:szCs w:val="16"/>
            </w:rPr>
            <w:t>pristatymo</w:t>
          </w:r>
          <w:proofErr w:type="spellEnd"/>
          <w:r w:rsidRPr="002C1900">
            <w:rPr>
              <w:sz w:val="16"/>
              <w:szCs w:val="16"/>
            </w:rPr>
            <w:t xml:space="preserve"> </w:t>
          </w:r>
          <w:proofErr w:type="spellStart"/>
          <w:r w:rsidRPr="002C1900">
            <w:rPr>
              <w:sz w:val="16"/>
              <w:szCs w:val="16"/>
            </w:rPr>
            <w:t>dėžutės</w:t>
          </w:r>
          <w:proofErr w:type="spellEnd"/>
          <w:r w:rsidRPr="002C1900">
            <w:rPr>
              <w:sz w:val="16"/>
              <w:szCs w:val="16"/>
            </w:rPr>
            <w:t xml:space="preserve"> </w:t>
          </w:r>
          <w:proofErr w:type="spellStart"/>
          <w:r w:rsidRPr="002C1900">
            <w:rPr>
              <w:sz w:val="16"/>
              <w:szCs w:val="16"/>
            </w:rPr>
            <w:t>adresas</w:t>
          </w:r>
          <w:proofErr w:type="spellEnd"/>
          <w:r w:rsidRPr="002C1900">
            <w:rPr>
              <w:sz w:val="16"/>
              <w:szCs w:val="16"/>
            </w:rPr>
            <w:t xml:space="preserve"> – 188710061</w:t>
          </w:r>
        </w:p>
      </w:tc>
      <w:tc>
        <w:tcPr>
          <w:tcW w:w="1123" w:type="dxa"/>
          <w:vMerge/>
        </w:tcPr>
        <w:p w14:paraId="21A68859" w14:textId="77777777" w:rsidR="009E2106" w:rsidRPr="002C1900" w:rsidRDefault="009E2106" w:rsidP="009E2106"/>
      </w:tc>
    </w:tr>
    <w:tr w:rsidR="009E2106" w:rsidRPr="002C1900" w14:paraId="7BA46333" w14:textId="77777777" w:rsidTr="0092361B">
      <w:tc>
        <w:tcPr>
          <w:tcW w:w="1072" w:type="dxa"/>
          <w:vMerge/>
        </w:tcPr>
        <w:p w14:paraId="281CD87E" w14:textId="77777777" w:rsidR="009E2106" w:rsidRPr="002C1900" w:rsidRDefault="009E2106" w:rsidP="009E2106">
          <w:pPr>
            <w:rPr>
              <w:sz w:val="16"/>
              <w:szCs w:val="16"/>
            </w:rPr>
          </w:pPr>
        </w:p>
      </w:tc>
      <w:tc>
        <w:tcPr>
          <w:tcW w:w="2501" w:type="dxa"/>
        </w:tcPr>
        <w:p w14:paraId="75AA21C7" w14:textId="77777777" w:rsidR="009E2106" w:rsidRPr="002C1900" w:rsidRDefault="009E2106" w:rsidP="009E2106">
          <w:pPr>
            <w:rPr>
              <w:sz w:val="16"/>
              <w:szCs w:val="16"/>
            </w:rPr>
          </w:pPr>
          <w:proofErr w:type="spellStart"/>
          <w:r w:rsidRPr="002C1900">
            <w:rPr>
              <w:sz w:val="16"/>
              <w:szCs w:val="16"/>
            </w:rPr>
            <w:t>Duomenys</w:t>
          </w:r>
          <w:proofErr w:type="spellEnd"/>
          <w:r w:rsidRPr="002C1900">
            <w:rPr>
              <w:sz w:val="16"/>
              <w:szCs w:val="16"/>
            </w:rPr>
            <w:t xml:space="preserve"> </w:t>
          </w:r>
          <w:proofErr w:type="spellStart"/>
          <w:r w:rsidRPr="002C1900">
            <w:rPr>
              <w:sz w:val="16"/>
              <w:szCs w:val="16"/>
            </w:rPr>
            <w:t>kaupiami</w:t>
          </w:r>
          <w:proofErr w:type="spellEnd"/>
          <w:r w:rsidRPr="002C1900">
            <w:rPr>
              <w:sz w:val="16"/>
              <w:szCs w:val="16"/>
            </w:rPr>
            <w:t xml:space="preserve"> </w:t>
          </w:r>
          <w:proofErr w:type="spellStart"/>
          <w:r w:rsidRPr="002C1900">
            <w:rPr>
              <w:sz w:val="16"/>
              <w:szCs w:val="16"/>
            </w:rPr>
            <w:t>ir</w:t>
          </w:r>
          <w:proofErr w:type="spellEnd"/>
          <w:r w:rsidRPr="002C1900">
            <w:rPr>
              <w:sz w:val="16"/>
              <w:szCs w:val="16"/>
            </w:rPr>
            <w:t xml:space="preserve"> </w:t>
          </w:r>
          <w:proofErr w:type="spellStart"/>
          <w:r w:rsidRPr="002C1900">
            <w:rPr>
              <w:sz w:val="16"/>
              <w:szCs w:val="16"/>
            </w:rPr>
            <w:t>saugomi</w:t>
          </w:r>
          <w:proofErr w:type="spellEnd"/>
        </w:p>
      </w:tc>
      <w:tc>
        <w:tcPr>
          <w:tcW w:w="1701" w:type="dxa"/>
        </w:tcPr>
        <w:p w14:paraId="1ADEBE7D" w14:textId="77777777" w:rsidR="009E2106" w:rsidRPr="002C1900" w:rsidRDefault="009E2106" w:rsidP="009E2106">
          <w:pPr>
            <w:rPr>
              <w:sz w:val="16"/>
              <w:szCs w:val="16"/>
            </w:rPr>
          </w:pPr>
          <w:r w:rsidRPr="002C1900">
            <w:rPr>
              <w:sz w:val="16"/>
              <w:szCs w:val="16"/>
            </w:rPr>
            <w:t>Tel. (8 5)  211 2000</w:t>
          </w:r>
        </w:p>
      </w:tc>
      <w:tc>
        <w:tcPr>
          <w:tcW w:w="3123" w:type="dxa"/>
        </w:tcPr>
        <w:p w14:paraId="6E3E8A2A" w14:textId="77777777" w:rsidR="009E2106" w:rsidRPr="002C1900" w:rsidRDefault="009E2106" w:rsidP="009E2106">
          <w:pPr>
            <w:rPr>
              <w:sz w:val="16"/>
              <w:szCs w:val="16"/>
            </w:rPr>
          </w:pPr>
          <w:r w:rsidRPr="002C1900">
            <w:rPr>
              <w:sz w:val="16"/>
              <w:szCs w:val="16"/>
            </w:rPr>
            <w:t>www.vilnius.lt</w:t>
          </w:r>
        </w:p>
      </w:tc>
      <w:tc>
        <w:tcPr>
          <w:tcW w:w="1123" w:type="dxa"/>
          <w:vMerge/>
        </w:tcPr>
        <w:p w14:paraId="70475568" w14:textId="77777777" w:rsidR="009E2106" w:rsidRPr="002C1900" w:rsidRDefault="009E2106" w:rsidP="009E2106">
          <w:pPr>
            <w:rPr>
              <w:sz w:val="16"/>
              <w:szCs w:val="16"/>
            </w:rPr>
          </w:pPr>
        </w:p>
      </w:tc>
    </w:tr>
    <w:tr w:rsidR="009E2106" w:rsidRPr="002C1900" w14:paraId="6568A88E" w14:textId="77777777" w:rsidTr="0092361B">
      <w:tc>
        <w:tcPr>
          <w:tcW w:w="1072" w:type="dxa"/>
          <w:vMerge/>
        </w:tcPr>
        <w:p w14:paraId="6C7E956F" w14:textId="77777777" w:rsidR="009E2106" w:rsidRPr="002C1900" w:rsidRDefault="009E2106" w:rsidP="009E2106">
          <w:pPr>
            <w:rPr>
              <w:sz w:val="16"/>
              <w:szCs w:val="16"/>
            </w:rPr>
          </w:pPr>
        </w:p>
      </w:tc>
      <w:tc>
        <w:tcPr>
          <w:tcW w:w="2501" w:type="dxa"/>
        </w:tcPr>
        <w:p w14:paraId="4F37B18B" w14:textId="77777777" w:rsidR="009E2106" w:rsidRPr="002C1900" w:rsidRDefault="009E2106" w:rsidP="009E2106">
          <w:pPr>
            <w:rPr>
              <w:sz w:val="16"/>
              <w:szCs w:val="16"/>
            </w:rPr>
          </w:pPr>
          <w:proofErr w:type="spellStart"/>
          <w:r w:rsidRPr="002C1900">
            <w:rPr>
              <w:sz w:val="16"/>
              <w:szCs w:val="16"/>
            </w:rPr>
            <w:t>Juridinių</w:t>
          </w:r>
          <w:proofErr w:type="spellEnd"/>
          <w:r w:rsidRPr="002C1900">
            <w:rPr>
              <w:sz w:val="16"/>
              <w:szCs w:val="16"/>
            </w:rPr>
            <w:t xml:space="preserve"> </w:t>
          </w:r>
          <w:proofErr w:type="spellStart"/>
          <w:r w:rsidRPr="002C1900">
            <w:rPr>
              <w:sz w:val="16"/>
              <w:szCs w:val="16"/>
            </w:rPr>
            <w:t>asmenų</w:t>
          </w:r>
          <w:proofErr w:type="spellEnd"/>
          <w:r w:rsidRPr="002C1900">
            <w:rPr>
              <w:sz w:val="16"/>
              <w:szCs w:val="16"/>
            </w:rPr>
            <w:t xml:space="preserve"> </w:t>
          </w:r>
          <w:proofErr w:type="spellStart"/>
          <w:r w:rsidRPr="002C1900">
            <w:rPr>
              <w:sz w:val="16"/>
              <w:szCs w:val="16"/>
            </w:rPr>
            <w:t>registre</w:t>
          </w:r>
          <w:proofErr w:type="spellEnd"/>
        </w:p>
      </w:tc>
      <w:tc>
        <w:tcPr>
          <w:tcW w:w="1701" w:type="dxa"/>
        </w:tcPr>
        <w:p w14:paraId="26A302D4" w14:textId="77777777" w:rsidR="009E2106" w:rsidRPr="002C1900" w:rsidRDefault="009E2106" w:rsidP="009E2106">
          <w:pPr>
            <w:rPr>
              <w:sz w:val="16"/>
              <w:szCs w:val="16"/>
            </w:rPr>
          </w:pPr>
        </w:p>
      </w:tc>
      <w:tc>
        <w:tcPr>
          <w:tcW w:w="3123" w:type="dxa"/>
        </w:tcPr>
        <w:p w14:paraId="56B056FB" w14:textId="77777777" w:rsidR="009E2106" w:rsidRPr="002C1900" w:rsidRDefault="009E2106" w:rsidP="009E2106">
          <w:pPr>
            <w:rPr>
              <w:sz w:val="16"/>
              <w:szCs w:val="16"/>
            </w:rPr>
          </w:pPr>
        </w:p>
      </w:tc>
      <w:tc>
        <w:tcPr>
          <w:tcW w:w="1123" w:type="dxa"/>
          <w:vMerge/>
        </w:tcPr>
        <w:p w14:paraId="4605BE77" w14:textId="77777777" w:rsidR="009E2106" w:rsidRPr="002C1900" w:rsidRDefault="009E2106" w:rsidP="009E2106">
          <w:pPr>
            <w:rPr>
              <w:sz w:val="16"/>
              <w:szCs w:val="16"/>
            </w:rPr>
          </w:pPr>
        </w:p>
      </w:tc>
    </w:tr>
  </w:tbl>
  <w:p w14:paraId="519E88F9" w14:textId="03E33CBE" w:rsidR="003204AA" w:rsidRPr="009E2106" w:rsidRDefault="003204AA" w:rsidP="009E2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F4BD" w14:textId="77777777" w:rsidR="003204AA" w:rsidRDefault="003204AA"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8617" w14:textId="77777777" w:rsidR="00FD0383" w:rsidRDefault="00FD0383" w:rsidP="009E2106">
      <w:r>
        <w:separator/>
      </w:r>
    </w:p>
  </w:footnote>
  <w:footnote w:type="continuationSeparator" w:id="0">
    <w:p w14:paraId="76FB56E6" w14:textId="77777777" w:rsidR="00FD0383" w:rsidRDefault="00FD0383" w:rsidP="009E2106">
      <w:r>
        <w:continuationSeparator/>
      </w:r>
    </w:p>
  </w:footnote>
  <w:footnote w:id="1">
    <w:p w14:paraId="5F945B07" w14:textId="77777777" w:rsidR="00193764" w:rsidRPr="00183B20" w:rsidRDefault="00193764" w:rsidP="00193764">
      <w:pPr>
        <w:pStyle w:val="Puslapioinaostekstas"/>
        <w:rPr>
          <w:sz w:val="16"/>
          <w:szCs w:val="16"/>
        </w:rPr>
      </w:pPr>
      <w:r w:rsidRPr="00183B20">
        <w:rPr>
          <w:rStyle w:val="Puslapioinaosnuoroda"/>
          <w:sz w:val="16"/>
          <w:szCs w:val="16"/>
        </w:rPr>
        <w:footnoteRef/>
      </w:r>
      <w:r w:rsidRPr="00183B20">
        <w:rPr>
          <w:sz w:val="16"/>
          <w:szCs w:val="16"/>
        </w:rPr>
        <w:t xml:space="preserve"> Lietuvos </w:t>
      </w:r>
      <w:proofErr w:type="spellStart"/>
      <w:r w:rsidRPr="00183B20">
        <w:rPr>
          <w:sz w:val="16"/>
          <w:szCs w:val="16"/>
        </w:rPr>
        <w:t>Aukščiausiasis</w:t>
      </w:r>
      <w:proofErr w:type="spellEnd"/>
      <w:r w:rsidRPr="00183B20">
        <w:rPr>
          <w:sz w:val="16"/>
          <w:szCs w:val="16"/>
        </w:rPr>
        <w:t xml:space="preserve"> </w:t>
      </w:r>
      <w:proofErr w:type="spellStart"/>
      <w:r w:rsidRPr="00183B20">
        <w:rPr>
          <w:sz w:val="16"/>
          <w:szCs w:val="16"/>
        </w:rPr>
        <w:t>Teismas</w:t>
      </w:r>
      <w:proofErr w:type="spellEnd"/>
      <w:r w:rsidRPr="00183B20">
        <w:rPr>
          <w:sz w:val="16"/>
          <w:szCs w:val="16"/>
        </w:rPr>
        <w:t xml:space="preserve"> 2004 m. </w:t>
      </w:r>
      <w:proofErr w:type="spellStart"/>
      <w:r w:rsidRPr="00183B20">
        <w:rPr>
          <w:sz w:val="16"/>
          <w:szCs w:val="16"/>
        </w:rPr>
        <w:t>lapkričio</w:t>
      </w:r>
      <w:proofErr w:type="spellEnd"/>
      <w:r w:rsidRPr="00183B20">
        <w:rPr>
          <w:sz w:val="16"/>
          <w:szCs w:val="16"/>
        </w:rPr>
        <w:t xml:space="preserve"> 3 d. </w:t>
      </w:r>
      <w:proofErr w:type="spellStart"/>
      <w:r w:rsidRPr="00183B20">
        <w:rPr>
          <w:sz w:val="16"/>
          <w:szCs w:val="16"/>
        </w:rPr>
        <w:t>byla</w:t>
      </w:r>
      <w:proofErr w:type="spellEnd"/>
      <w:r w:rsidRPr="00183B20">
        <w:rPr>
          <w:sz w:val="16"/>
          <w:szCs w:val="16"/>
        </w:rPr>
        <w:t xml:space="preserve"> Nr. 3K-3-597/2004.</w:t>
      </w:r>
    </w:p>
  </w:footnote>
  <w:footnote w:id="2">
    <w:p w14:paraId="5974FDEC" w14:textId="77777777" w:rsidR="00193764" w:rsidRPr="00DB21F3" w:rsidRDefault="00193764" w:rsidP="00193764">
      <w:pPr>
        <w:pStyle w:val="Puslapioinaostekstas"/>
      </w:pPr>
      <w:r w:rsidRPr="00183B20">
        <w:rPr>
          <w:rStyle w:val="Puslapioinaosnuoroda"/>
          <w:sz w:val="16"/>
          <w:szCs w:val="16"/>
        </w:rPr>
        <w:footnoteRef/>
      </w:r>
      <w:r w:rsidRPr="00183B20">
        <w:rPr>
          <w:sz w:val="16"/>
          <w:szCs w:val="16"/>
          <w:lang w:val="pl-PL"/>
        </w:rPr>
        <w:t xml:space="preserve"> 2008 m. </w:t>
      </w:r>
      <w:proofErr w:type="spellStart"/>
      <w:r w:rsidRPr="00183B20">
        <w:rPr>
          <w:sz w:val="16"/>
          <w:szCs w:val="16"/>
          <w:lang w:val="pl-PL"/>
        </w:rPr>
        <w:t>rugpjūčio</w:t>
      </w:r>
      <w:proofErr w:type="spellEnd"/>
      <w:r w:rsidRPr="00183B20">
        <w:rPr>
          <w:sz w:val="16"/>
          <w:szCs w:val="16"/>
          <w:lang w:val="pl-PL"/>
        </w:rPr>
        <w:t xml:space="preserve"> 26 d. </w:t>
      </w:r>
      <w:proofErr w:type="spellStart"/>
      <w:r w:rsidRPr="00183B20">
        <w:rPr>
          <w:sz w:val="16"/>
          <w:szCs w:val="16"/>
          <w:lang w:val="pl-PL"/>
        </w:rPr>
        <w:t>byla</w:t>
      </w:r>
      <w:proofErr w:type="spellEnd"/>
      <w:r w:rsidRPr="00183B20">
        <w:rPr>
          <w:sz w:val="16"/>
          <w:szCs w:val="16"/>
          <w:lang w:val="pl-PL"/>
        </w:rPr>
        <w:t xml:space="preserve"> Nr. 2A–432/2008</w:t>
      </w:r>
      <w:r w:rsidRPr="00F62AF9">
        <w:rPr>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7A9F"/>
    <w:multiLevelType w:val="hybridMultilevel"/>
    <w:tmpl w:val="D338BFCE"/>
    <w:lvl w:ilvl="0" w:tplc="9D60F58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A896B34"/>
    <w:multiLevelType w:val="hybridMultilevel"/>
    <w:tmpl w:val="A4B892A2"/>
    <w:lvl w:ilvl="0" w:tplc="394C707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4426751"/>
    <w:multiLevelType w:val="hybridMultilevel"/>
    <w:tmpl w:val="68726282"/>
    <w:lvl w:ilvl="0" w:tplc="297E4A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46761153">
    <w:abstractNumId w:val="0"/>
  </w:num>
  <w:num w:numId="2" w16cid:durableId="1459300661">
    <w:abstractNumId w:val="2"/>
  </w:num>
  <w:num w:numId="3" w16cid:durableId="428503178">
    <w:abstractNumId w:val="1"/>
  </w:num>
  <w:num w:numId="4" w16cid:durableId="2037461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35"/>
    <w:rsid w:val="0000279E"/>
    <w:rsid w:val="00005DF5"/>
    <w:rsid w:val="0000C797"/>
    <w:rsid w:val="00011382"/>
    <w:rsid w:val="000205A9"/>
    <w:rsid w:val="000256E2"/>
    <w:rsid w:val="00035A02"/>
    <w:rsid w:val="00052DBD"/>
    <w:rsid w:val="00061A61"/>
    <w:rsid w:val="000625F9"/>
    <w:rsid w:val="00067E1A"/>
    <w:rsid w:val="0007602B"/>
    <w:rsid w:val="0007619A"/>
    <w:rsid w:val="00086118"/>
    <w:rsid w:val="000863D3"/>
    <w:rsid w:val="0009709D"/>
    <w:rsid w:val="000C2993"/>
    <w:rsid w:val="000E212A"/>
    <w:rsid w:val="00102B12"/>
    <w:rsid w:val="001241C9"/>
    <w:rsid w:val="001278DC"/>
    <w:rsid w:val="00136BBA"/>
    <w:rsid w:val="0013791F"/>
    <w:rsid w:val="00171A37"/>
    <w:rsid w:val="00171D21"/>
    <w:rsid w:val="00172CC4"/>
    <w:rsid w:val="0018012E"/>
    <w:rsid w:val="001844A7"/>
    <w:rsid w:val="0019234E"/>
    <w:rsid w:val="00193764"/>
    <w:rsid w:val="00197B83"/>
    <w:rsid w:val="001A1C25"/>
    <w:rsid w:val="001A4970"/>
    <w:rsid w:val="001A4E15"/>
    <w:rsid w:val="001A5921"/>
    <w:rsid w:val="001A76CF"/>
    <w:rsid w:val="001B6193"/>
    <w:rsid w:val="001C051E"/>
    <w:rsid w:val="001C33D5"/>
    <w:rsid w:val="001C4233"/>
    <w:rsid w:val="001D3BFB"/>
    <w:rsid w:val="001D4CEE"/>
    <w:rsid w:val="001E39E5"/>
    <w:rsid w:val="001F23D5"/>
    <w:rsid w:val="00225AB5"/>
    <w:rsid w:val="00237335"/>
    <w:rsid w:val="00241AE5"/>
    <w:rsid w:val="002511D1"/>
    <w:rsid w:val="00257B20"/>
    <w:rsid w:val="0026687A"/>
    <w:rsid w:val="0026773C"/>
    <w:rsid w:val="00270AA4"/>
    <w:rsid w:val="002823B2"/>
    <w:rsid w:val="0028252A"/>
    <w:rsid w:val="00290E85"/>
    <w:rsid w:val="002940B4"/>
    <w:rsid w:val="002A0412"/>
    <w:rsid w:val="002A3671"/>
    <w:rsid w:val="002A3D61"/>
    <w:rsid w:val="002B3B11"/>
    <w:rsid w:val="002B636A"/>
    <w:rsid w:val="002C213B"/>
    <w:rsid w:val="002C6A5A"/>
    <w:rsid w:val="002D5F24"/>
    <w:rsid w:val="002E1D81"/>
    <w:rsid w:val="002E5816"/>
    <w:rsid w:val="002E7B02"/>
    <w:rsid w:val="0030500F"/>
    <w:rsid w:val="00305D00"/>
    <w:rsid w:val="003063AA"/>
    <w:rsid w:val="00306623"/>
    <w:rsid w:val="0031095C"/>
    <w:rsid w:val="00317E47"/>
    <w:rsid w:val="003204AA"/>
    <w:rsid w:val="00326AA4"/>
    <w:rsid w:val="00331DAF"/>
    <w:rsid w:val="00334F84"/>
    <w:rsid w:val="003437D1"/>
    <w:rsid w:val="00345E63"/>
    <w:rsid w:val="00362B73"/>
    <w:rsid w:val="00384190"/>
    <w:rsid w:val="00384E41"/>
    <w:rsid w:val="00395C22"/>
    <w:rsid w:val="003A45ED"/>
    <w:rsid w:val="003B4A31"/>
    <w:rsid w:val="003C449F"/>
    <w:rsid w:val="003D7790"/>
    <w:rsid w:val="003E5DFE"/>
    <w:rsid w:val="003F0F9F"/>
    <w:rsid w:val="003F1AB5"/>
    <w:rsid w:val="003F295E"/>
    <w:rsid w:val="003F3685"/>
    <w:rsid w:val="0040196B"/>
    <w:rsid w:val="004020D6"/>
    <w:rsid w:val="004021A4"/>
    <w:rsid w:val="00406491"/>
    <w:rsid w:val="0040751E"/>
    <w:rsid w:val="00424B8F"/>
    <w:rsid w:val="00432B4C"/>
    <w:rsid w:val="00445AA9"/>
    <w:rsid w:val="004553E8"/>
    <w:rsid w:val="00472D8A"/>
    <w:rsid w:val="004740C9"/>
    <w:rsid w:val="00475504"/>
    <w:rsid w:val="004776C6"/>
    <w:rsid w:val="00477851"/>
    <w:rsid w:val="004903FF"/>
    <w:rsid w:val="00495CAA"/>
    <w:rsid w:val="004968DB"/>
    <w:rsid w:val="004A05E9"/>
    <w:rsid w:val="004B5299"/>
    <w:rsid w:val="004D2E01"/>
    <w:rsid w:val="004E2F35"/>
    <w:rsid w:val="004E32EA"/>
    <w:rsid w:val="00500187"/>
    <w:rsid w:val="005070DA"/>
    <w:rsid w:val="00510891"/>
    <w:rsid w:val="0051279A"/>
    <w:rsid w:val="00522CC3"/>
    <w:rsid w:val="00534FF6"/>
    <w:rsid w:val="00537012"/>
    <w:rsid w:val="00551CEB"/>
    <w:rsid w:val="00553124"/>
    <w:rsid w:val="005577B9"/>
    <w:rsid w:val="00560113"/>
    <w:rsid w:val="0056582F"/>
    <w:rsid w:val="00566DAD"/>
    <w:rsid w:val="005707B3"/>
    <w:rsid w:val="00584644"/>
    <w:rsid w:val="00597E58"/>
    <w:rsid w:val="005A1603"/>
    <w:rsid w:val="005B35D7"/>
    <w:rsid w:val="005B3EDC"/>
    <w:rsid w:val="005C11D2"/>
    <w:rsid w:val="005C2173"/>
    <w:rsid w:val="005C4C6B"/>
    <w:rsid w:val="005D17A8"/>
    <w:rsid w:val="005D5AE3"/>
    <w:rsid w:val="005E1681"/>
    <w:rsid w:val="005F19ED"/>
    <w:rsid w:val="00605C85"/>
    <w:rsid w:val="00607529"/>
    <w:rsid w:val="00612D31"/>
    <w:rsid w:val="00614F3A"/>
    <w:rsid w:val="0062093C"/>
    <w:rsid w:val="00621A65"/>
    <w:rsid w:val="00633CE6"/>
    <w:rsid w:val="006369A8"/>
    <w:rsid w:val="00644757"/>
    <w:rsid w:val="00655955"/>
    <w:rsid w:val="0067297E"/>
    <w:rsid w:val="00683F49"/>
    <w:rsid w:val="00685447"/>
    <w:rsid w:val="006871F8"/>
    <w:rsid w:val="00692E05"/>
    <w:rsid w:val="006953DC"/>
    <w:rsid w:val="006A0674"/>
    <w:rsid w:val="006A3FCB"/>
    <w:rsid w:val="006B5A43"/>
    <w:rsid w:val="006D119E"/>
    <w:rsid w:val="006D2997"/>
    <w:rsid w:val="006E252D"/>
    <w:rsid w:val="006E6A61"/>
    <w:rsid w:val="006E7184"/>
    <w:rsid w:val="006F28FD"/>
    <w:rsid w:val="006F3D1D"/>
    <w:rsid w:val="007063B3"/>
    <w:rsid w:val="0070704E"/>
    <w:rsid w:val="00712805"/>
    <w:rsid w:val="00717877"/>
    <w:rsid w:val="007238D5"/>
    <w:rsid w:val="00734DFB"/>
    <w:rsid w:val="00735C42"/>
    <w:rsid w:val="00746C61"/>
    <w:rsid w:val="0075572B"/>
    <w:rsid w:val="00756E24"/>
    <w:rsid w:val="00781DCD"/>
    <w:rsid w:val="00785658"/>
    <w:rsid w:val="00790A69"/>
    <w:rsid w:val="00792DBD"/>
    <w:rsid w:val="00795019"/>
    <w:rsid w:val="007A13C2"/>
    <w:rsid w:val="007A31B4"/>
    <w:rsid w:val="007B3AA6"/>
    <w:rsid w:val="007B5554"/>
    <w:rsid w:val="007C314C"/>
    <w:rsid w:val="007C6593"/>
    <w:rsid w:val="007E0DD8"/>
    <w:rsid w:val="007E4254"/>
    <w:rsid w:val="007E63AC"/>
    <w:rsid w:val="008009D7"/>
    <w:rsid w:val="0080480D"/>
    <w:rsid w:val="00825281"/>
    <w:rsid w:val="0083140D"/>
    <w:rsid w:val="00835CA7"/>
    <w:rsid w:val="00843C5A"/>
    <w:rsid w:val="00845762"/>
    <w:rsid w:val="00870F84"/>
    <w:rsid w:val="00871263"/>
    <w:rsid w:val="008815D1"/>
    <w:rsid w:val="00885962"/>
    <w:rsid w:val="008865EF"/>
    <w:rsid w:val="00886A34"/>
    <w:rsid w:val="008B1AC6"/>
    <w:rsid w:val="008B1BCC"/>
    <w:rsid w:val="008B5645"/>
    <w:rsid w:val="008D7423"/>
    <w:rsid w:val="008E043C"/>
    <w:rsid w:val="008F7DC4"/>
    <w:rsid w:val="00907495"/>
    <w:rsid w:val="009120C7"/>
    <w:rsid w:val="00916572"/>
    <w:rsid w:val="00916AA1"/>
    <w:rsid w:val="00923B21"/>
    <w:rsid w:val="00931B2B"/>
    <w:rsid w:val="0094026F"/>
    <w:rsid w:val="009458A4"/>
    <w:rsid w:val="0095001E"/>
    <w:rsid w:val="00951EA8"/>
    <w:rsid w:val="00957215"/>
    <w:rsid w:val="00963627"/>
    <w:rsid w:val="009645F9"/>
    <w:rsid w:val="0097127C"/>
    <w:rsid w:val="009970C4"/>
    <w:rsid w:val="009A01BA"/>
    <w:rsid w:val="009A3283"/>
    <w:rsid w:val="009A6F7C"/>
    <w:rsid w:val="009C24A0"/>
    <w:rsid w:val="009C7A3B"/>
    <w:rsid w:val="009D4C9F"/>
    <w:rsid w:val="009E2106"/>
    <w:rsid w:val="009E3880"/>
    <w:rsid w:val="009F2210"/>
    <w:rsid w:val="009F42EA"/>
    <w:rsid w:val="00A01A64"/>
    <w:rsid w:val="00A21317"/>
    <w:rsid w:val="00A241CB"/>
    <w:rsid w:val="00A30F75"/>
    <w:rsid w:val="00A31D37"/>
    <w:rsid w:val="00A338FE"/>
    <w:rsid w:val="00A51878"/>
    <w:rsid w:val="00A54048"/>
    <w:rsid w:val="00A54766"/>
    <w:rsid w:val="00A573F2"/>
    <w:rsid w:val="00A57D64"/>
    <w:rsid w:val="00A842C2"/>
    <w:rsid w:val="00A8463F"/>
    <w:rsid w:val="00A846F0"/>
    <w:rsid w:val="00A9221F"/>
    <w:rsid w:val="00AA175B"/>
    <w:rsid w:val="00AA248B"/>
    <w:rsid w:val="00AB5E4C"/>
    <w:rsid w:val="00AB77D3"/>
    <w:rsid w:val="00AC3432"/>
    <w:rsid w:val="00AD18DF"/>
    <w:rsid w:val="00AE3867"/>
    <w:rsid w:val="00AE7760"/>
    <w:rsid w:val="00AF3E27"/>
    <w:rsid w:val="00AF6C51"/>
    <w:rsid w:val="00B01273"/>
    <w:rsid w:val="00B03109"/>
    <w:rsid w:val="00B22270"/>
    <w:rsid w:val="00B302C0"/>
    <w:rsid w:val="00B357F4"/>
    <w:rsid w:val="00B36D81"/>
    <w:rsid w:val="00B4573D"/>
    <w:rsid w:val="00B67459"/>
    <w:rsid w:val="00B71610"/>
    <w:rsid w:val="00B806EA"/>
    <w:rsid w:val="00B846D0"/>
    <w:rsid w:val="00B87C52"/>
    <w:rsid w:val="00B92965"/>
    <w:rsid w:val="00B954D6"/>
    <w:rsid w:val="00BB133E"/>
    <w:rsid w:val="00BB2251"/>
    <w:rsid w:val="00BC4488"/>
    <w:rsid w:val="00BC53B5"/>
    <w:rsid w:val="00BD623F"/>
    <w:rsid w:val="00BE6FBC"/>
    <w:rsid w:val="00BF03E0"/>
    <w:rsid w:val="00BF06A2"/>
    <w:rsid w:val="00BF3BCC"/>
    <w:rsid w:val="00BF6114"/>
    <w:rsid w:val="00C0468C"/>
    <w:rsid w:val="00C12093"/>
    <w:rsid w:val="00C15CB9"/>
    <w:rsid w:val="00C338AC"/>
    <w:rsid w:val="00C50A46"/>
    <w:rsid w:val="00C619C4"/>
    <w:rsid w:val="00C72CFE"/>
    <w:rsid w:val="00C77C2A"/>
    <w:rsid w:val="00CA13E8"/>
    <w:rsid w:val="00CA1FF2"/>
    <w:rsid w:val="00CA6695"/>
    <w:rsid w:val="00CB4C2E"/>
    <w:rsid w:val="00CB6401"/>
    <w:rsid w:val="00CC0CD8"/>
    <w:rsid w:val="00CC58E7"/>
    <w:rsid w:val="00CC58F3"/>
    <w:rsid w:val="00CD21C7"/>
    <w:rsid w:val="00CD2A28"/>
    <w:rsid w:val="00CD4193"/>
    <w:rsid w:val="00CE3EA7"/>
    <w:rsid w:val="00CF1161"/>
    <w:rsid w:val="00D06C45"/>
    <w:rsid w:val="00D235ED"/>
    <w:rsid w:val="00D55FC9"/>
    <w:rsid w:val="00D71DAD"/>
    <w:rsid w:val="00D7248A"/>
    <w:rsid w:val="00D75793"/>
    <w:rsid w:val="00D76C3E"/>
    <w:rsid w:val="00D81407"/>
    <w:rsid w:val="00D820F8"/>
    <w:rsid w:val="00D968B8"/>
    <w:rsid w:val="00DA2718"/>
    <w:rsid w:val="00DB57F2"/>
    <w:rsid w:val="00DB7FFB"/>
    <w:rsid w:val="00DC05A5"/>
    <w:rsid w:val="00DE62EB"/>
    <w:rsid w:val="00DE6E9E"/>
    <w:rsid w:val="00DF0F31"/>
    <w:rsid w:val="00E13695"/>
    <w:rsid w:val="00E22342"/>
    <w:rsid w:val="00E24760"/>
    <w:rsid w:val="00E25C8E"/>
    <w:rsid w:val="00E368FE"/>
    <w:rsid w:val="00E418E6"/>
    <w:rsid w:val="00E54988"/>
    <w:rsid w:val="00E54CBD"/>
    <w:rsid w:val="00E6451E"/>
    <w:rsid w:val="00E64E9C"/>
    <w:rsid w:val="00E65698"/>
    <w:rsid w:val="00E76F1F"/>
    <w:rsid w:val="00E909C9"/>
    <w:rsid w:val="00E96A7D"/>
    <w:rsid w:val="00EC08EC"/>
    <w:rsid w:val="00EC30FC"/>
    <w:rsid w:val="00EC3D7F"/>
    <w:rsid w:val="00ED1861"/>
    <w:rsid w:val="00ED3A0C"/>
    <w:rsid w:val="00ED54F5"/>
    <w:rsid w:val="00ED6F31"/>
    <w:rsid w:val="00EF06C6"/>
    <w:rsid w:val="00F0614F"/>
    <w:rsid w:val="00F0634B"/>
    <w:rsid w:val="00F132E8"/>
    <w:rsid w:val="00F13D55"/>
    <w:rsid w:val="00F34D9B"/>
    <w:rsid w:val="00F4037E"/>
    <w:rsid w:val="00F4600E"/>
    <w:rsid w:val="00F47FA3"/>
    <w:rsid w:val="00F529C7"/>
    <w:rsid w:val="00F55AE6"/>
    <w:rsid w:val="00F575FD"/>
    <w:rsid w:val="00F57B62"/>
    <w:rsid w:val="00F8665B"/>
    <w:rsid w:val="00F942FD"/>
    <w:rsid w:val="00FA1DD0"/>
    <w:rsid w:val="00FA42CB"/>
    <w:rsid w:val="00FB19B2"/>
    <w:rsid w:val="00FC2452"/>
    <w:rsid w:val="00FD0383"/>
    <w:rsid w:val="00FD6576"/>
    <w:rsid w:val="00FE0E2A"/>
    <w:rsid w:val="00FE1241"/>
    <w:rsid w:val="00FF2F72"/>
    <w:rsid w:val="00FF45C0"/>
    <w:rsid w:val="184C9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14F0"/>
  <w15:chartTrackingRefBased/>
  <w15:docId w15:val="{358AC971-F3BE-47AA-937F-B61CEC74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F35"/>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4E2F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4E2F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4E2F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4E2F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4E2F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4E2F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4E2F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4E2F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4E2F3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2F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2F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2F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2F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2F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2F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2F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2F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2F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2F3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4E2F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2F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4E2F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2F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4E2F35"/>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E2F35"/>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4E2F35"/>
    <w:rPr>
      <w:i/>
      <w:iCs/>
      <w:color w:val="0F4761" w:themeColor="accent1" w:themeShade="BF"/>
    </w:rPr>
  </w:style>
  <w:style w:type="paragraph" w:styleId="Iskirtacitata">
    <w:name w:val="Intense Quote"/>
    <w:basedOn w:val="prastasis"/>
    <w:next w:val="prastasis"/>
    <w:link w:val="IskirtacitataDiagrama"/>
    <w:uiPriority w:val="30"/>
    <w:qFormat/>
    <w:rsid w:val="004E2F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4E2F35"/>
    <w:rPr>
      <w:i/>
      <w:iCs/>
      <w:color w:val="0F4761" w:themeColor="accent1" w:themeShade="BF"/>
    </w:rPr>
  </w:style>
  <w:style w:type="character" w:styleId="Rykinuoroda">
    <w:name w:val="Intense Reference"/>
    <w:basedOn w:val="Numatytasispastraiposriftas"/>
    <w:uiPriority w:val="32"/>
    <w:qFormat/>
    <w:rsid w:val="004E2F35"/>
    <w:rPr>
      <w:b/>
      <w:bCs/>
      <w:smallCaps/>
      <w:color w:val="0F4761" w:themeColor="accent1" w:themeShade="BF"/>
      <w:spacing w:val="5"/>
    </w:rPr>
  </w:style>
  <w:style w:type="character" w:styleId="Hipersaitas">
    <w:name w:val="Hyperlink"/>
    <w:rsid w:val="004E2F35"/>
    <w:rPr>
      <w:color w:val="0000FF"/>
      <w:u w:val="single"/>
    </w:rPr>
  </w:style>
  <w:style w:type="paragraph" w:styleId="Pagrindiniotekstotrauka2">
    <w:name w:val="Body Text Indent 2"/>
    <w:basedOn w:val="prastasis"/>
    <w:link w:val="Pagrindiniotekstotrauka2Diagrama"/>
    <w:rsid w:val="004E2F3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E2F35"/>
    <w:rPr>
      <w:rFonts w:ascii="Times New Roman" w:eastAsia="Times New Roman" w:hAnsi="Times New Roman" w:cs="Times New Roman"/>
      <w:kern w:val="0"/>
      <w:sz w:val="20"/>
      <w:szCs w:val="20"/>
      <w:lang w:val="en-US"/>
      <w14:ligatures w14:val="none"/>
    </w:rPr>
  </w:style>
  <w:style w:type="character" w:styleId="Grietas">
    <w:name w:val="Strong"/>
    <w:qFormat/>
    <w:rsid w:val="004E2F35"/>
    <w:rPr>
      <w:b/>
      <w:bCs/>
    </w:rPr>
  </w:style>
  <w:style w:type="paragraph" w:styleId="Antrats">
    <w:name w:val="header"/>
    <w:basedOn w:val="prastasis"/>
    <w:link w:val="AntratsDiagrama"/>
    <w:uiPriority w:val="99"/>
    <w:unhideWhenUsed/>
    <w:rsid w:val="009E2106"/>
    <w:pPr>
      <w:tabs>
        <w:tab w:val="center" w:pos="4819"/>
        <w:tab w:val="right" w:pos="9638"/>
      </w:tabs>
    </w:pPr>
  </w:style>
  <w:style w:type="character" w:customStyle="1" w:styleId="AntratsDiagrama">
    <w:name w:val="Antraštės Diagrama"/>
    <w:basedOn w:val="Numatytasispastraiposriftas"/>
    <w:link w:val="Antrats"/>
    <w:uiPriority w:val="99"/>
    <w:rsid w:val="009E2106"/>
    <w:rPr>
      <w:rFonts w:ascii="Times New Roman" w:eastAsia="Times New Roman" w:hAnsi="Times New Roman" w:cs="Times New Roman"/>
      <w:kern w:val="0"/>
      <w:sz w:val="20"/>
      <w:szCs w:val="20"/>
      <w:lang w:val="en-US"/>
      <w14:ligatures w14:val="none"/>
    </w:rPr>
  </w:style>
  <w:style w:type="paragraph" w:styleId="Porat">
    <w:name w:val="footer"/>
    <w:basedOn w:val="prastasis"/>
    <w:link w:val="PoratDiagrama"/>
    <w:unhideWhenUsed/>
    <w:rsid w:val="009E2106"/>
    <w:pPr>
      <w:tabs>
        <w:tab w:val="center" w:pos="4819"/>
        <w:tab w:val="right" w:pos="9638"/>
      </w:tabs>
    </w:pPr>
  </w:style>
  <w:style w:type="character" w:customStyle="1" w:styleId="PoratDiagrama">
    <w:name w:val="Poraštė Diagrama"/>
    <w:basedOn w:val="Numatytasispastraiposriftas"/>
    <w:link w:val="Porat"/>
    <w:rsid w:val="009E2106"/>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061A61"/>
  </w:style>
  <w:style w:type="paragraph" w:customStyle="1" w:styleId="Standard">
    <w:name w:val="Standard"/>
    <w:rsid w:val="00ED6F31"/>
    <w:pPr>
      <w:widowControl w:val="0"/>
      <w:spacing w:after="57" w:line="240" w:lineRule="auto"/>
      <w:jc w:val="both"/>
    </w:pPr>
    <w:rPr>
      <w:rFonts w:ascii="TimesLT" w:eastAsia="Calibri" w:hAnsi="TimesLT" w:cs="Times New Roman"/>
      <w:kern w:val="0"/>
      <w:sz w:val="20"/>
      <w:szCs w:val="20"/>
      <w:lang w:val="en-GB"/>
      <w14:ligatures w14:val="none"/>
    </w:rPr>
  </w:style>
  <w:style w:type="character" w:customStyle="1" w:styleId="Numatytasispastraiposriftas1">
    <w:name w:val="Numatytasis pastraipos šriftas1"/>
    <w:rsid w:val="00067E1A"/>
  </w:style>
  <w:style w:type="paragraph" w:styleId="Puslapioinaostekstas">
    <w:name w:val="footnote text"/>
    <w:basedOn w:val="prastasis"/>
    <w:link w:val="PuslapioinaostekstasDiagrama"/>
    <w:uiPriority w:val="99"/>
    <w:unhideWhenUsed/>
    <w:rsid w:val="00FF2F72"/>
    <w:rPr>
      <w:lang w:val="en-GB"/>
    </w:rPr>
  </w:style>
  <w:style w:type="character" w:customStyle="1" w:styleId="PuslapioinaostekstasDiagrama">
    <w:name w:val="Puslapio išnašos tekstas Diagrama"/>
    <w:basedOn w:val="Numatytasispastraiposriftas"/>
    <w:link w:val="Puslapioinaostekstas"/>
    <w:uiPriority w:val="99"/>
    <w:rsid w:val="00FF2F72"/>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FF2F72"/>
    <w:rPr>
      <w:vertAlign w:val="superscript"/>
    </w:rPr>
  </w:style>
  <w:style w:type="character" w:styleId="Neapdorotaspaminjimas">
    <w:name w:val="Unresolved Mention"/>
    <w:basedOn w:val="Numatytasispastraiposriftas"/>
    <w:uiPriority w:val="99"/>
    <w:semiHidden/>
    <w:unhideWhenUsed/>
    <w:rsid w:val="007C6593"/>
    <w:rPr>
      <w:color w:val="605E5C"/>
      <w:shd w:val="clear" w:color="auto" w:fill="E1DFDD"/>
    </w:rPr>
  </w:style>
  <w:style w:type="character" w:styleId="Komentaronuoroda">
    <w:name w:val="annotation reference"/>
    <w:basedOn w:val="Numatytasispastraiposriftas"/>
    <w:unhideWhenUsed/>
    <w:rsid w:val="005A1603"/>
    <w:rPr>
      <w:sz w:val="16"/>
      <w:szCs w:val="16"/>
    </w:rPr>
  </w:style>
  <w:style w:type="paragraph" w:styleId="Komentarotekstas">
    <w:name w:val="annotation text"/>
    <w:basedOn w:val="prastasis"/>
    <w:link w:val="KomentarotekstasDiagrama"/>
    <w:unhideWhenUsed/>
    <w:rsid w:val="005A1603"/>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rsid w:val="005A1603"/>
    <w:rPr>
      <w:sz w:val="20"/>
      <w:szCs w:val="20"/>
    </w:rPr>
  </w:style>
  <w:style w:type="character" w:customStyle="1" w:styleId="ui-provider">
    <w:name w:val="ui-provider"/>
    <w:basedOn w:val="Numatytasispastraiposriftas"/>
    <w:rsid w:val="005A1603"/>
  </w:style>
  <w:style w:type="character" w:customStyle="1" w:styleId="Style29">
    <w:name w:val="Style29"/>
    <w:basedOn w:val="Numatytasispastraiposriftas"/>
    <w:uiPriority w:val="1"/>
    <w:rsid w:val="00E64E9C"/>
    <w:rPr>
      <w:rFonts w:ascii="Times New Roman" w:hAnsi="Times New Roman"/>
      <w:b w:val="0"/>
      <w:i w:val="0"/>
      <w:color w:val="auto"/>
      <w:sz w:val="24"/>
    </w:rPr>
  </w:style>
  <w:style w:type="paragraph" w:styleId="Komentarotema">
    <w:name w:val="annotation subject"/>
    <w:basedOn w:val="Komentarotekstas"/>
    <w:next w:val="Komentarotekstas"/>
    <w:link w:val="KomentarotemaDiagrama"/>
    <w:uiPriority w:val="99"/>
    <w:semiHidden/>
    <w:unhideWhenUsed/>
    <w:rsid w:val="00CB6401"/>
    <w:pPr>
      <w:spacing w:after="0"/>
    </w:pPr>
    <w:rPr>
      <w:rFonts w:ascii="Times New Roman" w:eastAsia="Times New Roman" w:hAnsi="Times New Roman" w:cs="Times New Roman"/>
      <w:b/>
      <w:bCs/>
      <w:kern w:val="0"/>
      <w:lang w:val="en-US"/>
      <w14:ligatures w14:val="none"/>
    </w:rPr>
  </w:style>
  <w:style w:type="character" w:customStyle="1" w:styleId="KomentarotemaDiagrama">
    <w:name w:val="Komentaro tema Diagrama"/>
    <w:basedOn w:val="KomentarotekstasDiagrama"/>
    <w:link w:val="Komentarotema"/>
    <w:uiPriority w:val="99"/>
    <w:semiHidden/>
    <w:rsid w:val="00CB6401"/>
    <w:rPr>
      <w:rFonts w:ascii="Times New Roman" w:eastAsia="Times New Roman" w:hAnsi="Times New Roman" w:cs="Times New Roman"/>
      <w:b/>
      <w:bCs/>
      <w:kern w:val="0"/>
      <w:sz w:val="20"/>
      <w:szCs w:val="20"/>
      <w:lang w:val="en-US"/>
      <w14:ligatures w14:val="none"/>
    </w:rPr>
  </w:style>
  <w:style w:type="paragraph" w:customStyle="1" w:styleId="Body2">
    <w:name w:val="Body 2"/>
    <w:rsid w:val="001937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303568">
      <w:bodyDiv w:val="1"/>
      <w:marLeft w:val="0"/>
      <w:marRight w:val="0"/>
      <w:marTop w:val="0"/>
      <w:marBottom w:val="0"/>
      <w:divBdr>
        <w:top w:val="none" w:sz="0" w:space="0" w:color="auto"/>
        <w:left w:val="none" w:sz="0" w:space="0" w:color="auto"/>
        <w:bottom w:val="none" w:sz="0" w:space="0" w:color="auto"/>
        <w:right w:val="none" w:sz="0" w:space="0" w:color="auto"/>
      </w:divBdr>
    </w:div>
    <w:div w:id="18143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lzbieta.talockaite@vilnius.lt" TargetMode="External"/><Relationship Id="rId1" Type="http://schemas.openxmlformats.org/officeDocument/2006/relationships/hyperlink" Target="mailto:sandra.nagien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42701-C7A0-4AC8-AF9C-A7346DE70E32}">
  <ds:schemaRef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609231-acae-40b1-8992-26d1ec8f8073"/>
    <ds:schemaRef ds:uri="http://www.w3.org/XML/1998/namespace"/>
    <ds:schemaRef ds:uri="http://purl.org/dc/dcmitype/"/>
  </ds:schemaRefs>
</ds:datastoreItem>
</file>

<file path=customXml/itemProps2.xml><?xml version="1.0" encoding="utf-8"?>
<ds:datastoreItem xmlns:ds="http://schemas.openxmlformats.org/officeDocument/2006/customXml" ds:itemID="{A7FEC446-D9E4-4D84-A72D-1AEC69A4BBE6}">
  <ds:schemaRefs>
    <ds:schemaRef ds:uri="http://schemas.microsoft.com/sharepoint/v3/contenttype/forms"/>
  </ds:schemaRefs>
</ds:datastoreItem>
</file>

<file path=customXml/itemProps3.xml><?xml version="1.0" encoding="utf-8"?>
<ds:datastoreItem xmlns:ds="http://schemas.openxmlformats.org/officeDocument/2006/customXml" ds:itemID="{29765E75-24A6-42F0-9031-6BD1E532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12772</Words>
  <Characters>7281</Characters>
  <Application>Microsoft Office Word</Application>
  <DocSecurity>0</DocSecurity>
  <Lines>60</Lines>
  <Paragraphs>40</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Sandra Čiukšytė-Nagienė</cp:lastModifiedBy>
  <cp:revision>42</cp:revision>
  <dcterms:created xsi:type="dcterms:W3CDTF">2024-09-17T12:28:00Z</dcterms:created>
  <dcterms:modified xsi:type="dcterms:W3CDTF">2025-11-26T11:13:00Z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