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12A" w:rsidRDefault="00A9612A" w:rsidP="00937AED">
      <w:pPr>
        <w:pBdr>
          <w:bottom w:val="single" w:sz="4" w:space="1" w:color="auto"/>
        </w:pBdr>
        <w:spacing w:after="6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EB019C" w:rsidRPr="00F26EDB" w:rsidRDefault="00EB019C" w:rsidP="00EB019C">
      <w:pPr>
        <w:spacing w:after="6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F26EDB">
        <w:rPr>
          <w:rFonts w:ascii="Times New Roman" w:eastAsia="Times New Roman" w:hAnsi="Times New Roman" w:cs="Times New Roman"/>
          <w:sz w:val="24"/>
          <w:szCs w:val="24"/>
          <w:lang w:val="lt-LT"/>
        </w:rPr>
        <w:t>Herbas arba prekių ženklas</w:t>
      </w:r>
    </w:p>
    <w:p w:rsidR="00EB019C" w:rsidRDefault="00EB019C" w:rsidP="00EB019C">
      <w:pPr>
        <w:spacing w:after="6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  <w:r w:rsidRPr="00F26EDB">
        <w:rPr>
          <w:rFonts w:ascii="Times New Roman" w:eastAsia="Times New Roman" w:hAnsi="Times New Roman" w:cs="Times New Roman"/>
          <w:sz w:val="24"/>
          <w:szCs w:val="24"/>
          <w:lang w:val="lt-LT"/>
        </w:rPr>
        <w:t>(T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ie</w:t>
      </w:r>
      <w:r w:rsidRPr="00F26EDB">
        <w:rPr>
          <w:rFonts w:ascii="Times New Roman" w:eastAsia="Times New Roman" w:hAnsi="Times New Roman" w:cs="Times New Roman"/>
          <w:sz w:val="24"/>
          <w:szCs w:val="24"/>
          <w:lang w:val="lt-LT"/>
        </w:rPr>
        <w:t>kėjo pavadinimas)</w:t>
      </w:r>
    </w:p>
    <w:p w:rsidR="00EB019C" w:rsidRDefault="00EB019C" w:rsidP="00EB019C">
      <w:pPr>
        <w:spacing w:after="6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EB019C" w:rsidRPr="002A2C89" w:rsidRDefault="00EB019C" w:rsidP="00EB019C">
      <w:pPr>
        <w:spacing w:after="6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</w:p>
    <w:p w:rsidR="00EB019C" w:rsidRPr="00F26EDB" w:rsidRDefault="00EB019C" w:rsidP="00EB019C">
      <w:pPr>
        <w:spacing w:after="6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F26EDB">
        <w:rPr>
          <w:rFonts w:ascii="Times New Roman" w:eastAsia="Times New Roman" w:hAnsi="Times New Roman" w:cs="Times New Roman"/>
          <w:sz w:val="24"/>
          <w:szCs w:val="24"/>
          <w:lang w:val="lt-LT"/>
        </w:rPr>
        <w:t>(Juridinio asmens teisinė forma, buveinė, kontaktinė informacija, registro, kuriame kaup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iami ir saugomi duomenys apie tie</w:t>
      </w:r>
      <w:r w:rsidRPr="00F26EDB">
        <w:rPr>
          <w:rFonts w:ascii="Times New Roman" w:eastAsia="Times New Roman" w:hAnsi="Times New Roman" w:cs="Times New Roman"/>
          <w:sz w:val="24"/>
          <w:szCs w:val="24"/>
          <w:lang w:val="lt-LT"/>
        </w:rPr>
        <w:t>kėją, pavadinimas, juridinio asmens kodas, pridėtinės vertės mokesčio mokėtojo kodas, jei juridinis asmuo yra pridėtinės vertės mokesčio mokėtojas)</w:t>
      </w:r>
    </w:p>
    <w:p w:rsidR="00EB019C" w:rsidRDefault="00EB019C" w:rsidP="00EB019C">
      <w:pPr>
        <w:tabs>
          <w:tab w:val="center" w:pos="2520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EB019C" w:rsidRDefault="00EB019C" w:rsidP="00EB019C">
      <w:pPr>
        <w:tabs>
          <w:tab w:val="center" w:pos="2520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DD6469" w:rsidRDefault="00DD6469" w:rsidP="00A82171">
      <w:pPr>
        <w:tabs>
          <w:tab w:val="center" w:pos="2520"/>
        </w:tabs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INFRASTUKTŪROS VALDYMO AGENTŪRA</w:t>
      </w:r>
      <w:r w:rsidR="00A82171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I</w:t>
      </w:r>
    </w:p>
    <w:p w:rsidR="00045F82" w:rsidRDefault="00045F82" w:rsidP="00DD6469">
      <w:pPr>
        <w:tabs>
          <w:tab w:val="center" w:pos="2520"/>
        </w:tabs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EB019C" w:rsidRDefault="00DD6469" w:rsidP="00EB019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lt-LT" w:eastAsia="lt-LT"/>
        </w:rPr>
      </w:pPr>
      <w:r>
        <w:rPr>
          <w:rStyle w:val="Strong"/>
          <w:rFonts w:ascii="Times New Roman" w:hAnsi="Times New Roman" w:cs="Times New Roman"/>
          <w:sz w:val="28"/>
          <w:szCs w:val="28"/>
        </w:rPr>
        <w:t xml:space="preserve">TIEKĖJO DEKLARACIJA </w:t>
      </w:r>
      <w:r w:rsidR="00EB019C" w:rsidRPr="00750767">
        <w:rPr>
          <w:rStyle w:val="Strong"/>
          <w:rFonts w:ascii="Times New Roman" w:hAnsi="Times New Roman" w:cs="Times New Roman"/>
          <w:sz w:val="28"/>
          <w:szCs w:val="28"/>
        </w:rPr>
        <w:t>DĖL</w:t>
      </w:r>
      <w:r>
        <w:rPr>
          <w:rFonts w:ascii="Times New Roman" w:eastAsia="Times New Roman" w:hAnsi="Times New Roman" w:cs="Times New Roman"/>
          <w:b/>
          <w:sz w:val="28"/>
          <w:szCs w:val="28"/>
          <w:lang w:val="lt-LT" w:eastAsia="lt-LT"/>
        </w:rPr>
        <w:t xml:space="preserve"> PASIŪLYMO ATITIKTIES TECHNINEI SPECIFIKACIJAI</w:t>
      </w:r>
      <w:r w:rsidR="00A82171">
        <w:rPr>
          <w:rStyle w:val="FootnoteReference"/>
          <w:rFonts w:ascii="Times New Roman" w:hAnsi="Times New Roman" w:cs="Times New Roman"/>
          <w:b/>
          <w:bCs/>
          <w:sz w:val="28"/>
          <w:szCs w:val="28"/>
        </w:rPr>
        <w:footnoteReference w:id="1"/>
      </w:r>
    </w:p>
    <w:p w:rsidR="00E4691B" w:rsidRPr="00A82171" w:rsidRDefault="00E4691B" w:rsidP="00EB019C">
      <w:pPr>
        <w:jc w:val="center"/>
        <w:rPr>
          <w:rStyle w:val="Strong"/>
          <w:rFonts w:ascii="Times New Roman" w:hAnsi="Times New Roman" w:cs="Times New Roman"/>
          <w:sz w:val="28"/>
          <w:szCs w:val="28"/>
          <w:vertAlign w:val="superscript"/>
        </w:rPr>
      </w:pPr>
    </w:p>
    <w:p w:rsidR="00A9612A" w:rsidRPr="00B86C40" w:rsidRDefault="00A109AC" w:rsidP="00A96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Strong"/>
          <w:rFonts w:ascii="Times New Roman" w:hAnsi="Times New Roman" w:cs="Times New Roman"/>
          <w:sz w:val="28"/>
          <w:szCs w:val="28"/>
          <w:lang w:val="lt-LT"/>
        </w:rPr>
      </w:pPr>
      <w:r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 xml:space="preserve">1. Pažymime, kad </w:t>
      </w:r>
      <w:r w:rsidR="004353DA">
        <w:rPr>
          <w:rStyle w:val="Strong"/>
          <w:rFonts w:ascii="Times New Roman" w:hAnsi="Times New Roman" w:cs="Times New Roman"/>
          <w:sz w:val="28"/>
          <w:szCs w:val="28"/>
          <w:lang w:val="lt-LT"/>
        </w:rPr>
        <w:t xml:space="preserve">šis, </w:t>
      </w:r>
      <w:r w:rsidRPr="004D75F8">
        <w:rPr>
          <w:rStyle w:val="Strong"/>
          <w:rFonts w:ascii="Times New Roman" w:hAnsi="Times New Roman" w:cs="Times New Roman"/>
          <w:sz w:val="28"/>
          <w:szCs w:val="28"/>
          <w:u w:val="single"/>
          <w:lang w:val="lt-LT"/>
        </w:rPr>
        <w:t xml:space="preserve">Pirkimo sąlygų 2 priedo </w:t>
      </w:r>
      <w:r w:rsidR="003279EB" w:rsidRPr="00B86C40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>P</w:t>
      </w:r>
      <w:r w:rsidRPr="00B86C40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>riedėlis yra neatsiejama pasiūlymo dalis</w:t>
      </w:r>
      <w:r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 xml:space="preserve">.                                                                                                                                             2. Tiekėjas turi </w:t>
      </w:r>
      <w:r w:rsidR="00A9612A"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 xml:space="preserve">pilnai </w:t>
      </w:r>
      <w:r w:rsidRPr="00B86C40">
        <w:rPr>
          <w:rStyle w:val="Strong"/>
          <w:rFonts w:ascii="Times New Roman" w:hAnsi="Times New Roman" w:cs="Times New Roman"/>
          <w:sz w:val="28"/>
          <w:szCs w:val="28"/>
          <w:u w:val="single"/>
          <w:lang w:val="lt-LT"/>
        </w:rPr>
        <w:t>užpildyti</w:t>
      </w:r>
      <w:r w:rsidR="00981174" w:rsidRPr="00B86C40">
        <w:rPr>
          <w:rStyle w:val="Strong"/>
          <w:rFonts w:ascii="Times New Roman" w:hAnsi="Times New Roman" w:cs="Times New Roman"/>
          <w:sz w:val="28"/>
          <w:szCs w:val="28"/>
          <w:u w:val="single"/>
          <w:lang w:val="lt-LT"/>
        </w:rPr>
        <w:t xml:space="preserve"> lentelės</w:t>
      </w:r>
      <w:r w:rsidRPr="00B86C40">
        <w:rPr>
          <w:rStyle w:val="Strong"/>
          <w:rFonts w:ascii="Times New Roman" w:hAnsi="Times New Roman" w:cs="Times New Roman"/>
          <w:sz w:val="28"/>
          <w:szCs w:val="28"/>
          <w:u w:val="single"/>
          <w:lang w:val="lt-LT"/>
        </w:rPr>
        <w:t xml:space="preserve"> </w:t>
      </w:r>
      <w:r w:rsidR="00A9612A" w:rsidRPr="00942D2D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>4</w:t>
      </w:r>
      <w:r w:rsidR="00A9612A" w:rsidRPr="00B86C40">
        <w:rPr>
          <w:rStyle w:val="Strong"/>
          <w:rFonts w:ascii="Times New Roman" w:hAnsi="Times New Roman" w:cs="Times New Roman"/>
          <w:sz w:val="28"/>
          <w:szCs w:val="28"/>
          <w:u w:val="single"/>
          <w:lang w:val="lt-LT"/>
        </w:rPr>
        <w:t xml:space="preserve"> ir </w:t>
      </w:r>
      <w:r w:rsidR="00A9612A" w:rsidRPr="00942D2D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>5</w:t>
      </w:r>
      <w:r w:rsidR="00A9612A" w:rsidRPr="00B86C40">
        <w:rPr>
          <w:rStyle w:val="Strong"/>
          <w:rFonts w:ascii="Times New Roman" w:hAnsi="Times New Roman" w:cs="Times New Roman"/>
          <w:color w:val="0070C0"/>
          <w:sz w:val="28"/>
          <w:szCs w:val="28"/>
          <w:u w:val="single"/>
          <w:lang w:val="lt-LT"/>
        </w:rPr>
        <w:t xml:space="preserve"> </w:t>
      </w:r>
      <w:r w:rsidRPr="00B86C40">
        <w:rPr>
          <w:rStyle w:val="Strong"/>
          <w:rFonts w:ascii="Times New Roman" w:hAnsi="Times New Roman" w:cs="Times New Roman"/>
          <w:sz w:val="28"/>
          <w:szCs w:val="28"/>
          <w:u w:val="single"/>
          <w:lang w:val="lt-LT"/>
        </w:rPr>
        <w:t>stulp</w:t>
      </w:r>
      <w:r w:rsidR="00A9612A" w:rsidRPr="00B86C40">
        <w:rPr>
          <w:rStyle w:val="Strong"/>
          <w:rFonts w:ascii="Times New Roman" w:hAnsi="Times New Roman" w:cs="Times New Roman"/>
          <w:sz w:val="28"/>
          <w:szCs w:val="28"/>
          <w:u w:val="single"/>
          <w:lang w:val="lt-LT"/>
        </w:rPr>
        <w:t>elius.</w:t>
      </w:r>
      <w:r w:rsidR="00A9612A"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 xml:space="preserve"> </w:t>
      </w:r>
    </w:p>
    <w:p w:rsidR="00C43153" w:rsidRPr="00B86C40" w:rsidRDefault="00A109AC" w:rsidP="00A96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Strong"/>
          <w:rFonts w:ascii="Times New Roman" w:hAnsi="Times New Roman" w:cs="Times New Roman"/>
          <w:sz w:val="28"/>
          <w:szCs w:val="28"/>
          <w:lang w:val="lt-LT"/>
        </w:rPr>
      </w:pPr>
      <w:r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>3.  Patvirtindamas, kad prekė</w:t>
      </w:r>
      <w:r w:rsidR="00942D2D">
        <w:rPr>
          <w:rStyle w:val="Strong"/>
          <w:rFonts w:ascii="Times New Roman" w:hAnsi="Times New Roman" w:cs="Times New Roman"/>
          <w:sz w:val="28"/>
          <w:szCs w:val="28"/>
          <w:lang w:val="lt-LT"/>
        </w:rPr>
        <w:t>s</w:t>
      </w:r>
      <w:r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 xml:space="preserve"> atitinka technin</w:t>
      </w:r>
      <w:r w:rsidR="00A9612A"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>ių rodiklių</w:t>
      </w:r>
      <w:r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 xml:space="preserve"> reikalavimus, nurodytus Pirkimo sąlygų 1 priede „</w:t>
      </w:r>
      <w:r w:rsidR="00DD6469"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 xml:space="preserve">Elektroninių apsaugos sistemų </w:t>
      </w:r>
      <w:r w:rsidR="00FC3F85">
        <w:rPr>
          <w:rStyle w:val="Strong"/>
          <w:rFonts w:ascii="Times New Roman" w:hAnsi="Times New Roman" w:cs="Times New Roman"/>
          <w:sz w:val="28"/>
          <w:szCs w:val="28"/>
          <w:lang w:val="lt-LT"/>
        </w:rPr>
        <w:t>akumuliatorių</w:t>
      </w:r>
      <w:r w:rsidR="00DD6469"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 xml:space="preserve"> techninė specifikacija“</w:t>
      </w:r>
      <w:r w:rsidRPr="00B86C40">
        <w:rPr>
          <w:rStyle w:val="Strong"/>
          <w:rFonts w:ascii="Times New Roman" w:hAnsi="Times New Roman" w:cs="Times New Roman"/>
          <w:b w:val="0"/>
          <w:sz w:val="28"/>
          <w:szCs w:val="28"/>
          <w:lang w:val="lt-LT"/>
        </w:rPr>
        <w:t>,</w:t>
      </w:r>
      <w:r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 xml:space="preserve"> </w:t>
      </w:r>
      <w:r w:rsidRPr="00942D2D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 xml:space="preserve">tiekėjas privalo </w:t>
      </w:r>
      <w:r w:rsidRPr="00B86C40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>aiškiai apibūdinti siūlomų prekių charakteristikas</w:t>
      </w:r>
      <w:r w:rsidRPr="00B86C40">
        <w:rPr>
          <w:rStyle w:val="Strong"/>
          <w:rFonts w:ascii="Times New Roman" w:hAnsi="Times New Roman" w:cs="Times New Roman"/>
          <w:color w:val="C00000"/>
          <w:sz w:val="28"/>
          <w:szCs w:val="28"/>
          <w:lang w:val="lt-LT"/>
        </w:rPr>
        <w:t xml:space="preserve"> </w:t>
      </w:r>
      <w:r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 xml:space="preserve">ir </w:t>
      </w:r>
      <w:r w:rsidRPr="00B86C40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 xml:space="preserve">pateikti </w:t>
      </w:r>
      <w:r w:rsidR="006B1F2F" w:rsidRPr="00B86C40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>informaciją</w:t>
      </w:r>
      <w:r w:rsidRPr="00B86C40">
        <w:rPr>
          <w:rStyle w:val="Strong"/>
          <w:rFonts w:ascii="Times New Roman" w:hAnsi="Times New Roman" w:cs="Times New Roman"/>
          <w:color w:val="C00000"/>
          <w:sz w:val="28"/>
          <w:szCs w:val="28"/>
          <w:lang w:val="lt-LT"/>
        </w:rPr>
        <w:t xml:space="preserve"> </w:t>
      </w:r>
      <w:r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>(pvz:</w:t>
      </w:r>
      <w:r w:rsidR="00045F82"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 xml:space="preserve"> Prekės modelį, nuoroda į gamintojo prekės specifikaciją/dokumentą, puslapį ar kt.</w:t>
      </w:r>
      <w:r w:rsidR="00465A75"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 xml:space="preserve"> </w:t>
      </w:r>
      <w:r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 xml:space="preserve">), </w:t>
      </w:r>
    </w:p>
    <w:p w:rsidR="00C43153" w:rsidRPr="00B86C40" w:rsidRDefault="006B1F2F" w:rsidP="00A96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Strong"/>
          <w:rFonts w:ascii="Times New Roman" w:hAnsi="Times New Roman" w:cs="Times New Roman"/>
          <w:color w:val="C00000"/>
          <w:sz w:val="28"/>
          <w:szCs w:val="28"/>
          <w:lang w:val="lt-LT"/>
        </w:rPr>
      </w:pPr>
      <w:r w:rsidRPr="00B86C40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>kuri</w:t>
      </w:r>
      <w:r w:rsidR="00A109AC" w:rsidRPr="00B86C40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 xml:space="preserve"> patvirtintų </w:t>
      </w:r>
      <w:r w:rsidR="00A9612A" w:rsidRPr="00B86C40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>prekės techninių rodiklių</w:t>
      </w:r>
      <w:r w:rsidR="00A109AC" w:rsidRPr="00B86C40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 xml:space="preserve"> atitiktį </w:t>
      </w:r>
      <w:r w:rsidR="00A9612A" w:rsidRPr="00B86C40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>nustatytiems reikalavimams</w:t>
      </w:r>
      <w:r w:rsidR="00A109AC" w:rsidRPr="00B86C40">
        <w:rPr>
          <w:rStyle w:val="Strong"/>
          <w:rFonts w:ascii="Times New Roman" w:hAnsi="Times New Roman" w:cs="Times New Roman"/>
          <w:color w:val="C00000"/>
          <w:sz w:val="28"/>
          <w:szCs w:val="28"/>
          <w:lang w:val="lt-LT"/>
        </w:rPr>
        <w:t xml:space="preserve">. </w:t>
      </w:r>
    </w:p>
    <w:p w:rsidR="00A9612A" w:rsidRPr="00B86C40" w:rsidRDefault="00A109AC" w:rsidP="00A96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Strong"/>
          <w:rFonts w:ascii="Times New Roman" w:hAnsi="Times New Roman" w:cs="Times New Roman"/>
          <w:sz w:val="28"/>
          <w:szCs w:val="28"/>
          <w:lang w:val="lt-LT"/>
        </w:rPr>
      </w:pPr>
      <w:r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 xml:space="preserve">Tiekėjas </w:t>
      </w:r>
      <w:r w:rsidRPr="00B86C40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>negali naudoti sąvokos „Atitinka“</w:t>
      </w:r>
      <w:r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>, o privalo aiškiai apibūdinti siūlomų prekių charakteristikas, priešingu atveju toks pasiūlymas bus pripažintas neatitinkančiu pirkimo dokumentų reikalavimų ir bus atmestas.</w:t>
      </w:r>
    </w:p>
    <w:p w:rsidR="00A109AC" w:rsidRPr="00B86C40" w:rsidRDefault="00A109AC" w:rsidP="00A96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Strong"/>
          <w:rFonts w:ascii="Times New Roman" w:hAnsi="Times New Roman" w:cs="Times New Roman"/>
          <w:sz w:val="28"/>
          <w:szCs w:val="28"/>
          <w:lang w:val="lt-LT"/>
        </w:rPr>
      </w:pPr>
    </w:p>
    <w:tbl>
      <w:tblPr>
        <w:tblStyle w:val="TableGrid"/>
        <w:tblW w:w="13750" w:type="dxa"/>
        <w:tblInd w:w="-5" w:type="dxa"/>
        <w:tblLook w:val="04A0" w:firstRow="1" w:lastRow="0" w:firstColumn="1" w:lastColumn="0" w:noHBand="0" w:noVBand="1"/>
      </w:tblPr>
      <w:tblGrid>
        <w:gridCol w:w="830"/>
        <w:gridCol w:w="1932"/>
        <w:gridCol w:w="4814"/>
        <w:gridCol w:w="3358"/>
        <w:gridCol w:w="2816"/>
      </w:tblGrid>
      <w:tr w:rsidR="00C54198" w:rsidRPr="00EB019C" w:rsidTr="00FC3F85">
        <w:trPr>
          <w:trHeight w:val="517"/>
        </w:trPr>
        <w:tc>
          <w:tcPr>
            <w:tcW w:w="7576" w:type="dxa"/>
            <w:gridSpan w:val="3"/>
            <w:shd w:val="clear" w:color="auto" w:fill="DEEAF6" w:themeFill="accent1" w:themeFillTint="33"/>
            <w:vAlign w:val="center"/>
          </w:tcPr>
          <w:p w:rsidR="00942D2D" w:rsidRDefault="00942D2D" w:rsidP="00EB019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C54198" w:rsidRDefault="000A0A3F" w:rsidP="00EB019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A0A3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Elektroninių apsaugos sistemų </w:t>
            </w:r>
            <w:r w:rsidR="00FC3F8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akumuliatorių</w:t>
            </w:r>
            <w:r w:rsidRPr="000A0A3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  <w:r w:rsidR="00C541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(</w:t>
            </w:r>
            <w:r w:rsidR="00C54198" w:rsidRPr="00EB019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toliau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Prekės</w:t>
            </w:r>
            <w:r w:rsidR="00C54198" w:rsidRPr="00EB019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)</w:t>
            </w:r>
            <w:r w:rsidR="00C541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techninių rodiklių</w:t>
            </w:r>
            <w:r w:rsidR="00C54198" w:rsidRPr="00C541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reikalavimai:</w:t>
            </w:r>
          </w:p>
          <w:p w:rsidR="00981174" w:rsidRPr="00EB019C" w:rsidRDefault="00981174" w:rsidP="00EB019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6174" w:type="dxa"/>
            <w:gridSpan w:val="2"/>
            <w:shd w:val="clear" w:color="auto" w:fill="E7E6E6" w:themeFill="background2"/>
            <w:vAlign w:val="center"/>
          </w:tcPr>
          <w:p w:rsidR="00C54198" w:rsidRPr="00A109AC" w:rsidRDefault="00F64482" w:rsidP="00F6448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Tiekėjo s</w:t>
            </w:r>
            <w:r w:rsidR="00C54198" w:rsidRPr="00A109A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iūlomos prekės techniniai rodikliai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ir informacija apie prekės atitiktį nustatytiems reikalavimams</w:t>
            </w:r>
          </w:p>
        </w:tc>
      </w:tr>
      <w:tr w:rsidR="00A109AC" w:rsidRPr="00EB019C" w:rsidTr="00FC3F85">
        <w:trPr>
          <w:trHeight w:val="228"/>
        </w:trPr>
        <w:tc>
          <w:tcPr>
            <w:tcW w:w="830" w:type="dxa"/>
            <w:shd w:val="clear" w:color="auto" w:fill="FFFFFF" w:themeFill="background1"/>
            <w:vAlign w:val="center"/>
          </w:tcPr>
          <w:p w:rsidR="00A109AC" w:rsidRPr="00F64482" w:rsidRDefault="00A109AC" w:rsidP="00F2763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6448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</w:t>
            </w:r>
          </w:p>
        </w:tc>
        <w:tc>
          <w:tcPr>
            <w:tcW w:w="1932" w:type="dxa"/>
            <w:shd w:val="clear" w:color="auto" w:fill="FFFFFF" w:themeFill="background1"/>
            <w:vAlign w:val="center"/>
          </w:tcPr>
          <w:p w:rsidR="00A109AC" w:rsidRPr="00F64482" w:rsidRDefault="00A109AC" w:rsidP="00F2763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6448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</w:p>
        </w:tc>
        <w:tc>
          <w:tcPr>
            <w:tcW w:w="4814" w:type="dxa"/>
            <w:shd w:val="clear" w:color="auto" w:fill="FFFFFF" w:themeFill="background1"/>
            <w:vAlign w:val="center"/>
          </w:tcPr>
          <w:p w:rsidR="00A109AC" w:rsidRPr="00F64482" w:rsidRDefault="00A109AC" w:rsidP="00F2763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6448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</w:t>
            </w:r>
          </w:p>
        </w:tc>
        <w:tc>
          <w:tcPr>
            <w:tcW w:w="3358" w:type="dxa"/>
            <w:shd w:val="clear" w:color="auto" w:fill="FFFFFF" w:themeFill="background1"/>
            <w:vAlign w:val="center"/>
          </w:tcPr>
          <w:p w:rsidR="00A109AC" w:rsidRPr="00942D2D" w:rsidRDefault="00A109AC" w:rsidP="00F2763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0"/>
              </w:rPr>
            </w:pPr>
            <w:r w:rsidRPr="00942D2D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0"/>
              </w:rPr>
              <w:t>4</w:t>
            </w:r>
          </w:p>
        </w:tc>
        <w:tc>
          <w:tcPr>
            <w:tcW w:w="2816" w:type="dxa"/>
            <w:shd w:val="clear" w:color="auto" w:fill="FFFFFF" w:themeFill="background1"/>
            <w:vAlign w:val="center"/>
          </w:tcPr>
          <w:p w:rsidR="00A109AC" w:rsidRPr="00942D2D" w:rsidRDefault="00A109AC" w:rsidP="00F2763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0"/>
              </w:rPr>
            </w:pPr>
            <w:r w:rsidRPr="00942D2D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0"/>
              </w:rPr>
              <w:t>5</w:t>
            </w:r>
          </w:p>
        </w:tc>
      </w:tr>
      <w:tr w:rsidR="00EB019C" w:rsidRPr="00EB019C" w:rsidTr="00FC3F85">
        <w:trPr>
          <w:trHeight w:val="1049"/>
        </w:trPr>
        <w:tc>
          <w:tcPr>
            <w:tcW w:w="830" w:type="dxa"/>
            <w:shd w:val="clear" w:color="auto" w:fill="DEEAF6" w:themeFill="accent1" w:themeFillTint="33"/>
            <w:vAlign w:val="center"/>
          </w:tcPr>
          <w:p w:rsidR="00EB019C" w:rsidRPr="00EB019C" w:rsidRDefault="00EB019C" w:rsidP="00EB01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B019C">
              <w:rPr>
                <w:rFonts w:ascii="Times New Roman" w:eastAsia="Times New Roman" w:hAnsi="Times New Roman" w:cs="Times New Roman"/>
                <w:sz w:val="24"/>
                <w:szCs w:val="20"/>
              </w:rPr>
              <w:t>Eil. Nr.</w:t>
            </w:r>
          </w:p>
        </w:tc>
        <w:tc>
          <w:tcPr>
            <w:tcW w:w="1932" w:type="dxa"/>
            <w:shd w:val="clear" w:color="auto" w:fill="DEEAF6" w:themeFill="accent1" w:themeFillTint="33"/>
            <w:vAlign w:val="center"/>
          </w:tcPr>
          <w:p w:rsidR="00A109AC" w:rsidRPr="00FA63C6" w:rsidRDefault="00465A75" w:rsidP="00A109A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Prekės </w:t>
            </w:r>
            <w:r w:rsidR="00A109AC" w:rsidRPr="00FA63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P</w:t>
            </w:r>
            <w:r w:rsidR="00EB019C" w:rsidRPr="00EB019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avadinimas </w:t>
            </w:r>
          </w:p>
          <w:p w:rsidR="00EB019C" w:rsidRPr="00EB019C" w:rsidRDefault="00EB019C" w:rsidP="00A109A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814" w:type="dxa"/>
            <w:shd w:val="clear" w:color="auto" w:fill="DEEAF6" w:themeFill="accent1" w:themeFillTint="33"/>
            <w:vAlign w:val="center"/>
          </w:tcPr>
          <w:p w:rsidR="00EB019C" w:rsidRPr="00EB019C" w:rsidRDefault="00A109AC" w:rsidP="00A109A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A63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R</w:t>
            </w:r>
            <w:r w:rsidR="00EB019C" w:rsidRPr="00EB019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eikalaujama parametro (</w:t>
            </w:r>
            <w:r w:rsidRPr="00FA63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1 </w:t>
            </w:r>
            <w:r w:rsidR="00EB019C" w:rsidRPr="00EB019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vnt.)</w:t>
            </w:r>
            <w:r w:rsidRPr="00FA63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/</w:t>
            </w:r>
            <w:r w:rsidR="00EB019C" w:rsidRPr="00EB019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funkcijos reikšmė, išpildymas ar savybė</w:t>
            </w:r>
          </w:p>
        </w:tc>
        <w:tc>
          <w:tcPr>
            <w:tcW w:w="3358" w:type="dxa"/>
            <w:shd w:val="clear" w:color="auto" w:fill="E7E6E6" w:themeFill="background2"/>
            <w:vAlign w:val="center"/>
          </w:tcPr>
          <w:p w:rsidR="00843700" w:rsidRPr="001F4D30" w:rsidRDefault="00A109AC" w:rsidP="00A109A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0"/>
                <w:u w:val="single"/>
              </w:rPr>
            </w:pPr>
            <w:r w:rsidRPr="001F4D30">
              <w:rPr>
                <w:rFonts w:ascii="Times New Roman" w:eastAsia="Times New Roman" w:hAnsi="Times New Roman" w:cs="Times New Roman"/>
                <w:color w:val="C00000"/>
                <w:sz w:val="24"/>
                <w:szCs w:val="20"/>
                <w:u w:val="single"/>
              </w:rPr>
              <w:t xml:space="preserve">Siūloma prekė </w:t>
            </w:r>
          </w:p>
          <w:p w:rsidR="00843700" w:rsidRPr="001F4D30" w:rsidRDefault="00A109AC" w:rsidP="00A109AC">
            <w:pPr>
              <w:contextualSpacing/>
              <w:jc w:val="center"/>
              <w:rPr>
                <w:rStyle w:val="Strong"/>
                <w:rFonts w:ascii="Times New Roman" w:hAnsi="Times New Roman" w:cs="Times New Roman"/>
                <w:b w:val="0"/>
                <w:color w:val="C00000"/>
                <w:sz w:val="24"/>
                <w:szCs w:val="24"/>
                <w:u w:val="single"/>
              </w:rPr>
            </w:pPr>
            <w:r w:rsidRPr="001F4D30">
              <w:rPr>
                <w:rFonts w:ascii="Times New Roman" w:eastAsia="Times New Roman" w:hAnsi="Times New Roman" w:cs="Times New Roman"/>
                <w:color w:val="C00000"/>
                <w:sz w:val="24"/>
                <w:szCs w:val="20"/>
                <w:u w:val="single"/>
              </w:rPr>
              <w:t>atitinka</w:t>
            </w:r>
            <w:r w:rsidR="00F64482" w:rsidRPr="001F4D30">
              <w:rPr>
                <w:rFonts w:ascii="Times New Roman" w:eastAsia="Times New Roman" w:hAnsi="Times New Roman" w:cs="Times New Roman"/>
                <w:color w:val="C00000"/>
                <w:sz w:val="24"/>
                <w:szCs w:val="20"/>
                <w:u w:val="single"/>
              </w:rPr>
              <w:t xml:space="preserve"> </w:t>
            </w:r>
            <w:r w:rsidR="009F065E" w:rsidRPr="001F4D30">
              <w:rPr>
                <w:rStyle w:val="Strong"/>
                <w:rFonts w:ascii="Times New Roman" w:hAnsi="Times New Roman" w:cs="Times New Roman"/>
                <w:b w:val="0"/>
                <w:color w:val="C00000"/>
                <w:sz w:val="24"/>
                <w:szCs w:val="24"/>
                <w:u w:val="single"/>
              </w:rPr>
              <w:t xml:space="preserve">visus </w:t>
            </w:r>
          </w:p>
          <w:p w:rsidR="00A109AC" w:rsidRPr="001F4D30" w:rsidRDefault="00F64482" w:rsidP="00A109A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0"/>
                <w:u w:val="single"/>
              </w:rPr>
            </w:pPr>
            <w:r w:rsidRPr="001F4D30">
              <w:rPr>
                <w:rStyle w:val="Strong"/>
                <w:rFonts w:ascii="Times New Roman" w:hAnsi="Times New Roman" w:cs="Times New Roman"/>
                <w:b w:val="0"/>
                <w:color w:val="C00000"/>
                <w:sz w:val="24"/>
                <w:szCs w:val="24"/>
                <w:u w:val="single"/>
              </w:rPr>
              <w:t>Pirkimo sąlygų 1 priede</w:t>
            </w:r>
            <w:r w:rsidR="00A109AC" w:rsidRPr="001F4D30">
              <w:rPr>
                <w:rFonts w:ascii="Times New Roman" w:eastAsia="Times New Roman" w:hAnsi="Times New Roman" w:cs="Times New Roman"/>
                <w:color w:val="C00000"/>
                <w:sz w:val="24"/>
                <w:szCs w:val="20"/>
                <w:u w:val="single"/>
              </w:rPr>
              <w:t xml:space="preserve"> nustatytus techninius reikalavimus ir jos savybės tokios: </w:t>
            </w:r>
          </w:p>
          <w:p w:rsidR="00EB019C" w:rsidRDefault="00A109AC" w:rsidP="001F4D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0"/>
                <w:u w:val="single"/>
              </w:rPr>
            </w:pPr>
            <w:r w:rsidRPr="001F4D3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0"/>
                <w:u w:val="single"/>
              </w:rPr>
              <w:t>Tiekėjas turi įrašyti</w:t>
            </w:r>
            <w:r w:rsidRPr="001F4D30">
              <w:rPr>
                <w:rFonts w:ascii="Times New Roman" w:eastAsia="Times New Roman" w:hAnsi="Times New Roman" w:cs="Times New Roman"/>
                <w:color w:val="C00000"/>
                <w:sz w:val="24"/>
                <w:szCs w:val="20"/>
                <w:u w:val="single"/>
              </w:rPr>
              <w:t xml:space="preserve"> </w:t>
            </w:r>
            <w:r w:rsidRPr="001F4D3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0"/>
                <w:u w:val="single"/>
              </w:rPr>
              <w:t>konkrečias siūlomų prekių rodiklių reikšmes</w:t>
            </w:r>
          </w:p>
          <w:p w:rsidR="00465A75" w:rsidRPr="00EB019C" w:rsidRDefault="00465A75" w:rsidP="001F4D3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16" w:type="dxa"/>
            <w:shd w:val="clear" w:color="auto" w:fill="E7E6E6" w:themeFill="background2"/>
          </w:tcPr>
          <w:p w:rsidR="00EB019C" w:rsidRPr="00F27634" w:rsidRDefault="00465A75" w:rsidP="00465A7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Prekės </w:t>
            </w:r>
            <w:r w:rsidR="00C43153">
              <w:rPr>
                <w:rFonts w:ascii="Times New Roman" w:eastAsia="Times New Roman" w:hAnsi="Times New Roman" w:cs="Times New Roman"/>
                <w:sz w:val="24"/>
                <w:szCs w:val="20"/>
              </w:rPr>
              <w:t>modelis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, n</w:t>
            </w:r>
            <w:r w:rsidR="00F27634" w:rsidRPr="00F27634">
              <w:rPr>
                <w:rFonts w:ascii="Times New Roman" w:eastAsia="Times New Roman" w:hAnsi="Times New Roman" w:cs="Times New Roman"/>
                <w:sz w:val="24"/>
                <w:szCs w:val="20"/>
              </w:rPr>
              <w:t>uoroda į gamintojo prekės specifikaciją/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dokumentą, puslapį </w:t>
            </w:r>
            <w:r w:rsidR="00C54198">
              <w:rPr>
                <w:rFonts w:ascii="Times New Roman" w:eastAsia="Times New Roman" w:hAnsi="Times New Roman" w:cs="Times New Roman"/>
                <w:sz w:val="24"/>
                <w:szCs w:val="20"/>
              </w:rPr>
              <w:t>ar kt.</w:t>
            </w:r>
          </w:p>
        </w:tc>
      </w:tr>
      <w:tr w:rsidR="000A4BCE" w:rsidRPr="00EB019C" w:rsidTr="00FC3F85">
        <w:trPr>
          <w:trHeight w:val="409"/>
        </w:trPr>
        <w:tc>
          <w:tcPr>
            <w:tcW w:w="830" w:type="dxa"/>
            <w:vMerge w:val="restart"/>
            <w:shd w:val="clear" w:color="auto" w:fill="DEEAF6" w:themeFill="accent1" w:themeFillTint="33"/>
            <w:vAlign w:val="center"/>
          </w:tcPr>
          <w:p w:rsidR="000A4BCE" w:rsidRPr="00EB019C" w:rsidRDefault="000A4BCE" w:rsidP="00EB019C">
            <w:pPr>
              <w:numPr>
                <w:ilvl w:val="0"/>
                <w:numId w:val="2"/>
              </w:numPr>
              <w:ind w:left="313" w:hanging="284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932" w:type="dxa"/>
            <w:vMerge w:val="restart"/>
            <w:shd w:val="clear" w:color="auto" w:fill="DEEAF6" w:themeFill="accent1" w:themeFillTint="33"/>
            <w:vAlign w:val="center"/>
          </w:tcPr>
          <w:p w:rsidR="00FC3F85" w:rsidRPr="00FC3F85" w:rsidRDefault="00FC3F85" w:rsidP="00FC3F85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C3F8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Akumuliatorius</w:t>
            </w:r>
          </w:p>
          <w:p w:rsidR="000A4BCE" w:rsidRPr="00045F82" w:rsidRDefault="000A4BCE" w:rsidP="00EB019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814" w:type="dxa"/>
            <w:shd w:val="clear" w:color="auto" w:fill="DEEAF6" w:themeFill="accent1" w:themeFillTint="33"/>
            <w:vAlign w:val="center"/>
          </w:tcPr>
          <w:p w:rsidR="000A4BCE" w:rsidRPr="00EB019C" w:rsidRDefault="00FC3F85" w:rsidP="00465A7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C3F85">
              <w:rPr>
                <w:rFonts w:ascii="Times New Roman" w:eastAsia="Times New Roman" w:hAnsi="Times New Roman" w:cs="Times New Roman"/>
                <w:sz w:val="24"/>
                <w:szCs w:val="20"/>
              </w:rPr>
              <w:t>Akumuliato</w:t>
            </w:r>
            <w:r w:rsidR="00E4691B">
              <w:rPr>
                <w:rFonts w:ascii="Times New Roman" w:eastAsia="Times New Roman" w:hAnsi="Times New Roman" w:cs="Times New Roman"/>
                <w:sz w:val="24"/>
                <w:szCs w:val="20"/>
              </w:rPr>
              <w:t>rius skirtas apsaugos sistemoms</w:t>
            </w:r>
          </w:p>
        </w:tc>
        <w:tc>
          <w:tcPr>
            <w:tcW w:w="3358" w:type="dxa"/>
            <w:vAlign w:val="center"/>
          </w:tcPr>
          <w:p w:rsidR="000A4BCE" w:rsidRPr="00EB019C" w:rsidRDefault="00473FCE" w:rsidP="00EB01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...</w:t>
            </w:r>
          </w:p>
        </w:tc>
        <w:tc>
          <w:tcPr>
            <w:tcW w:w="2816" w:type="dxa"/>
          </w:tcPr>
          <w:p w:rsidR="000A4BCE" w:rsidRPr="00EB019C" w:rsidRDefault="000A4BCE" w:rsidP="00EB01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0A4BCE" w:rsidRPr="00EB019C" w:rsidTr="00FC3F85">
        <w:trPr>
          <w:trHeight w:val="414"/>
        </w:trPr>
        <w:tc>
          <w:tcPr>
            <w:tcW w:w="830" w:type="dxa"/>
            <w:vMerge/>
            <w:shd w:val="clear" w:color="auto" w:fill="DEEAF6" w:themeFill="accent1" w:themeFillTint="33"/>
            <w:vAlign w:val="center"/>
          </w:tcPr>
          <w:p w:rsidR="000A4BCE" w:rsidRPr="00EB019C" w:rsidRDefault="000A4BCE" w:rsidP="00465A75">
            <w:pPr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932" w:type="dxa"/>
            <w:vMerge/>
            <w:shd w:val="clear" w:color="auto" w:fill="DEEAF6" w:themeFill="accent1" w:themeFillTint="33"/>
            <w:vAlign w:val="center"/>
          </w:tcPr>
          <w:p w:rsidR="000A4BCE" w:rsidRPr="00EB019C" w:rsidRDefault="000A4BCE" w:rsidP="00EB019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814" w:type="dxa"/>
            <w:shd w:val="clear" w:color="auto" w:fill="DEEAF6" w:themeFill="accent1" w:themeFillTint="33"/>
            <w:vAlign w:val="center"/>
          </w:tcPr>
          <w:p w:rsidR="000A4BCE" w:rsidRPr="00EB019C" w:rsidRDefault="00FC3F85" w:rsidP="00465A7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C3F85">
              <w:rPr>
                <w:rFonts w:ascii="Times New Roman" w:eastAsia="Times New Roman" w:hAnsi="Times New Roman" w:cs="Times New Roman"/>
                <w:sz w:val="24"/>
                <w:szCs w:val="20"/>
              </w:rPr>
              <w:t>Nominali įtampa – 12 VDC</w:t>
            </w:r>
          </w:p>
        </w:tc>
        <w:tc>
          <w:tcPr>
            <w:tcW w:w="3358" w:type="dxa"/>
            <w:vAlign w:val="center"/>
          </w:tcPr>
          <w:p w:rsidR="000A4BCE" w:rsidRPr="00EB019C" w:rsidRDefault="00473FCE" w:rsidP="00EB01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...</w:t>
            </w:r>
          </w:p>
        </w:tc>
        <w:tc>
          <w:tcPr>
            <w:tcW w:w="2816" w:type="dxa"/>
          </w:tcPr>
          <w:p w:rsidR="000A4BCE" w:rsidRPr="00EB019C" w:rsidRDefault="000A4BCE" w:rsidP="00EB01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0A4BCE" w:rsidRPr="00EB019C" w:rsidTr="00FC3F85">
        <w:tc>
          <w:tcPr>
            <w:tcW w:w="830" w:type="dxa"/>
            <w:vMerge/>
            <w:shd w:val="clear" w:color="auto" w:fill="DEEAF6" w:themeFill="accent1" w:themeFillTint="33"/>
            <w:vAlign w:val="center"/>
          </w:tcPr>
          <w:p w:rsidR="000A4BCE" w:rsidRPr="00EB019C" w:rsidRDefault="000A4BCE" w:rsidP="00465A75">
            <w:pPr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932" w:type="dxa"/>
            <w:vMerge/>
            <w:shd w:val="clear" w:color="auto" w:fill="DEEAF6" w:themeFill="accent1" w:themeFillTint="33"/>
            <w:vAlign w:val="center"/>
          </w:tcPr>
          <w:p w:rsidR="000A4BCE" w:rsidRPr="00EB019C" w:rsidRDefault="000A4BCE" w:rsidP="00EB019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814" w:type="dxa"/>
            <w:shd w:val="clear" w:color="auto" w:fill="DEEAF6" w:themeFill="accent1" w:themeFillTint="33"/>
            <w:vAlign w:val="center"/>
          </w:tcPr>
          <w:p w:rsidR="000A4BCE" w:rsidRPr="00465A75" w:rsidRDefault="00FC3F85" w:rsidP="00465A7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C3F85">
              <w:rPr>
                <w:rFonts w:ascii="Times New Roman" w:eastAsia="Times New Roman" w:hAnsi="Times New Roman" w:cs="Times New Roman"/>
                <w:sz w:val="24"/>
                <w:szCs w:val="20"/>
              </w:rPr>
              <w:t>Talpa – ne mažesnė kaip 17 Ah.</w:t>
            </w:r>
          </w:p>
        </w:tc>
        <w:tc>
          <w:tcPr>
            <w:tcW w:w="3358" w:type="dxa"/>
            <w:vAlign w:val="center"/>
          </w:tcPr>
          <w:p w:rsidR="000A4BCE" w:rsidRPr="00EB019C" w:rsidRDefault="00473FCE" w:rsidP="00EB01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...</w:t>
            </w:r>
          </w:p>
        </w:tc>
        <w:tc>
          <w:tcPr>
            <w:tcW w:w="2816" w:type="dxa"/>
          </w:tcPr>
          <w:p w:rsidR="000A4BCE" w:rsidRPr="00EB019C" w:rsidRDefault="000A4BCE" w:rsidP="00EB01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0A4BCE" w:rsidRPr="00EB019C" w:rsidTr="00FC3F85">
        <w:trPr>
          <w:trHeight w:val="695"/>
        </w:trPr>
        <w:tc>
          <w:tcPr>
            <w:tcW w:w="830" w:type="dxa"/>
            <w:vMerge/>
            <w:shd w:val="clear" w:color="auto" w:fill="DEEAF6" w:themeFill="accent1" w:themeFillTint="33"/>
            <w:vAlign w:val="center"/>
          </w:tcPr>
          <w:p w:rsidR="000A4BCE" w:rsidRPr="00EB019C" w:rsidRDefault="000A4BCE" w:rsidP="00465A75">
            <w:pPr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932" w:type="dxa"/>
            <w:vMerge/>
            <w:shd w:val="clear" w:color="auto" w:fill="DEEAF6" w:themeFill="accent1" w:themeFillTint="33"/>
            <w:vAlign w:val="center"/>
          </w:tcPr>
          <w:p w:rsidR="000A4BCE" w:rsidRPr="00EB019C" w:rsidRDefault="000A4BCE" w:rsidP="00EB019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DEEAF6" w:themeFill="accent1" w:themeFillTint="33"/>
            <w:vAlign w:val="center"/>
          </w:tcPr>
          <w:p w:rsidR="000A4BCE" w:rsidRPr="00FC3F85" w:rsidRDefault="00FC3F85" w:rsidP="00FC3F8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C3F85">
              <w:rPr>
                <w:rFonts w:ascii="Times New Roman" w:eastAsia="Times New Roman" w:hAnsi="Times New Roman" w:cs="Times New Roman"/>
                <w:sz w:val="24"/>
                <w:szCs w:val="20"/>
              </w:rPr>
              <w:t>Maksimali įkrovimo įtampa esant +20 °C: ne mažesnė kaip 13,2VDC</w:t>
            </w:r>
          </w:p>
        </w:tc>
        <w:tc>
          <w:tcPr>
            <w:tcW w:w="3358" w:type="dxa"/>
            <w:vAlign w:val="center"/>
          </w:tcPr>
          <w:p w:rsidR="00473FCE" w:rsidRPr="00EB019C" w:rsidRDefault="00FC3F85" w:rsidP="00EB01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...</w:t>
            </w:r>
          </w:p>
        </w:tc>
        <w:tc>
          <w:tcPr>
            <w:tcW w:w="2816" w:type="dxa"/>
          </w:tcPr>
          <w:p w:rsidR="000A4BCE" w:rsidRPr="00EB019C" w:rsidRDefault="000A4BCE" w:rsidP="00EB01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0A4BCE" w:rsidRPr="00EB019C" w:rsidTr="00FC3F85">
        <w:trPr>
          <w:trHeight w:val="421"/>
        </w:trPr>
        <w:tc>
          <w:tcPr>
            <w:tcW w:w="830" w:type="dxa"/>
            <w:vMerge/>
            <w:shd w:val="clear" w:color="auto" w:fill="DEEAF6" w:themeFill="accent1" w:themeFillTint="33"/>
            <w:vAlign w:val="center"/>
          </w:tcPr>
          <w:p w:rsidR="000A4BCE" w:rsidRPr="00EB019C" w:rsidRDefault="000A4BCE" w:rsidP="00EB019C">
            <w:pPr>
              <w:numPr>
                <w:ilvl w:val="0"/>
                <w:numId w:val="2"/>
              </w:numPr>
              <w:ind w:left="313" w:hanging="284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932" w:type="dxa"/>
            <w:vMerge/>
            <w:shd w:val="clear" w:color="auto" w:fill="DEEAF6" w:themeFill="accent1" w:themeFillTint="33"/>
            <w:vAlign w:val="center"/>
          </w:tcPr>
          <w:p w:rsidR="000A4BCE" w:rsidRPr="00EB019C" w:rsidRDefault="000A4BCE" w:rsidP="00EB019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DEEAF6" w:themeFill="accent1" w:themeFillTint="33"/>
            <w:vAlign w:val="center"/>
          </w:tcPr>
          <w:p w:rsidR="000A4BCE" w:rsidRPr="00EB019C" w:rsidRDefault="00FC3F85" w:rsidP="00FC3F85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C3F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lt-LT" w:bidi="hi-IN"/>
              </w:rPr>
              <w:t>Maksimali įkrovimo srovė ≥5 A;</w:t>
            </w:r>
          </w:p>
        </w:tc>
        <w:tc>
          <w:tcPr>
            <w:tcW w:w="3358" w:type="dxa"/>
            <w:vAlign w:val="center"/>
          </w:tcPr>
          <w:p w:rsidR="000A4BCE" w:rsidRPr="00EB019C" w:rsidRDefault="00FC3F85" w:rsidP="00473FC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...</w:t>
            </w:r>
          </w:p>
        </w:tc>
        <w:tc>
          <w:tcPr>
            <w:tcW w:w="2816" w:type="dxa"/>
          </w:tcPr>
          <w:p w:rsidR="000A4BCE" w:rsidRPr="00EB019C" w:rsidRDefault="000A4BCE" w:rsidP="00EB01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72AD" w:rsidRPr="00EB019C" w:rsidTr="00FC3F85">
        <w:trPr>
          <w:trHeight w:val="421"/>
        </w:trPr>
        <w:tc>
          <w:tcPr>
            <w:tcW w:w="830" w:type="dxa"/>
            <w:vMerge/>
            <w:shd w:val="clear" w:color="auto" w:fill="DEEAF6" w:themeFill="accent1" w:themeFillTint="33"/>
            <w:vAlign w:val="center"/>
          </w:tcPr>
          <w:p w:rsidR="00BF72AD" w:rsidRPr="00EB019C" w:rsidRDefault="00BF72AD" w:rsidP="00BF72AD">
            <w:pPr>
              <w:numPr>
                <w:ilvl w:val="0"/>
                <w:numId w:val="2"/>
              </w:numPr>
              <w:ind w:left="313" w:hanging="284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932" w:type="dxa"/>
            <w:vMerge/>
            <w:shd w:val="clear" w:color="auto" w:fill="DEEAF6" w:themeFill="accent1" w:themeFillTint="33"/>
            <w:vAlign w:val="center"/>
          </w:tcPr>
          <w:p w:rsidR="00BF72AD" w:rsidRPr="00EB019C" w:rsidRDefault="00BF72AD" w:rsidP="00BF72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DEEAF6" w:themeFill="accent1" w:themeFillTint="33"/>
            <w:vAlign w:val="center"/>
          </w:tcPr>
          <w:p w:rsidR="00BF72AD" w:rsidRPr="00045F82" w:rsidRDefault="00BF72AD" w:rsidP="00BF72AD">
            <w:pPr>
              <w:widowControl w:val="0"/>
              <w:suppressAutoHyphens/>
              <w:autoSpaceDN w:val="0"/>
              <w:spacing w:line="257" w:lineRule="auto"/>
              <w:ind w:left="34"/>
              <w:rPr>
                <w:rFonts w:ascii="Liberation Serif" w:eastAsia="SimSun" w:hAnsi="Liberation Serif" w:cs="Mangal" w:hint="eastAsia"/>
                <w:kern w:val="3"/>
                <w:sz w:val="24"/>
                <w:szCs w:val="21"/>
                <w:lang w:eastAsia="lt-LT" w:bidi="hi-IN"/>
              </w:rPr>
            </w:pPr>
            <w:r w:rsidRPr="00FC3F85">
              <w:rPr>
                <w:rFonts w:ascii="Liberation Serif" w:eastAsia="SimSun" w:hAnsi="Liberation Serif" w:cs="Mangal"/>
                <w:kern w:val="3"/>
                <w:sz w:val="24"/>
                <w:szCs w:val="21"/>
                <w:lang w:eastAsia="lt-LT" w:bidi="hi-IN"/>
              </w:rPr>
              <w:t>Temperatūrų diapazonas ne mažesnis nei: įkrovimo nuo 0 °C iki +40 °C, iškrovimo nuo -15 °C iki +50 °C</w:t>
            </w:r>
          </w:p>
        </w:tc>
        <w:tc>
          <w:tcPr>
            <w:tcW w:w="3358" w:type="dxa"/>
            <w:vAlign w:val="center"/>
          </w:tcPr>
          <w:p w:rsidR="00BF72AD" w:rsidRDefault="00BF72AD" w:rsidP="00BF72A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...</w:t>
            </w:r>
          </w:p>
        </w:tc>
        <w:tc>
          <w:tcPr>
            <w:tcW w:w="2816" w:type="dxa"/>
          </w:tcPr>
          <w:p w:rsidR="00BF72AD" w:rsidRPr="00EB019C" w:rsidRDefault="00BF72AD" w:rsidP="00BF72A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72AD" w:rsidRPr="00EB019C" w:rsidTr="00FC3F85">
        <w:trPr>
          <w:trHeight w:val="421"/>
        </w:trPr>
        <w:tc>
          <w:tcPr>
            <w:tcW w:w="830" w:type="dxa"/>
            <w:vMerge/>
            <w:shd w:val="clear" w:color="auto" w:fill="DEEAF6" w:themeFill="accent1" w:themeFillTint="33"/>
            <w:vAlign w:val="center"/>
          </w:tcPr>
          <w:p w:rsidR="00BF72AD" w:rsidRPr="00EB019C" w:rsidRDefault="00BF72AD" w:rsidP="00BF72AD">
            <w:pPr>
              <w:numPr>
                <w:ilvl w:val="0"/>
                <w:numId w:val="2"/>
              </w:numPr>
              <w:ind w:left="313" w:hanging="284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932" w:type="dxa"/>
            <w:vMerge/>
            <w:shd w:val="clear" w:color="auto" w:fill="DEEAF6" w:themeFill="accent1" w:themeFillTint="33"/>
            <w:vAlign w:val="center"/>
          </w:tcPr>
          <w:p w:rsidR="00BF72AD" w:rsidRPr="00EB019C" w:rsidRDefault="00BF72AD" w:rsidP="00BF72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DEEAF6" w:themeFill="accent1" w:themeFillTint="33"/>
            <w:vAlign w:val="center"/>
          </w:tcPr>
          <w:p w:rsidR="00BF72AD" w:rsidRPr="00FC3F85" w:rsidRDefault="00BF72AD" w:rsidP="00BF72AD">
            <w:pPr>
              <w:contextualSpacing/>
              <w:jc w:val="both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lt-LT"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Sandari konstrukcija, neaptarnaujamas</w:t>
            </w:r>
          </w:p>
        </w:tc>
        <w:tc>
          <w:tcPr>
            <w:tcW w:w="3358" w:type="dxa"/>
            <w:vAlign w:val="center"/>
          </w:tcPr>
          <w:p w:rsidR="00BF72AD" w:rsidRDefault="00BF72AD" w:rsidP="00BF72A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...</w:t>
            </w:r>
          </w:p>
        </w:tc>
        <w:tc>
          <w:tcPr>
            <w:tcW w:w="2816" w:type="dxa"/>
          </w:tcPr>
          <w:p w:rsidR="00BF72AD" w:rsidRPr="00EB019C" w:rsidRDefault="00BF72AD" w:rsidP="00BF72A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72AD" w:rsidRPr="00EB019C" w:rsidTr="00FC3F85">
        <w:trPr>
          <w:trHeight w:val="317"/>
        </w:trPr>
        <w:tc>
          <w:tcPr>
            <w:tcW w:w="830" w:type="dxa"/>
            <w:vMerge/>
            <w:shd w:val="clear" w:color="auto" w:fill="DEEAF6" w:themeFill="accent1" w:themeFillTint="33"/>
            <w:vAlign w:val="center"/>
          </w:tcPr>
          <w:p w:rsidR="00BF72AD" w:rsidRPr="00EB019C" w:rsidRDefault="00BF72AD" w:rsidP="00BF72AD">
            <w:pPr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932" w:type="dxa"/>
            <w:vMerge/>
            <w:shd w:val="clear" w:color="auto" w:fill="DEEAF6" w:themeFill="accent1" w:themeFillTint="33"/>
            <w:vAlign w:val="center"/>
          </w:tcPr>
          <w:p w:rsidR="00BF72AD" w:rsidRPr="00EB019C" w:rsidRDefault="00BF72AD" w:rsidP="00BF72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DEEAF6" w:themeFill="accent1" w:themeFillTint="33"/>
            <w:vAlign w:val="center"/>
          </w:tcPr>
          <w:p w:rsidR="00BF72AD" w:rsidRPr="00045F82" w:rsidRDefault="00BF72AD" w:rsidP="00BF72AD">
            <w:pPr>
              <w:widowControl w:val="0"/>
              <w:suppressAutoHyphens/>
              <w:autoSpaceDN w:val="0"/>
              <w:spacing w:line="257" w:lineRule="auto"/>
              <w:ind w:left="34"/>
              <w:rPr>
                <w:rFonts w:ascii="Liberation Serif" w:eastAsia="SimSun" w:hAnsi="Liberation Serif" w:cs="Mangal" w:hint="eastAsia"/>
                <w:kern w:val="3"/>
                <w:sz w:val="24"/>
                <w:szCs w:val="21"/>
                <w:lang w:eastAsia="lt-LT" w:bidi="hi-IN"/>
              </w:rPr>
            </w:pPr>
            <w:r w:rsidRPr="009871F1">
              <w:rPr>
                <w:rFonts w:ascii="Times New Roman" w:eastAsia="Calibri" w:hAnsi="Times New Roman" w:cs="Times New Roman"/>
                <w:szCs w:val="24"/>
              </w:rPr>
              <w:t>Sertifikuotas pagal VdS reikalavimus</w:t>
            </w:r>
          </w:p>
        </w:tc>
        <w:tc>
          <w:tcPr>
            <w:tcW w:w="3358" w:type="dxa"/>
            <w:vAlign w:val="center"/>
          </w:tcPr>
          <w:p w:rsidR="00BF72AD" w:rsidRPr="00FC3F85" w:rsidRDefault="00BF72AD" w:rsidP="00BF72A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C3F85">
              <w:rPr>
                <w:rFonts w:ascii="Times New Roman" w:eastAsia="Times New Roman" w:hAnsi="Times New Roman" w:cs="Times New Roman"/>
                <w:sz w:val="24"/>
                <w:szCs w:val="20"/>
              </w:rPr>
              <w:t>...</w:t>
            </w:r>
          </w:p>
        </w:tc>
        <w:tc>
          <w:tcPr>
            <w:tcW w:w="2816" w:type="dxa"/>
          </w:tcPr>
          <w:p w:rsidR="00BF72AD" w:rsidRPr="00EB019C" w:rsidRDefault="00BF72AD" w:rsidP="00BF72A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72AD" w:rsidRPr="00EB019C" w:rsidTr="00957345">
        <w:trPr>
          <w:trHeight w:val="208"/>
        </w:trPr>
        <w:tc>
          <w:tcPr>
            <w:tcW w:w="13750" w:type="dxa"/>
            <w:gridSpan w:val="5"/>
            <w:shd w:val="clear" w:color="auto" w:fill="auto"/>
            <w:vAlign w:val="center"/>
          </w:tcPr>
          <w:p w:rsidR="00BF72AD" w:rsidRPr="001D2E90" w:rsidRDefault="00BF72AD" w:rsidP="00BF72A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72AD" w:rsidRPr="00EB019C" w:rsidTr="00546AE1">
        <w:trPr>
          <w:trHeight w:val="900"/>
        </w:trPr>
        <w:tc>
          <w:tcPr>
            <w:tcW w:w="13750" w:type="dxa"/>
            <w:gridSpan w:val="5"/>
            <w:shd w:val="clear" w:color="auto" w:fill="DEEAF6" w:themeFill="accent1" w:themeFillTint="33"/>
            <w:vAlign w:val="center"/>
          </w:tcPr>
          <w:p w:rsidR="00BF72AD" w:rsidRPr="00EB019C" w:rsidRDefault="00BF72AD" w:rsidP="00BF72A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D2E9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TIEKĖJAS, TEIKDAMAS </w:t>
            </w:r>
            <w:r w:rsidRPr="00BE169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PIRKIMUI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PASIŪLYMĄ</w:t>
            </w:r>
            <w:r w:rsidRPr="001D2E9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</w:t>
            </w:r>
            <w:r w:rsidRPr="00942D2D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0"/>
                <w:u w:val="single"/>
              </w:rPr>
              <w:t>PATVIRTINA</w:t>
            </w:r>
            <w:r w:rsidRPr="001D2E9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KAD VYKDANT PREKIŲ PIRKIMO-PARDAVIMO SUTARTĮ </w:t>
            </w:r>
            <w:r w:rsidRPr="00942D2D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>PREKĖS ATITIKS ŠIUOS REIKALAVIMUS</w:t>
            </w:r>
            <w:r w:rsidRPr="003577F5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</w:p>
        </w:tc>
      </w:tr>
      <w:tr w:rsidR="00BF72AD" w:rsidRPr="00EB019C" w:rsidTr="00E4691B">
        <w:trPr>
          <w:trHeight w:val="600"/>
        </w:trPr>
        <w:tc>
          <w:tcPr>
            <w:tcW w:w="830" w:type="dxa"/>
            <w:shd w:val="clear" w:color="auto" w:fill="DEEAF6" w:themeFill="accent1" w:themeFillTint="33"/>
            <w:vAlign w:val="center"/>
          </w:tcPr>
          <w:p w:rsidR="00BF72AD" w:rsidRPr="00EB019C" w:rsidRDefault="00BF72AD" w:rsidP="00BF72AD">
            <w:pPr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1.</w:t>
            </w:r>
          </w:p>
        </w:tc>
        <w:tc>
          <w:tcPr>
            <w:tcW w:w="12920" w:type="dxa"/>
            <w:gridSpan w:val="4"/>
            <w:shd w:val="clear" w:color="auto" w:fill="DEEAF6" w:themeFill="accent1" w:themeFillTint="33"/>
          </w:tcPr>
          <w:p w:rsidR="00BF72AD" w:rsidRPr="00465118" w:rsidRDefault="00BF72AD" w:rsidP="00BF72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Visa pateikiama įranga privalo būti nauja, negali būti atnaujinta, restauruota (angl. </w:t>
            </w:r>
            <w:r w:rsidRPr="0046511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refurbished</w:t>
            </w:r>
            <w:r w:rsidRPr="00465118">
              <w:rPr>
                <w:rFonts w:ascii="Times New Roman" w:eastAsia="Calibri" w:hAnsi="Times New Roman" w:cs="Times New Roman"/>
                <w:sz w:val="24"/>
                <w:szCs w:val="24"/>
              </w:rPr>
              <w:t>), pateikta nepažeistoje gamyklinėje pakuotėje.</w:t>
            </w:r>
          </w:p>
        </w:tc>
      </w:tr>
      <w:tr w:rsidR="00BF72AD" w:rsidRPr="00EB019C" w:rsidTr="00E4691B">
        <w:trPr>
          <w:trHeight w:val="458"/>
        </w:trPr>
        <w:tc>
          <w:tcPr>
            <w:tcW w:w="830" w:type="dxa"/>
            <w:shd w:val="clear" w:color="auto" w:fill="DEEAF6" w:themeFill="accent1" w:themeFillTint="33"/>
            <w:vAlign w:val="center"/>
          </w:tcPr>
          <w:p w:rsidR="00BF72AD" w:rsidRPr="00EB019C" w:rsidRDefault="00BF72AD" w:rsidP="00BF72AD">
            <w:pPr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2.</w:t>
            </w:r>
          </w:p>
        </w:tc>
        <w:tc>
          <w:tcPr>
            <w:tcW w:w="12920" w:type="dxa"/>
            <w:gridSpan w:val="4"/>
            <w:shd w:val="clear" w:color="auto" w:fill="DEEAF6" w:themeFill="accent1" w:themeFillTint="33"/>
            <w:vAlign w:val="center"/>
          </w:tcPr>
          <w:p w:rsidR="00BF72AD" w:rsidRPr="00EB019C" w:rsidRDefault="00BF72AD" w:rsidP="00BF72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D2E90">
              <w:rPr>
                <w:rFonts w:ascii="Times New Roman" w:eastAsia="Times New Roman" w:hAnsi="Times New Roman" w:cs="Times New Roman"/>
                <w:sz w:val="24"/>
                <w:szCs w:val="20"/>
              </w:rPr>
              <w:t>Įrangos dokumentai turi būti lietuvių arba anglų kalba. Užrašai ant įrenginio ir jo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1D2E90">
              <w:rPr>
                <w:rFonts w:ascii="Times New Roman" w:eastAsia="Times New Roman" w:hAnsi="Times New Roman" w:cs="Times New Roman"/>
                <w:sz w:val="24"/>
                <w:szCs w:val="20"/>
              </w:rPr>
              <w:t>dalių turi būti anglų arba lietuvių kalba.</w:t>
            </w:r>
          </w:p>
        </w:tc>
      </w:tr>
      <w:tr w:rsidR="00BF72AD" w:rsidRPr="00EB019C" w:rsidTr="00FC3F85">
        <w:trPr>
          <w:trHeight w:val="900"/>
        </w:trPr>
        <w:tc>
          <w:tcPr>
            <w:tcW w:w="830" w:type="dxa"/>
            <w:shd w:val="clear" w:color="auto" w:fill="DEEAF6" w:themeFill="accent1" w:themeFillTint="33"/>
            <w:vAlign w:val="center"/>
          </w:tcPr>
          <w:p w:rsidR="00BF72AD" w:rsidRPr="00EB019C" w:rsidRDefault="00BF72AD" w:rsidP="00BF72AD">
            <w:pPr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3.</w:t>
            </w:r>
          </w:p>
        </w:tc>
        <w:tc>
          <w:tcPr>
            <w:tcW w:w="12920" w:type="dxa"/>
            <w:gridSpan w:val="4"/>
            <w:shd w:val="clear" w:color="auto" w:fill="DEEAF6" w:themeFill="accent1" w:themeFillTint="33"/>
            <w:vAlign w:val="center"/>
          </w:tcPr>
          <w:p w:rsidR="00BF72AD" w:rsidRPr="00DF2D14" w:rsidRDefault="00BF72AD" w:rsidP="00BF72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14">
              <w:rPr>
                <w:rFonts w:ascii="Times New Roman" w:eastAsia="Times New Roman" w:hAnsi="Times New Roman" w:cs="Times New Roman"/>
                <w:sz w:val="24"/>
                <w:szCs w:val="24"/>
              </w:rPr>
              <w:t>Tiekėjas turi pateikti techninės ar programinės įrangos visus nurodytus parametrus patikimai patvirtinančius dokumentus (pvz. gamintojo prekės aprašymą, nuorodą į gamintojo puslapį arba lygiavertį dokumentą)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72AD" w:rsidRPr="00EB019C" w:rsidTr="00E4691B">
        <w:trPr>
          <w:trHeight w:val="411"/>
        </w:trPr>
        <w:tc>
          <w:tcPr>
            <w:tcW w:w="830" w:type="dxa"/>
            <w:shd w:val="clear" w:color="auto" w:fill="DEEAF6" w:themeFill="accent1" w:themeFillTint="33"/>
            <w:vAlign w:val="center"/>
          </w:tcPr>
          <w:p w:rsidR="00BF72AD" w:rsidRPr="00EB019C" w:rsidRDefault="00BF72AD" w:rsidP="00BF72AD">
            <w:pPr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4.</w:t>
            </w:r>
          </w:p>
        </w:tc>
        <w:tc>
          <w:tcPr>
            <w:tcW w:w="12920" w:type="dxa"/>
            <w:gridSpan w:val="4"/>
            <w:shd w:val="clear" w:color="auto" w:fill="DEEAF6" w:themeFill="accent1" w:themeFillTint="33"/>
          </w:tcPr>
          <w:p w:rsidR="00BF72AD" w:rsidRPr="00465118" w:rsidRDefault="00BF72AD" w:rsidP="00BF72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Įranga</w:t>
            </w:r>
            <w:r w:rsidRPr="00465118">
              <w:rPr>
                <w:rFonts w:ascii="Times New Roman" w:eastAsia="Calibri" w:hAnsi="Times New Roman" w:cs="Times New Roman"/>
                <w:sz w:val="24"/>
                <w:szCs w:val="24"/>
              </w:rPr>
              <w:t>, taip pat jos gamintojai, susijusios paslaugos ar darbai turi nekelti grėsmės nacionaliniam saugumui.</w:t>
            </w:r>
          </w:p>
        </w:tc>
      </w:tr>
      <w:tr w:rsidR="00BF72AD" w:rsidRPr="00EB019C" w:rsidTr="006C5C4B">
        <w:trPr>
          <w:trHeight w:val="900"/>
        </w:trPr>
        <w:tc>
          <w:tcPr>
            <w:tcW w:w="830" w:type="dxa"/>
            <w:shd w:val="clear" w:color="auto" w:fill="DEEAF6" w:themeFill="accent1" w:themeFillTint="33"/>
            <w:vAlign w:val="center"/>
          </w:tcPr>
          <w:p w:rsidR="00BF72AD" w:rsidRPr="00EB019C" w:rsidRDefault="00BF72AD" w:rsidP="00BF72AD">
            <w:pPr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5.</w:t>
            </w:r>
          </w:p>
        </w:tc>
        <w:tc>
          <w:tcPr>
            <w:tcW w:w="12920" w:type="dxa"/>
            <w:gridSpan w:val="4"/>
            <w:shd w:val="clear" w:color="auto" w:fill="DEEAF6" w:themeFill="accent1" w:themeFillTint="33"/>
          </w:tcPr>
          <w:p w:rsidR="00BF72AD" w:rsidRPr="00465118" w:rsidRDefault="00BF72AD" w:rsidP="00BF72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118">
              <w:rPr>
                <w:rFonts w:ascii="Times New Roman" w:eastAsia="Calibri" w:hAnsi="Times New Roman" w:cs="Times New Roman"/>
                <w:sz w:val="24"/>
                <w:szCs w:val="24"/>
              </w:rPr>
              <w:t>Tiekėjai, jų subtiekėjai ir ūkio subjektai, kurių pajėgumais remiamasi, turi būti registruoti (jeigu tiekėjas, jų subtiekėjas ar ūkio subjektas, kurio pajėgumais remiamasi, yra fizinis asmuo – nuolat gyvenantis ar turintis pilietybę) Europos Sąjungos valstybėje narėje, Šiaurės Atlanto sutarties organizacijos valstybėje narėje ar trečiojoje šalyje, pasirašiusioje Lietuvos Respublikos viešųjų pirkimų įstatymo 17 straipsnio 4 dalyje nurodytus tarptautinius susitarimus.</w:t>
            </w:r>
          </w:p>
        </w:tc>
      </w:tr>
      <w:tr w:rsidR="00BF72AD" w:rsidRPr="00EB019C" w:rsidTr="00D83574">
        <w:trPr>
          <w:trHeight w:val="900"/>
        </w:trPr>
        <w:tc>
          <w:tcPr>
            <w:tcW w:w="830" w:type="dxa"/>
            <w:shd w:val="clear" w:color="auto" w:fill="DEEAF6" w:themeFill="accent1" w:themeFillTint="33"/>
            <w:vAlign w:val="center"/>
          </w:tcPr>
          <w:p w:rsidR="00BF72AD" w:rsidRPr="00EB019C" w:rsidRDefault="00BF72AD" w:rsidP="00BF72AD">
            <w:pPr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6.</w:t>
            </w:r>
          </w:p>
        </w:tc>
        <w:tc>
          <w:tcPr>
            <w:tcW w:w="12920" w:type="dxa"/>
            <w:gridSpan w:val="4"/>
            <w:shd w:val="clear" w:color="auto" w:fill="DEEAF6" w:themeFill="accent1" w:themeFillTint="33"/>
          </w:tcPr>
          <w:p w:rsidR="00BF72AD" w:rsidRPr="00465118" w:rsidRDefault="00BF72AD" w:rsidP="00BF72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118">
              <w:rPr>
                <w:rFonts w:ascii="Times New Roman" w:eastAsia="Calibri" w:hAnsi="Times New Roman" w:cs="Times New Roman"/>
                <w:sz w:val="24"/>
                <w:szCs w:val="24"/>
              </w:rPr>
              <w:t>Garantinė priežiūra:</w:t>
            </w:r>
          </w:p>
          <w:p w:rsidR="00BF72AD" w:rsidRPr="00465118" w:rsidRDefault="00BF72AD" w:rsidP="00BF72A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tiekiamai įrangai turi būti suteikta garantija ne trumpesniam laikotarpiui, kaip tas, kurį suteikia įrangos gamintojas, tačiau ne trumpesniam kaip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465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mėn;</w:t>
            </w:r>
          </w:p>
          <w:p w:rsidR="00BF72AD" w:rsidRPr="00465118" w:rsidRDefault="00BF72AD" w:rsidP="00BF72A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118">
              <w:rPr>
                <w:rFonts w:ascii="Times New Roman" w:eastAsia="Calibri" w:hAnsi="Times New Roman" w:cs="Times New Roman"/>
                <w:sz w:val="24"/>
                <w:szCs w:val="24"/>
              </w:rPr>
              <w:t>garantinio remonto trukmė – ne ilgiau kaip 30 kalendorinių dienų. Jei sugedusios įrangos per šį laikotarpį pataisyti neįmanoma, ji pakeičiama ekvivalentiška nauja;</w:t>
            </w:r>
          </w:p>
          <w:p w:rsidR="00BF72AD" w:rsidRDefault="00BF72AD" w:rsidP="00BF72A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118">
              <w:rPr>
                <w:rFonts w:ascii="Times New Roman" w:eastAsia="Calibri" w:hAnsi="Times New Roman" w:cs="Times New Roman"/>
                <w:sz w:val="24"/>
                <w:szCs w:val="24"/>
              </w:rPr>
              <w:t>garantinis laikotarpis skaičiuojamas nuo priėmimo–perdavimo akto pasirašymo datos.</w:t>
            </w:r>
          </w:p>
          <w:p w:rsidR="00BF72AD" w:rsidRPr="00465118" w:rsidRDefault="00BF72AD" w:rsidP="00BF72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149">
              <w:rPr>
                <w:rFonts w:ascii="Times New Roman" w:eastAsia="Calibri" w:hAnsi="Times New Roman" w:cs="Times New Roman"/>
                <w:sz w:val="24"/>
                <w:szCs w:val="24"/>
              </w:rPr>
              <w:t>garantiniu laikotarpiu tiekėjas privalo atlikti darbus, remontuoti ar pakeisti sugedusią įrangą savo lėšomis, įskaitant transportavimo išlaidas.</w:t>
            </w:r>
          </w:p>
        </w:tc>
      </w:tr>
    </w:tbl>
    <w:p w:rsidR="003279EB" w:rsidRDefault="003279EB"/>
    <w:tbl>
      <w:tblPr>
        <w:tblW w:w="11449" w:type="dxa"/>
        <w:tblLayout w:type="fixed"/>
        <w:tblLook w:val="04A0" w:firstRow="1" w:lastRow="0" w:firstColumn="1" w:lastColumn="0" w:noHBand="0" w:noVBand="1"/>
      </w:tblPr>
      <w:tblGrid>
        <w:gridCol w:w="5070"/>
        <w:gridCol w:w="240"/>
        <w:gridCol w:w="1560"/>
        <w:gridCol w:w="1560"/>
        <w:gridCol w:w="240"/>
        <w:gridCol w:w="2779"/>
      </w:tblGrid>
      <w:tr w:rsidR="003279EB" w:rsidRPr="003279EB" w:rsidTr="003279EB">
        <w:trPr>
          <w:trHeight w:val="186"/>
        </w:trPr>
        <w:tc>
          <w:tcPr>
            <w:tcW w:w="5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EB" w:rsidRPr="003279EB" w:rsidRDefault="003279EB" w:rsidP="003279E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position w:val="6"/>
                <w:sz w:val="24"/>
                <w:szCs w:val="24"/>
                <w:lang w:val="lt-LT" w:eastAsia="lt-LT"/>
              </w:rPr>
            </w:pPr>
            <w:r w:rsidRPr="003279EB">
              <w:rPr>
                <w:rFonts w:ascii="Times New Roman" w:eastAsia="Calibri" w:hAnsi="Times New Roman" w:cs="Times New Roman"/>
                <w:position w:val="6"/>
                <w:sz w:val="24"/>
                <w:szCs w:val="24"/>
                <w:lang w:val="lt-LT" w:eastAsia="lt-LT"/>
              </w:rPr>
              <w:t>Tiekėjo arba jo įgalioto asmens pareigų pavadinimas)</w:t>
            </w:r>
          </w:p>
        </w:tc>
        <w:tc>
          <w:tcPr>
            <w:tcW w:w="240" w:type="dxa"/>
          </w:tcPr>
          <w:p w:rsidR="003279EB" w:rsidRPr="003279EB" w:rsidRDefault="003279EB" w:rsidP="003279EB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60" w:type="dxa"/>
          </w:tcPr>
          <w:p w:rsidR="003279EB" w:rsidRPr="003279EB" w:rsidRDefault="003279EB" w:rsidP="003279EB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position w:val="6"/>
                <w:sz w:val="24"/>
                <w:szCs w:val="24"/>
                <w:lang w:val="lt-LT"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EB" w:rsidRPr="003279EB" w:rsidRDefault="003279EB" w:rsidP="003279EB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3279EB">
              <w:rPr>
                <w:rFonts w:ascii="Times New Roman" w:eastAsia="Calibri" w:hAnsi="Times New Roman" w:cs="Times New Roman"/>
                <w:position w:val="6"/>
                <w:sz w:val="24"/>
                <w:szCs w:val="24"/>
                <w:lang w:val="lt-LT" w:eastAsia="lt-LT"/>
              </w:rPr>
              <w:t>(Parašas)</w:t>
            </w:r>
          </w:p>
        </w:tc>
        <w:tc>
          <w:tcPr>
            <w:tcW w:w="240" w:type="dxa"/>
          </w:tcPr>
          <w:p w:rsidR="003279EB" w:rsidRPr="003279EB" w:rsidRDefault="003279EB" w:rsidP="003279EB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EB" w:rsidRPr="003279EB" w:rsidRDefault="003279EB" w:rsidP="003279EB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3279EB">
              <w:rPr>
                <w:rFonts w:ascii="Times New Roman" w:eastAsia="Calibri" w:hAnsi="Times New Roman" w:cs="Times New Roman"/>
                <w:position w:val="6"/>
                <w:sz w:val="24"/>
                <w:szCs w:val="24"/>
                <w:lang w:val="lt-LT" w:eastAsia="lt-LT"/>
              </w:rPr>
              <w:t>(Vardas ir pavardė)</w:t>
            </w:r>
          </w:p>
        </w:tc>
      </w:tr>
    </w:tbl>
    <w:p w:rsidR="003279EB" w:rsidRPr="003279EB" w:rsidRDefault="003279EB" w:rsidP="003279E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 w:eastAsia="lt-LT"/>
        </w:rPr>
      </w:pPr>
    </w:p>
    <w:p w:rsidR="003279EB" w:rsidRPr="003279EB" w:rsidRDefault="003279EB" w:rsidP="003279E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279EB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A.V.</w:t>
      </w:r>
    </w:p>
    <w:p w:rsidR="003279EB" w:rsidRDefault="003279EB"/>
    <w:sectPr w:rsidR="003279EB" w:rsidSect="00957345">
      <w:headerReference w:type="default" r:id="rId8"/>
      <w:pgSz w:w="15840" w:h="12240" w:orient="landscape"/>
      <w:pgMar w:top="1276" w:right="170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756" w:rsidRDefault="00590756" w:rsidP="00EB019C">
      <w:pPr>
        <w:spacing w:after="0" w:line="240" w:lineRule="auto"/>
      </w:pPr>
      <w:r>
        <w:separator/>
      </w:r>
    </w:p>
  </w:endnote>
  <w:endnote w:type="continuationSeparator" w:id="0">
    <w:p w:rsidR="00590756" w:rsidRDefault="00590756" w:rsidP="00EB0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756" w:rsidRDefault="00590756" w:rsidP="00EB019C">
      <w:pPr>
        <w:spacing w:after="0" w:line="240" w:lineRule="auto"/>
      </w:pPr>
      <w:r>
        <w:separator/>
      </w:r>
    </w:p>
  </w:footnote>
  <w:footnote w:type="continuationSeparator" w:id="0">
    <w:p w:rsidR="00590756" w:rsidRDefault="00590756" w:rsidP="00EB019C">
      <w:pPr>
        <w:spacing w:after="0" w:line="240" w:lineRule="auto"/>
      </w:pPr>
      <w:r>
        <w:continuationSeparator/>
      </w:r>
    </w:p>
  </w:footnote>
  <w:footnote w:id="1">
    <w:p w:rsidR="00A82171" w:rsidRPr="00AD756E" w:rsidRDefault="00A82171">
      <w:pPr>
        <w:pStyle w:val="FootnoteText"/>
        <w:rPr>
          <w:rFonts w:ascii="Times New Roman" w:hAnsi="Times New Roman" w:cs="Times New Roman"/>
          <w:i/>
          <w:lang w:val="lt-LT"/>
        </w:rPr>
      </w:pPr>
      <w:r>
        <w:rPr>
          <w:rStyle w:val="FootnoteReference"/>
        </w:rPr>
        <w:footnoteRef/>
      </w:r>
      <w:r>
        <w:t xml:space="preserve"> </w:t>
      </w:r>
      <w:r w:rsidRPr="00AD756E">
        <w:rPr>
          <w:rFonts w:ascii="Times New Roman" w:hAnsi="Times New Roman" w:cs="Times New Roman"/>
          <w:i/>
          <w:lang w:val="lt-LT"/>
        </w:rPr>
        <w:t xml:space="preserve">„Elektroninių apsaugos sistemų </w:t>
      </w:r>
      <w:r w:rsidR="00FC3F85">
        <w:rPr>
          <w:rFonts w:ascii="Times New Roman" w:hAnsi="Times New Roman" w:cs="Times New Roman"/>
          <w:i/>
          <w:lang w:val="lt-LT"/>
        </w:rPr>
        <w:t>akumuliatorių</w:t>
      </w:r>
      <w:r w:rsidR="00AD756E">
        <w:rPr>
          <w:rFonts w:ascii="Times New Roman" w:hAnsi="Times New Roman" w:cs="Times New Roman"/>
          <w:i/>
          <w:lang w:val="lt-LT"/>
        </w:rPr>
        <w:t xml:space="preserve"> techninė specifikacija“.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87724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EB019C" w:rsidRDefault="00EB019C" w:rsidP="00EB019C">
        <w:pPr>
          <w:pStyle w:val="Head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47B7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                                                                                                                                 </w:t>
        </w:r>
      </w:p>
      <w:p w:rsidR="00EB019C" w:rsidRDefault="00EB019C" w:rsidP="00EB019C">
        <w:pPr>
          <w:pStyle w:val="Header"/>
          <w:jc w:val="center"/>
        </w:pPr>
        <w:r w:rsidRPr="006047B7">
          <w:rPr>
            <w:b/>
            <w:noProof/>
          </w:rPr>
          <w:t xml:space="preserve">                                                                                                                                                </w:t>
        </w:r>
        <w:r w:rsidR="006047B7" w:rsidRPr="006047B7">
          <w:rPr>
            <w:b/>
            <w:noProof/>
            <w:sz w:val="24"/>
            <w:szCs w:val="24"/>
          </w:rPr>
          <w:t>2</w:t>
        </w:r>
        <w:r w:rsidRPr="006047B7">
          <w:rPr>
            <w:rFonts w:ascii="Times New Roman" w:hAnsi="Times New Roman" w:cs="Times New Roman"/>
            <w:b/>
            <w:noProof/>
            <w:sz w:val="24"/>
            <w:szCs w:val="24"/>
            <w:lang w:val="lt-LT"/>
          </w:rPr>
          <w:t xml:space="preserve"> Pried</w:t>
        </w:r>
        <w:r w:rsidR="006047B7" w:rsidRPr="006047B7">
          <w:rPr>
            <w:rFonts w:ascii="Times New Roman" w:hAnsi="Times New Roman" w:cs="Times New Roman"/>
            <w:b/>
            <w:noProof/>
            <w:sz w:val="24"/>
            <w:szCs w:val="24"/>
            <w:lang w:val="lt-LT"/>
          </w:rPr>
          <w:t>o</w:t>
        </w:r>
        <w:r w:rsidR="006047B7">
          <w:rPr>
            <w:rFonts w:ascii="Times New Roman" w:hAnsi="Times New Roman" w:cs="Times New Roman"/>
            <w:b/>
            <w:noProof/>
            <w:sz w:val="24"/>
            <w:szCs w:val="24"/>
            <w:lang w:val="lt-LT"/>
          </w:rPr>
          <w:t xml:space="preserve"> priedėlis</w:t>
        </w:r>
        <w:r>
          <w:rPr>
            <w:rFonts w:ascii="Times New Roman" w:hAnsi="Times New Roman" w:cs="Times New Roman"/>
            <w:b/>
            <w:noProof/>
            <w:sz w:val="24"/>
            <w:szCs w:val="24"/>
            <w:lang w:val="lt-LT"/>
          </w:rPr>
          <w:t xml:space="preserve"> </w:t>
        </w:r>
      </w:p>
    </w:sdtContent>
  </w:sdt>
  <w:p w:rsidR="00EB019C" w:rsidRDefault="00EB01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4473E"/>
    <w:multiLevelType w:val="hybridMultilevel"/>
    <w:tmpl w:val="DD2A5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17CB9"/>
    <w:multiLevelType w:val="hybridMultilevel"/>
    <w:tmpl w:val="FF4CC62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31F94B87"/>
    <w:multiLevelType w:val="hybridMultilevel"/>
    <w:tmpl w:val="ACC6A2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84B6B"/>
    <w:multiLevelType w:val="multilevel"/>
    <w:tmpl w:val="4672FF6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6F3F0601"/>
    <w:multiLevelType w:val="hybridMultilevel"/>
    <w:tmpl w:val="F87AFE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9C"/>
    <w:rsid w:val="00045F82"/>
    <w:rsid w:val="0007390B"/>
    <w:rsid w:val="000A0A3F"/>
    <w:rsid w:val="000A4BCE"/>
    <w:rsid w:val="000A7877"/>
    <w:rsid w:val="000B340C"/>
    <w:rsid w:val="000B6938"/>
    <w:rsid w:val="00155A17"/>
    <w:rsid w:val="001D2E90"/>
    <w:rsid w:val="001F4D30"/>
    <w:rsid w:val="002F43CE"/>
    <w:rsid w:val="003279EB"/>
    <w:rsid w:val="003577F5"/>
    <w:rsid w:val="003B2638"/>
    <w:rsid w:val="004353DA"/>
    <w:rsid w:val="00465A75"/>
    <w:rsid w:val="00473FCE"/>
    <w:rsid w:val="004D75F8"/>
    <w:rsid w:val="00590756"/>
    <w:rsid w:val="005B4DCA"/>
    <w:rsid w:val="005E5A2F"/>
    <w:rsid w:val="005F7584"/>
    <w:rsid w:val="006047B7"/>
    <w:rsid w:val="00697CEF"/>
    <w:rsid w:val="006B1F2F"/>
    <w:rsid w:val="00750767"/>
    <w:rsid w:val="00843700"/>
    <w:rsid w:val="008810C4"/>
    <w:rsid w:val="008C319D"/>
    <w:rsid w:val="008C7E3F"/>
    <w:rsid w:val="00937AED"/>
    <w:rsid w:val="00942D2D"/>
    <w:rsid w:val="00945BF9"/>
    <w:rsid w:val="00957345"/>
    <w:rsid w:val="00981174"/>
    <w:rsid w:val="009D551A"/>
    <w:rsid w:val="009F065E"/>
    <w:rsid w:val="009F39AB"/>
    <w:rsid w:val="00A109AC"/>
    <w:rsid w:val="00A65A10"/>
    <w:rsid w:val="00A82171"/>
    <w:rsid w:val="00A87C77"/>
    <w:rsid w:val="00A9612A"/>
    <w:rsid w:val="00AD756E"/>
    <w:rsid w:val="00B86C40"/>
    <w:rsid w:val="00BE1691"/>
    <w:rsid w:val="00BF72AD"/>
    <w:rsid w:val="00C43153"/>
    <w:rsid w:val="00C54198"/>
    <w:rsid w:val="00CA05C7"/>
    <w:rsid w:val="00CE76C9"/>
    <w:rsid w:val="00CF4B63"/>
    <w:rsid w:val="00D2572D"/>
    <w:rsid w:val="00D77B0B"/>
    <w:rsid w:val="00DC2A85"/>
    <w:rsid w:val="00DD6469"/>
    <w:rsid w:val="00DE5522"/>
    <w:rsid w:val="00DF2D14"/>
    <w:rsid w:val="00E44322"/>
    <w:rsid w:val="00E4691B"/>
    <w:rsid w:val="00EB019C"/>
    <w:rsid w:val="00F27634"/>
    <w:rsid w:val="00F64482"/>
    <w:rsid w:val="00FA63C6"/>
    <w:rsid w:val="00FC3F85"/>
    <w:rsid w:val="00FE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B084"/>
  <w15:chartTrackingRefBased/>
  <w15:docId w15:val="{8589BD7D-E2BA-4F8B-B376-67C852775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1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B019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B019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19C"/>
  </w:style>
  <w:style w:type="paragraph" w:styleId="Footer">
    <w:name w:val="footer"/>
    <w:basedOn w:val="Normal"/>
    <w:link w:val="FooterChar"/>
    <w:uiPriority w:val="99"/>
    <w:unhideWhenUsed/>
    <w:rsid w:val="00EB019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19C"/>
  </w:style>
  <w:style w:type="table" w:styleId="TableGrid">
    <w:name w:val="Table Grid"/>
    <w:basedOn w:val="TableNormal"/>
    <w:uiPriority w:val="59"/>
    <w:rsid w:val="00EB019C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2D1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8217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217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217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9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10AAD-B7D5-430E-807B-C8B95434F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2025-11-18T08:57:00Z</cp:lastPrinted>
  <dcterms:created xsi:type="dcterms:W3CDTF">2025-11-26T13:32:00Z</dcterms:created>
  <dcterms:modified xsi:type="dcterms:W3CDTF">2025-11-26T13:32:00Z</dcterms:modified>
</cp:coreProperties>
</file>