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2070" w14:textId="1932C021" w:rsidR="00672FDE" w:rsidRPr="007C4F3A" w:rsidRDefault="009B3A5C" w:rsidP="00672FDE">
      <w:pPr>
        <w:ind w:left="851" w:hanging="142"/>
        <w:jc w:val="left"/>
      </w:pPr>
      <w:r w:rsidRPr="007C4F3A">
        <w:rPr>
          <w:rFonts w:cs="Arial"/>
          <w:noProof/>
          <w:lang w:eastAsia="lt-LT"/>
        </w:rPr>
        <mc:AlternateContent>
          <mc:Choice Requires="wps">
            <w:drawing>
              <wp:anchor distT="0" distB="0" distL="114300" distR="114300" simplePos="0" relativeHeight="251681792" behindDoc="0" locked="0" layoutInCell="1" allowOverlap="1" wp14:anchorId="2CE45794" wp14:editId="4230FE3C">
                <wp:simplePos x="0" y="0"/>
                <wp:positionH relativeFrom="margin">
                  <wp:posOffset>81346</wp:posOffset>
                </wp:positionH>
                <wp:positionV relativeFrom="paragraph">
                  <wp:posOffset>5454485</wp:posOffset>
                </wp:positionV>
                <wp:extent cx="5692126" cy="629285"/>
                <wp:effectExtent l="0" t="0" r="0" b="0"/>
                <wp:wrapNone/>
                <wp:docPr id="1939651715" name="Text Box 17"/>
                <wp:cNvGraphicFramePr/>
                <a:graphic xmlns:a="http://schemas.openxmlformats.org/drawingml/2006/main">
                  <a:graphicData uri="http://schemas.microsoft.com/office/word/2010/wordprocessingShape">
                    <wps:wsp>
                      <wps:cNvSpPr txBox="1"/>
                      <wps:spPr>
                        <a:xfrm>
                          <a:off x="0" y="0"/>
                          <a:ext cx="5692126" cy="629285"/>
                        </a:xfrm>
                        <a:prstGeom prst="rect">
                          <a:avLst/>
                        </a:prstGeom>
                        <a:noFill/>
                        <a:ln>
                          <a:noFill/>
                          <a:prstDash/>
                        </a:ln>
                      </wps:spPr>
                      <wps:txbx>
                        <w:txbxContent>
                          <w:p w14:paraId="3D046F74" w14:textId="19EE87E6" w:rsidR="00F71D2D" w:rsidRPr="005962D6" w:rsidRDefault="00F71D2D" w:rsidP="002A5E61">
                            <w:pPr>
                              <w:spacing w:line="280" w:lineRule="exact"/>
                              <w:rPr>
                                <w:rFonts w:cs="Arial"/>
                                <w:color w:val="FFFFFF"/>
                                <w:sz w:val="28"/>
                                <w:szCs w:val="28"/>
                              </w:rPr>
                            </w:pPr>
                            <w:r w:rsidRPr="005962D6">
                              <w:rPr>
                                <w:rFonts w:cs="Arial"/>
                                <w:color w:val="FFFFFF"/>
                                <w:sz w:val="28"/>
                                <w:szCs w:val="28"/>
                              </w:rPr>
                              <w:t xml:space="preserve">Skirta: </w:t>
                            </w:r>
                            <w:r w:rsidR="00517C01">
                              <w:rPr>
                                <w:rFonts w:cs="Arial"/>
                                <w:color w:val="FFFFFF" w:themeColor="background1"/>
                                <w:sz w:val="28"/>
                                <w:szCs w:val="28"/>
                              </w:rPr>
                              <w:t>Utenos</w:t>
                            </w:r>
                            <w:r w:rsidR="00800D40" w:rsidRPr="00B135E8">
                              <w:rPr>
                                <w:rFonts w:cs="Arial"/>
                                <w:color w:val="FFFFFF" w:themeColor="background1"/>
                                <w:sz w:val="28"/>
                                <w:szCs w:val="28"/>
                              </w:rPr>
                              <w:t xml:space="preserve"> </w:t>
                            </w:r>
                            <w:r w:rsidR="00B135E8" w:rsidRPr="00B135E8">
                              <w:rPr>
                                <w:rFonts w:cs="Arial"/>
                                <w:color w:val="FFFFFF" w:themeColor="background1"/>
                                <w:sz w:val="28"/>
                                <w:szCs w:val="28"/>
                              </w:rPr>
                              <w:t>rajono</w:t>
                            </w:r>
                            <w:r w:rsidRPr="00B135E8">
                              <w:rPr>
                                <w:rFonts w:cs="Arial"/>
                                <w:color w:val="FFFFFF" w:themeColor="background1"/>
                                <w:sz w:val="28"/>
                                <w:szCs w:val="28"/>
                              </w:rPr>
                              <w:t xml:space="preserve"> </w:t>
                            </w:r>
                            <w:r w:rsidRPr="005962D6">
                              <w:rPr>
                                <w:rFonts w:cs="Arial"/>
                                <w:color w:val="FFFFFF"/>
                                <w:sz w:val="28"/>
                                <w:szCs w:val="28"/>
                              </w:rPr>
                              <w:t>savivaldybės administracija</w:t>
                            </w:r>
                          </w:p>
                          <w:p w14:paraId="6E347F18" w14:textId="11D3EB93" w:rsidR="00F71D2D" w:rsidRPr="005962D6" w:rsidRDefault="00F71D2D" w:rsidP="002A5E61">
                            <w:pPr>
                              <w:spacing w:line="280" w:lineRule="exact"/>
                              <w:rPr>
                                <w:rFonts w:cs="Arial"/>
                                <w:color w:val="FFFFFF"/>
                                <w:sz w:val="28"/>
                                <w:szCs w:val="28"/>
                              </w:rPr>
                            </w:pPr>
                            <w:r w:rsidRPr="005962D6">
                              <w:rPr>
                                <w:rFonts w:cs="Arial"/>
                                <w:color w:val="FFFFFF"/>
                                <w:sz w:val="28"/>
                                <w:szCs w:val="28"/>
                              </w:rPr>
                              <w:t>Sudarė: UAB „Eurointegracijos projektai</w:t>
                            </w:r>
                            <w:r w:rsidR="007F748E" w:rsidRPr="005962D6">
                              <w:rPr>
                                <w:rFonts w:cs="Arial"/>
                                <w:color w:val="FFFFFF"/>
                                <w:sz w:val="28"/>
                                <w:szCs w:val="28"/>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CE45794" id="_x0000_t202" coordsize="21600,21600" o:spt="202" path="m,l,21600r21600,l21600,xe">
                <v:stroke joinstyle="miter"/>
                <v:path gradientshapeok="t" o:connecttype="rect"/>
              </v:shapetype>
              <v:shape id="Text Box 17" o:spid="_x0000_s1026" type="#_x0000_t202" style="position:absolute;left:0;text-align:left;margin-left:6.4pt;margin-top:429.5pt;width:448.2pt;height:49.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" filled="f" stroked="f">
                <v:textbox>
                  <w:txbxContent>
                    <w:p w14:paraId="3D046F74" w14:textId="19EE87E6" w:rsidR="00F71D2D" w:rsidRPr="005962D6" w:rsidRDefault="00F71D2D" w:rsidP="002A5E61">
                      <w:pPr>
                        <w:spacing w:line="280" w:lineRule="exact"/>
                        <w:rPr>
                          <w:rFonts w:cs="Arial"/>
                          <w:color w:val="FFFFFF"/>
                          <w:sz w:val="28"/>
                          <w:szCs w:val="28"/>
                        </w:rPr>
                      </w:pPr>
                      <w:r w:rsidRPr="005962D6">
                        <w:rPr>
                          <w:rFonts w:cs="Arial"/>
                          <w:color w:val="FFFFFF"/>
                          <w:sz w:val="28"/>
                          <w:szCs w:val="28"/>
                        </w:rPr>
                        <w:t xml:space="preserve">Skirta: </w:t>
                      </w:r>
                      <w:r w:rsidR="00517C01">
                        <w:rPr>
                          <w:rFonts w:cs="Arial"/>
                          <w:color w:val="FFFFFF" w:themeColor="background1"/>
                          <w:sz w:val="28"/>
                          <w:szCs w:val="28"/>
                        </w:rPr>
                        <w:t>Utenos</w:t>
                      </w:r>
                      <w:r w:rsidR="00800D40" w:rsidRPr="00B135E8">
                        <w:rPr>
                          <w:rFonts w:cs="Arial"/>
                          <w:color w:val="FFFFFF" w:themeColor="background1"/>
                          <w:sz w:val="28"/>
                          <w:szCs w:val="28"/>
                        </w:rPr>
                        <w:t xml:space="preserve"> </w:t>
                      </w:r>
                      <w:r w:rsidR="00B135E8" w:rsidRPr="00B135E8">
                        <w:rPr>
                          <w:rFonts w:cs="Arial"/>
                          <w:color w:val="FFFFFF" w:themeColor="background1"/>
                          <w:sz w:val="28"/>
                          <w:szCs w:val="28"/>
                        </w:rPr>
                        <w:t>rajono</w:t>
                      </w:r>
                      <w:r w:rsidRPr="00B135E8">
                        <w:rPr>
                          <w:rFonts w:cs="Arial"/>
                          <w:color w:val="FFFFFF" w:themeColor="background1"/>
                          <w:sz w:val="28"/>
                          <w:szCs w:val="28"/>
                        </w:rPr>
                        <w:t xml:space="preserve"> </w:t>
                      </w:r>
                      <w:r w:rsidRPr="005962D6">
                        <w:rPr>
                          <w:rFonts w:cs="Arial"/>
                          <w:color w:val="FFFFFF"/>
                          <w:sz w:val="28"/>
                          <w:szCs w:val="28"/>
                        </w:rPr>
                        <w:t>savivaldybės administracija</w:t>
                      </w:r>
                    </w:p>
                    <w:p w14:paraId="6E347F18" w14:textId="11D3EB93" w:rsidR="00F71D2D" w:rsidRPr="005962D6" w:rsidRDefault="00F71D2D" w:rsidP="002A5E61">
                      <w:pPr>
                        <w:spacing w:line="280" w:lineRule="exact"/>
                        <w:rPr>
                          <w:rFonts w:cs="Arial"/>
                          <w:color w:val="FFFFFF"/>
                          <w:sz w:val="28"/>
                          <w:szCs w:val="28"/>
                        </w:rPr>
                      </w:pPr>
                      <w:r w:rsidRPr="005962D6">
                        <w:rPr>
                          <w:rFonts w:cs="Arial"/>
                          <w:color w:val="FFFFFF"/>
                          <w:sz w:val="28"/>
                          <w:szCs w:val="28"/>
                        </w:rPr>
                        <w:t>Sudarė: UAB „Eurointegracijos projektai</w:t>
                      </w:r>
                      <w:r w:rsidR="007F748E" w:rsidRPr="005962D6">
                        <w:rPr>
                          <w:rFonts w:cs="Arial"/>
                          <w:color w:val="FFFFFF"/>
                          <w:sz w:val="28"/>
                          <w:szCs w:val="28"/>
                        </w:rPr>
                        <w:t>“</w:t>
                      </w:r>
                    </w:p>
                  </w:txbxContent>
                </v:textbox>
                <w10:wrap anchorx="margin"/>
              </v:shape>
            </w:pict>
          </mc:Fallback>
        </mc:AlternateContent>
      </w:r>
      <w:r w:rsidRPr="007C4F3A">
        <w:rPr>
          <w:rFonts w:cs="Arial"/>
          <w:noProof/>
          <w:lang w:eastAsia="lt-LT"/>
        </w:rPr>
        <mc:AlternateContent>
          <mc:Choice Requires="wps">
            <w:drawing>
              <wp:anchor distT="0" distB="0" distL="114300" distR="114300" simplePos="0" relativeHeight="251663360" behindDoc="0" locked="0" layoutInCell="1" allowOverlap="1" wp14:anchorId="66D12973" wp14:editId="46530404">
                <wp:simplePos x="0" y="0"/>
                <wp:positionH relativeFrom="margin">
                  <wp:align>center</wp:align>
                </wp:positionH>
                <wp:positionV relativeFrom="paragraph">
                  <wp:posOffset>3331177</wp:posOffset>
                </wp:positionV>
                <wp:extent cx="5588000" cy="1630680"/>
                <wp:effectExtent l="0" t="0" r="0" b="7620"/>
                <wp:wrapNone/>
                <wp:docPr id="887495586" name="Text Box 2"/>
                <wp:cNvGraphicFramePr/>
                <a:graphic xmlns:a="http://schemas.openxmlformats.org/drawingml/2006/main">
                  <a:graphicData uri="http://schemas.microsoft.com/office/word/2010/wordprocessingShape">
                    <wps:wsp>
                      <wps:cNvSpPr txBox="1"/>
                      <wps:spPr>
                        <a:xfrm>
                          <a:off x="0" y="0"/>
                          <a:ext cx="5588000" cy="1630680"/>
                        </a:xfrm>
                        <a:prstGeom prst="rect">
                          <a:avLst/>
                        </a:prstGeom>
                        <a:noFill/>
                        <a:ln>
                          <a:noFill/>
                          <a:prstDash/>
                        </a:ln>
                      </wps:spPr>
                      <wps:txbx>
                        <w:txbxContent>
                          <w:p w14:paraId="1106D21B" w14:textId="037B9538" w:rsidR="006761A2" w:rsidRDefault="006761A2" w:rsidP="006761A2">
                            <w:pPr>
                              <w:pBdr>
                                <w:between w:val="single" w:sz="12" w:space="1" w:color="FFFFFF" w:themeColor="background1"/>
                              </w:pBdr>
                              <w:spacing w:before="120" w:after="120" w:line="240" w:lineRule="auto"/>
                              <w:ind w:firstLine="0"/>
                              <w:jc w:val="left"/>
                              <w:rPr>
                                <w:rFonts w:cs="Arial"/>
                                <w:b/>
                                <w:bCs/>
                                <w:color w:val="FFFFFF" w:themeColor="background1"/>
                                <w:sz w:val="36"/>
                                <w:szCs w:val="36"/>
                              </w:rPr>
                            </w:pPr>
                            <w:r w:rsidRPr="006761A2">
                              <w:rPr>
                                <w:rFonts w:cs="Arial"/>
                                <w:b/>
                                <w:bCs/>
                                <w:color w:val="FFFFFF" w:themeColor="background1"/>
                                <w:sz w:val="36"/>
                                <w:szCs w:val="36"/>
                              </w:rPr>
                              <w:t>TANKIAI APGYVENDINTOS URBANIZUOTOS AUKŠTAKALNIO GYVENAMŲJŲ DAUGIABUČIŲ NAMŲ TERITORIJOS DALIES ATGAIVINIMAS, ŽALINIMAS IR FUNKCIONALUMO DIDINIMAS</w:t>
                            </w:r>
                          </w:p>
                          <w:p w14:paraId="125ACB73" w14:textId="3010D6A2" w:rsidR="00372DDB" w:rsidRPr="006761A2" w:rsidRDefault="00F44CBC" w:rsidP="006761A2">
                            <w:pPr>
                              <w:pBdr>
                                <w:between w:val="single" w:sz="12" w:space="1" w:color="FFFFFF" w:themeColor="background1"/>
                              </w:pBdr>
                              <w:spacing w:before="120" w:after="120" w:line="240" w:lineRule="auto"/>
                              <w:ind w:firstLine="0"/>
                              <w:jc w:val="left"/>
                              <w:rPr>
                                <w:rFonts w:cs="Arial"/>
                                <w:b/>
                                <w:bCs/>
                                <w:color w:val="FFFFFF" w:themeColor="background1"/>
                                <w:sz w:val="32"/>
                                <w:szCs w:val="32"/>
                              </w:rPr>
                            </w:pPr>
                            <w:r w:rsidRPr="006761A2">
                              <w:rPr>
                                <w:rFonts w:cs="Arial"/>
                                <w:b/>
                                <w:bCs/>
                                <w:color w:val="FFFFFF" w:themeColor="background1"/>
                                <w:sz w:val="32"/>
                                <w:szCs w:val="32"/>
                              </w:rPr>
                              <w:t>INVESTICIJŲ PROJEKTAS</w:t>
                            </w:r>
                          </w:p>
                          <w:p w14:paraId="487A7465" w14:textId="77777777" w:rsidR="00F44CBC" w:rsidRPr="00372DDB" w:rsidRDefault="00F44CBC" w:rsidP="00372DDB">
                            <w:pPr>
                              <w:pBdr>
                                <w:between w:val="single" w:sz="12" w:space="1" w:color="FFFFFF" w:themeColor="background1"/>
                              </w:pBdr>
                              <w:spacing w:before="120" w:after="120" w:line="240" w:lineRule="auto"/>
                              <w:ind w:firstLine="0"/>
                              <w:jc w:val="center"/>
                              <w:rPr>
                                <w:rFonts w:cs="Arial"/>
                                <w:b/>
                                <w:bCs/>
                                <w:color w:val="FFFFFF"/>
                                <w:sz w:val="36"/>
                                <w:szCs w:val="36"/>
                              </w:rPr>
                            </w:pPr>
                          </w:p>
                          <w:p w14:paraId="7DF46003" w14:textId="27B97F71" w:rsidR="003B5CB6" w:rsidRPr="005962D6" w:rsidRDefault="003B5CB6" w:rsidP="006F1D33">
                            <w:pPr>
                              <w:spacing w:line="240" w:lineRule="auto"/>
                              <w:ind w:firstLine="0"/>
                              <w:jc w:val="left"/>
                              <w:rPr>
                                <w:rFonts w:cs="Arial"/>
                                <w:b/>
                                <w:bCs/>
                                <w:caps/>
                                <w:color w:val="FFFFFF"/>
                                <w:sz w:val="36"/>
                                <w:szCs w:val="36"/>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D12973" id="Text Box 2" o:spid="_x0000_s1027" type="#_x0000_t202" style="position:absolute;left:0;text-align:left;margin-left:0;margin-top:262.3pt;width:440pt;height:128.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" filled="f" stroked="f">
                <v:textbox>
                  <w:txbxContent>
                    <w:p w14:paraId="1106D21B" w14:textId="037B9538" w:rsidR="006761A2" w:rsidRDefault="006761A2" w:rsidP="006761A2">
                      <w:pPr>
                        <w:pBdr>
                          <w:between w:val="single" w:sz="12" w:space="1" w:color="FFFFFF" w:themeColor="background1"/>
                        </w:pBdr>
                        <w:spacing w:before="120" w:after="120" w:line="240" w:lineRule="auto"/>
                        <w:ind w:firstLine="0"/>
                        <w:jc w:val="left"/>
                        <w:rPr>
                          <w:rFonts w:cs="Arial"/>
                          <w:b/>
                          <w:bCs/>
                          <w:color w:val="FFFFFF" w:themeColor="background1"/>
                          <w:sz w:val="36"/>
                          <w:szCs w:val="36"/>
                        </w:rPr>
                      </w:pPr>
                      <w:r w:rsidRPr="006761A2">
                        <w:rPr>
                          <w:rFonts w:cs="Arial"/>
                          <w:b/>
                          <w:bCs/>
                          <w:color w:val="FFFFFF" w:themeColor="background1"/>
                          <w:sz w:val="36"/>
                          <w:szCs w:val="36"/>
                        </w:rPr>
                        <w:t>TANKIAI APGYVENDINTOS URBANIZUOTOS AUKŠTAKALNIO GYVENAMŲJŲ DAUGIABUČIŲ NAMŲ TERITORIJOS DALIES ATGAIVINIMAS, ŽALINIMAS IR FUNKCIONALUMO DIDINIMAS</w:t>
                      </w:r>
                    </w:p>
                    <w:p w14:paraId="125ACB73" w14:textId="3010D6A2" w:rsidR="00372DDB" w:rsidRPr="006761A2" w:rsidRDefault="00F44CBC" w:rsidP="006761A2">
                      <w:pPr>
                        <w:pBdr>
                          <w:between w:val="single" w:sz="12" w:space="1" w:color="FFFFFF" w:themeColor="background1"/>
                        </w:pBdr>
                        <w:spacing w:before="120" w:after="120" w:line="240" w:lineRule="auto"/>
                        <w:ind w:firstLine="0"/>
                        <w:jc w:val="left"/>
                        <w:rPr>
                          <w:rFonts w:cs="Arial"/>
                          <w:b/>
                          <w:bCs/>
                          <w:color w:val="FFFFFF" w:themeColor="background1"/>
                          <w:sz w:val="32"/>
                          <w:szCs w:val="32"/>
                        </w:rPr>
                      </w:pPr>
                      <w:r w:rsidRPr="006761A2">
                        <w:rPr>
                          <w:rFonts w:cs="Arial"/>
                          <w:b/>
                          <w:bCs/>
                          <w:color w:val="FFFFFF" w:themeColor="background1"/>
                          <w:sz w:val="32"/>
                          <w:szCs w:val="32"/>
                        </w:rPr>
                        <w:t>INVESTICIJŲ PROJEKTAS</w:t>
                      </w:r>
                    </w:p>
                    <w:p w14:paraId="487A7465" w14:textId="77777777" w:rsidR="00F44CBC" w:rsidRPr="00372DDB" w:rsidRDefault="00F44CBC" w:rsidP="00372DDB">
                      <w:pPr>
                        <w:pBdr>
                          <w:between w:val="single" w:sz="12" w:space="1" w:color="FFFFFF" w:themeColor="background1"/>
                        </w:pBdr>
                        <w:spacing w:before="120" w:after="120" w:line="240" w:lineRule="auto"/>
                        <w:ind w:firstLine="0"/>
                        <w:jc w:val="center"/>
                        <w:rPr>
                          <w:rFonts w:cs="Arial"/>
                          <w:b/>
                          <w:bCs/>
                          <w:color w:val="FFFFFF"/>
                          <w:sz w:val="36"/>
                          <w:szCs w:val="36"/>
                        </w:rPr>
                      </w:pPr>
                    </w:p>
                    <w:p w14:paraId="7DF46003" w14:textId="27B97F71" w:rsidR="003B5CB6" w:rsidRPr="005962D6" w:rsidRDefault="003B5CB6" w:rsidP="006F1D33">
                      <w:pPr>
                        <w:spacing w:line="240" w:lineRule="auto"/>
                        <w:ind w:firstLine="0"/>
                        <w:jc w:val="left"/>
                        <w:rPr>
                          <w:rFonts w:cs="Arial"/>
                          <w:b/>
                          <w:bCs/>
                          <w:caps/>
                          <w:color w:val="FFFFFF"/>
                          <w:sz w:val="36"/>
                          <w:szCs w:val="36"/>
                        </w:rPr>
                      </w:pPr>
                    </w:p>
                  </w:txbxContent>
                </v:textbox>
                <w10:wrap anchorx="margin"/>
              </v:shape>
            </w:pict>
          </mc:Fallback>
        </mc:AlternateContent>
      </w:r>
      <w:r w:rsidR="006761A2" w:rsidRPr="007C4F3A">
        <w:rPr>
          <w:rFonts w:cs="Arial"/>
          <w:noProof/>
          <w:lang w:eastAsia="lt-LT"/>
        </w:rPr>
        <mc:AlternateContent>
          <mc:Choice Requires="wps">
            <w:drawing>
              <wp:anchor distT="0" distB="0" distL="114300" distR="114300" simplePos="0" relativeHeight="251702272" behindDoc="0" locked="0" layoutInCell="1" allowOverlap="1" wp14:anchorId="635D14A8" wp14:editId="0FAC5B12">
                <wp:simplePos x="0" y="0"/>
                <wp:positionH relativeFrom="column">
                  <wp:posOffset>4421505</wp:posOffset>
                </wp:positionH>
                <wp:positionV relativeFrom="paragraph">
                  <wp:posOffset>8910089</wp:posOffset>
                </wp:positionV>
                <wp:extent cx="1738630" cy="320040"/>
                <wp:effectExtent l="0" t="0" r="0" b="3810"/>
                <wp:wrapSquare wrapText="bothSides"/>
                <wp:docPr id="1065208625" name="Text Box 18"/>
                <wp:cNvGraphicFramePr/>
                <a:graphic xmlns:a="http://schemas.openxmlformats.org/drawingml/2006/main">
                  <a:graphicData uri="http://schemas.microsoft.com/office/word/2010/wordprocessingShape">
                    <wps:wsp>
                      <wps:cNvSpPr txBox="1"/>
                      <wps:spPr>
                        <a:xfrm>
                          <a:off x="0" y="0"/>
                          <a:ext cx="1738630" cy="320040"/>
                        </a:xfrm>
                        <a:prstGeom prst="rect">
                          <a:avLst/>
                        </a:prstGeom>
                        <a:noFill/>
                        <a:ln>
                          <a:noFill/>
                          <a:prstDash/>
                        </a:ln>
                      </wps:spPr>
                      <wps:txbx>
                        <w:txbxContent>
                          <w:p w14:paraId="6EFCA045" w14:textId="2D7D2AD1" w:rsidR="00F71D2D" w:rsidRPr="002F34F2" w:rsidRDefault="002F34F2" w:rsidP="00F936A3">
                            <w:pPr>
                              <w:spacing w:line="280" w:lineRule="exact"/>
                              <w:ind w:firstLine="0"/>
                              <w:jc w:val="right"/>
                              <w:rPr>
                                <w:rFonts w:cs="Arial"/>
                                <w:color w:val="FFFFFF"/>
                                <w:sz w:val="28"/>
                                <w:szCs w:val="28"/>
                              </w:rPr>
                            </w:pPr>
                            <w:r w:rsidRPr="002F34F2">
                              <w:rPr>
                                <w:rFonts w:cs="Arial"/>
                                <w:color w:val="FFFFFF"/>
                                <w:sz w:val="28"/>
                                <w:szCs w:val="28"/>
                              </w:rPr>
                              <w:t>2025, UTENA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35D14A8" id="Text Box 18" o:spid="_x0000_s1028" type="#_x0000_t202" style="position:absolute;left:0;text-align:left;margin-left:348.15pt;margin-top:701.6pt;width:136.9pt;height:2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" filled="f" stroked="f">
                <v:textbox>
                  <w:txbxContent>
                    <w:p w14:paraId="6EFCA045" w14:textId="2D7D2AD1" w:rsidR="00F71D2D" w:rsidRPr="002F34F2" w:rsidRDefault="002F34F2" w:rsidP="00F936A3">
                      <w:pPr>
                        <w:spacing w:line="280" w:lineRule="exact"/>
                        <w:ind w:firstLine="0"/>
                        <w:jc w:val="right"/>
                        <w:rPr>
                          <w:rFonts w:cs="Arial"/>
                          <w:color w:val="FFFFFF"/>
                          <w:sz w:val="28"/>
                          <w:szCs w:val="28"/>
                        </w:rPr>
                      </w:pPr>
                      <w:r w:rsidRPr="002F34F2">
                        <w:rPr>
                          <w:rFonts w:cs="Arial"/>
                          <w:color w:val="FFFFFF"/>
                          <w:sz w:val="28"/>
                          <w:szCs w:val="28"/>
                        </w:rPr>
                        <w:t>2025, UTENA</w:t>
                      </w:r>
                    </w:p>
                  </w:txbxContent>
                </v:textbox>
                <w10:wrap type="square"/>
              </v:shape>
            </w:pict>
          </mc:Fallback>
        </mc:AlternateContent>
      </w:r>
      <w:r w:rsidR="006761A2" w:rsidRPr="007C4F3A">
        <w:rPr>
          <w:rFonts w:cs="Arial"/>
          <w:noProof/>
          <w:lang w:eastAsia="lt-LT"/>
        </w:rPr>
        <w:drawing>
          <wp:anchor distT="0" distB="0" distL="114300" distR="114300" simplePos="0" relativeHeight="251642880" behindDoc="1" locked="0" layoutInCell="1" allowOverlap="1" wp14:anchorId="6E9C7354" wp14:editId="12E4F60B">
            <wp:simplePos x="0" y="0"/>
            <wp:positionH relativeFrom="page">
              <wp:align>center</wp:align>
            </wp:positionH>
            <wp:positionV relativeFrom="paragraph">
              <wp:posOffset>-930910</wp:posOffset>
            </wp:positionV>
            <wp:extent cx="7924800" cy="10888980"/>
            <wp:effectExtent l="0" t="0" r="0" b="7620"/>
            <wp:wrapNone/>
            <wp:docPr id="5" name="Picture 11" descr="A blue screen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11" descr="A blue screen with white dots&#10;&#10;Description automatically generated"/>
                    <pic:cNvPicPr/>
                  </pic:nvPicPr>
                  <pic:blipFill>
                    <a:blip r:embed="rId11"/>
                    <a:stretch>
                      <a:fillRect/>
                    </a:stretch>
                  </pic:blipFill>
                  <pic:spPr>
                    <a:xfrm>
                      <a:off x="0" y="0"/>
                      <a:ext cx="7924800" cy="108889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71D2D" w:rsidRPr="007C4F3A">
        <w:br w:type="page"/>
      </w:r>
    </w:p>
    <w:p w14:paraId="249D173F" w14:textId="77777777" w:rsidR="00072670" w:rsidRPr="007C4F3A" w:rsidRDefault="00072670" w:rsidP="00447448">
      <w:pPr>
        <w:pStyle w:val="Antrat1"/>
        <w:ind w:firstLine="0"/>
      </w:pPr>
      <w:bookmarkStart w:id="0" w:name="_Toc159421930"/>
      <w:bookmarkStart w:id="1" w:name="_Toc160544934"/>
      <w:bookmarkStart w:id="2" w:name="_Toc161166361"/>
      <w:bookmarkStart w:id="3" w:name="_Toc179180649"/>
    </w:p>
    <w:p w14:paraId="02681C46" w14:textId="08078C46" w:rsidR="008A4986" w:rsidRPr="007C4F3A" w:rsidRDefault="00F71D2D" w:rsidP="00CE7F18">
      <w:pPr>
        <w:pStyle w:val="Antrat1"/>
        <w:jc w:val="center"/>
      </w:pPr>
      <w:bookmarkStart w:id="4" w:name="_Toc181026736"/>
      <w:bookmarkStart w:id="5" w:name="_Toc183123832"/>
      <w:bookmarkStart w:id="6" w:name="_Toc197939605"/>
      <w:r w:rsidRPr="007C4F3A">
        <w:rPr>
          <w:rFonts w:cs="Arial"/>
          <w:noProof/>
          <w:lang w:eastAsia="lt-LT"/>
        </w:rPr>
        <mc:AlternateContent>
          <mc:Choice Requires="wps">
            <w:drawing>
              <wp:anchor distT="0" distB="0" distL="114300" distR="114300" simplePos="0" relativeHeight="251593728" behindDoc="0" locked="0" layoutInCell="1" allowOverlap="1" wp14:anchorId="21D5F222" wp14:editId="756D9350">
                <wp:simplePos x="0" y="0"/>
                <wp:positionH relativeFrom="column">
                  <wp:posOffset>1533525</wp:posOffset>
                </wp:positionH>
                <wp:positionV relativeFrom="paragraph">
                  <wp:posOffset>5495925</wp:posOffset>
                </wp:positionV>
                <wp:extent cx="5342884" cy="0"/>
                <wp:effectExtent l="0" t="0" r="0" b="0"/>
                <wp:wrapNone/>
                <wp:docPr id="6" name="Straight Connector 1"/>
                <wp:cNvGraphicFramePr/>
                <a:graphic xmlns:a="http://schemas.openxmlformats.org/drawingml/2006/main">
                  <a:graphicData uri="http://schemas.microsoft.com/office/word/2010/wordprocessingShape">
                    <wps:wsp>
                      <wps:cNvCnPr/>
                      <wps:spPr>
                        <a:xfrm>
                          <a:off x="0" y="0"/>
                          <a:ext cx="5342884" cy="0"/>
                        </a:xfrm>
                        <a:prstGeom prst="straightConnector1">
                          <a:avLst/>
                        </a:prstGeom>
                        <a:noFill/>
                        <a:ln w="19046" cap="flat">
                          <a:solidFill>
                            <a:srgbClr val="FFFFFF"/>
                          </a:solidFill>
                          <a:prstDash val="solid"/>
                          <a:miter/>
                        </a:ln>
                      </wps:spPr>
                      <wps:bodyPr/>
                    </wps:wsp>
                  </a:graphicData>
                </a:graphic>
              </wp:anchor>
            </w:drawing>
          </mc:Choice>
          <mc:Fallback>
            <w:pict>
              <v:shapetype w14:anchorId="30A8A183" id="_x0000_t32" coordsize="21600,21600" o:spt="32" o:oned="t" path="m,l21600,21600e" filled="f">
                <v:path arrowok="t" fillok="f" o:connecttype="none"/>
                <o:lock v:ext="edit" shapetype="t"/>
              </v:shapetype>
              <v:shape id="Straight Connector 1" o:spid="_x0000_s1026" type="#_x0000_t32" style="position:absolute;margin-left:120.75pt;margin-top:432.75pt;width:420.7pt;height:0;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" strokecolor="white" strokeweight=".52906mm">
                <v:stroke joinstyle="miter"/>
              </v:shape>
            </w:pict>
          </mc:Fallback>
        </mc:AlternateContent>
      </w:r>
      <w:bookmarkStart w:id="7" w:name="_Toc73109023"/>
      <w:bookmarkStart w:id="8" w:name="_Toc104108682"/>
      <w:bookmarkStart w:id="9" w:name="_Toc104811457"/>
      <w:bookmarkStart w:id="10" w:name="_Toc112939320"/>
      <w:r w:rsidRPr="007C4F3A">
        <w:rPr>
          <w:rFonts w:cs="Arial"/>
          <w:noProof/>
          <w:lang w:eastAsia="lt-LT"/>
        </w:rPr>
        <mc:AlternateContent>
          <mc:Choice Requires="wps">
            <w:drawing>
              <wp:anchor distT="0" distB="0" distL="114300" distR="114300" simplePos="0" relativeHeight="251618304" behindDoc="0" locked="0" layoutInCell="1" allowOverlap="1" wp14:anchorId="7DB86568" wp14:editId="07B95C1A">
                <wp:simplePos x="0" y="0"/>
                <wp:positionH relativeFrom="column">
                  <wp:posOffset>455295</wp:posOffset>
                </wp:positionH>
                <wp:positionV relativeFrom="paragraph">
                  <wp:posOffset>4474210</wp:posOffset>
                </wp:positionV>
                <wp:extent cx="5342884" cy="0"/>
                <wp:effectExtent l="0" t="0" r="0" b="0"/>
                <wp:wrapNone/>
                <wp:docPr id="23822997" name="Straight Connector 1"/>
                <wp:cNvGraphicFramePr/>
                <a:graphic xmlns:a="http://schemas.openxmlformats.org/drawingml/2006/main">
                  <a:graphicData uri="http://schemas.microsoft.com/office/word/2010/wordprocessingShape">
                    <wps:wsp>
                      <wps:cNvCnPr/>
                      <wps:spPr>
                        <a:xfrm>
                          <a:off x="0" y="0"/>
                          <a:ext cx="5342884" cy="0"/>
                        </a:xfrm>
                        <a:prstGeom prst="straightConnector1">
                          <a:avLst/>
                        </a:prstGeom>
                        <a:noFill/>
                        <a:ln w="19046" cap="flat">
                          <a:solidFill>
                            <a:srgbClr val="FFFFFF"/>
                          </a:solidFill>
                          <a:prstDash val="solid"/>
                          <a:miter/>
                        </a:ln>
                      </wps:spPr>
                      <wps:bodyPr/>
                    </wps:wsp>
                  </a:graphicData>
                </a:graphic>
              </wp:anchor>
            </w:drawing>
          </mc:Choice>
          <mc:Fallback>
            <w:pict>
              <v:shape w14:anchorId="68AA727A" id="Straight Connector 1" o:spid="_x0000_s1026" type="#_x0000_t32" style="position:absolute;margin-left:35.85pt;margin-top:352.3pt;width:420.7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" strokecolor="white" strokeweight=".52906mm">
                <v:stroke joinstyle="miter"/>
              </v:shape>
            </w:pict>
          </mc:Fallback>
        </mc:AlternateContent>
      </w:r>
      <w:bookmarkStart w:id="11" w:name="_Toc117772546"/>
      <w:bookmarkStart w:id="12" w:name="_Toc126935464"/>
      <w:r w:rsidR="008A4986" w:rsidRPr="007C4F3A">
        <w:t>LENTELIŲ SĄRAŠAS</w:t>
      </w:r>
      <w:bookmarkEnd w:id="0"/>
      <w:bookmarkEnd w:id="1"/>
      <w:bookmarkEnd w:id="2"/>
      <w:bookmarkEnd w:id="3"/>
      <w:bookmarkEnd w:id="4"/>
      <w:bookmarkEnd w:id="5"/>
      <w:bookmarkEnd w:id="6"/>
      <w:bookmarkEnd w:id="7"/>
      <w:bookmarkEnd w:id="8"/>
      <w:bookmarkEnd w:id="9"/>
      <w:bookmarkEnd w:id="10"/>
      <w:bookmarkEnd w:id="11"/>
      <w:bookmarkEnd w:id="12"/>
    </w:p>
    <w:p w14:paraId="447AC7A2" w14:textId="5B62925E" w:rsidR="007D069E" w:rsidRPr="007D069E" w:rsidRDefault="00F61A00">
      <w:pPr>
        <w:pStyle w:val="Turinys1"/>
        <w:rPr>
          <w:rFonts w:asciiTheme="minorHAnsi" w:eastAsiaTheme="minorEastAsia" w:hAnsiTheme="minorHAnsi" w:cstheme="minorBidi"/>
          <w:b w:val="0"/>
          <w:bCs w:val="0"/>
          <w:color w:val="auto"/>
          <w:kern w:val="2"/>
          <w:sz w:val="24"/>
          <w:szCs w:val="24"/>
          <w:lang w:eastAsia="lt-LT"/>
          <w14:ligatures w14:val="standardContextual"/>
        </w:rPr>
      </w:pPr>
      <w:r w:rsidRPr="007D069E">
        <w:fldChar w:fldCharType="begin"/>
      </w:r>
      <w:r w:rsidRPr="007D069E">
        <w:instrText xml:space="preserve"> TOC \h \z \t "Lentelės L;1" </w:instrText>
      </w:r>
      <w:r w:rsidRPr="007D069E">
        <w:fldChar w:fldCharType="separate"/>
      </w:r>
      <w:hyperlink w:anchor="_Toc198807810" w:history="1">
        <w:r w:rsidR="007D069E" w:rsidRPr="007D069E">
          <w:rPr>
            <w:rStyle w:val="Hipersaitas"/>
            <w:b w:val="0"/>
            <w:bCs w:val="0"/>
          </w:rPr>
          <w:t>1.2.1. lentelė. Gimstamumas, mirtingumas ir natūrali gyventojų kaita, 2020–2024 m.</w:t>
        </w:r>
        <w:r w:rsidR="007D069E" w:rsidRPr="007D069E">
          <w:rPr>
            <w:b w:val="0"/>
            <w:bCs w:val="0"/>
            <w:webHidden/>
          </w:rPr>
          <w:tab/>
        </w:r>
        <w:r w:rsidR="007D069E" w:rsidRPr="007D069E">
          <w:rPr>
            <w:b w:val="0"/>
            <w:bCs w:val="0"/>
            <w:webHidden/>
          </w:rPr>
          <w:fldChar w:fldCharType="begin"/>
        </w:r>
        <w:r w:rsidR="007D069E" w:rsidRPr="007D069E">
          <w:rPr>
            <w:b w:val="0"/>
            <w:bCs w:val="0"/>
            <w:webHidden/>
          </w:rPr>
          <w:instrText xml:space="preserve"> PAGEREF _Toc198807810 \h </w:instrText>
        </w:r>
        <w:r w:rsidR="007D069E" w:rsidRPr="007D069E">
          <w:rPr>
            <w:b w:val="0"/>
            <w:bCs w:val="0"/>
            <w:webHidden/>
          </w:rPr>
        </w:r>
        <w:r w:rsidR="007D069E" w:rsidRPr="007D069E">
          <w:rPr>
            <w:b w:val="0"/>
            <w:bCs w:val="0"/>
            <w:webHidden/>
          </w:rPr>
          <w:fldChar w:fldCharType="separate"/>
        </w:r>
        <w:r w:rsidR="007D069E" w:rsidRPr="007D069E">
          <w:rPr>
            <w:b w:val="0"/>
            <w:bCs w:val="0"/>
            <w:webHidden/>
          </w:rPr>
          <w:t>10</w:t>
        </w:r>
        <w:r w:rsidR="007D069E" w:rsidRPr="007D069E">
          <w:rPr>
            <w:b w:val="0"/>
            <w:bCs w:val="0"/>
            <w:webHidden/>
          </w:rPr>
          <w:fldChar w:fldCharType="end"/>
        </w:r>
      </w:hyperlink>
    </w:p>
    <w:p w14:paraId="354970A3" w14:textId="38951A1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1" w:history="1">
        <w:r w:rsidRPr="007D069E">
          <w:rPr>
            <w:rStyle w:val="Hipersaitas"/>
            <w:b w:val="0"/>
            <w:bCs w:val="0"/>
          </w:rPr>
          <w:t>1.2.2. lentelė. Vidaus ir tarptautinė neto migracija 2019–2023 m.</w:t>
        </w:r>
        <w:r w:rsidRPr="007D069E">
          <w:rPr>
            <w:b w:val="0"/>
            <w:bCs w:val="0"/>
            <w:webHidden/>
          </w:rPr>
          <w:tab/>
        </w:r>
        <w:r w:rsidRPr="007D069E">
          <w:rPr>
            <w:b w:val="0"/>
            <w:bCs w:val="0"/>
            <w:webHidden/>
          </w:rPr>
          <w:fldChar w:fldCharType="begin"/>
        </w:r>
        <w:r w:rsidRPr="007D069E">
          <w:rPr>
            <w:b w:val="0"/>
            <w:bCs w:val="0"/>
            <w:webHidden/>
          </w:rPr>
          <w:instrText xml:space="preserve"> PAGEREF _Toc198807811 \h </w:instrText>
        </w:r>
        <w:r w:rsidRPr="007D069E">
          <w:rPr>
            <w:b w:val="0"/>
            <w:bCs w:val="0"/>
            <w:webHidden/>
          </w:rPr>
        </w:r>
        <w:r w:rsidRPr="007D069E">
          <w:rPr>
            <w:b w:val="0"/>
            <w:bCs w:val="0"/>
            <w:webHidden/>
          </w:rPr>
          <w:fldChar w:fldCharType="separate"/>
        </w:r>
        <w:r w:rsidRPr="007D069E">
          <w:rPr>
            <w:b w:val="0"/>
            <w:bCs w:val="0"/>
            <w:webHidden/>
          </w:rPr>
          <w:t>10</w:t>
        </w:r>
        <w:r w:rsidRPr="007D069E">
          <w:rPr>
            <w:b w:val="0"/>
            <w:bCs w:val="0"/>
            <w:webHidden/>
          </w:rPr>
          <w:fldChar w:fldCharType="end"/>
        </w:r>
      </w:hyperlink>
    </w:p>
    <w:p w14:paraId="5D72EE70" w14:textId="77DC7D94"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2" w:history="1">
        <w:r w:rsidRPr="007D069E">
          <w:rPr>
            <w:rStyle w:val="Hipersaitas"/>
            <w:b w:val="0"/>
            <w:bCs w:val="0"/>
          </w:rPr>
          <w:t>1.2.3. lentelė. Gyventojų sudėtis pagal amžių, 2020–2024 m. (proc.)</w:t>
        </w:r>
        <w:r w:rsidRPr="007D069E">
          <w:rPr>
            <w:b w:val="0"/>
            <w:bCs w:val="0"/>
            <w:webHidden/>
          </w:rPr>
          <w:tab/>
        </w:r>
        <w:r w:rsidRPr="007D069E">
          <w:rPr>
            <w:b w:val="0"/>
            <w:bCs w:val="0"/>
            <w:webHidden/>
          </w:rPr>
          <w:fldChar w:fldCharType="begin"/>
        </w:r>
        <w:r w:rsidRPr="007D069E">
          <w:rPr>
            <w:b w:val="0"/>
            <w:bCs w:val="0"/>
            <w:webHidden/>
          </w:rPr>
          <w:instrText xml:space="preserve"> PAGEREF _Toc198807812 \h </w:instrText>
        </w:r>
        <w:r w:rsidRPr="007D069E">
          <w:rPr>
            <w:b w:val="0"/>
            <w:bCs w:val="0"/>
            <w:webHidden/>
          </w:rPr>
        </w:r>
        <w:r w:rsidRPr="007D069E">
          <w:rPr>
            <w:b w:val="0"/>
            <w:bCs w:val="0"/>
            <w:webHidden/>
          </w:rPr>
          <w:fldChar w:fldCharType="separate"/>
        </w:r>
        <w:r w:rsidRPr="007D069E">
          <w:rPr>
            <w:b w:val="0"/>
            <w:bCs w:val="0"/>
            <w:webHidden/>
          </w:rPr>
          <w:t>11</w:t>
        </w:r>
        <w:r w:rsidRPr="007D069E">
          <w:rPr>
            <w:b w:val="0"/>
            <w:bCs w:val="0"/>
            <w:webHidden/>
          </w:rPr>
          <w:fldChar w:fldCharType="end"/>
        </w:r>
      </w:hyperlink>
    </w:p>
    <w:p w14:paraId="1D3214A2" w14:textId="7CFE6F36"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3" w:history="1">
        <w:r w:rsidRPr="007D069E">
          <w:rPr>
            <w:rStyle w:val="Hipersaitas"/>
            <w:b w:val="0"/>
            <w:bCs w:val="0"/>
          </w:rPr>
          <w:t>1.3.1. lentelė. Pagrindiniai žaliąją infrastruktūra reglamentuojantys teisės aktai</w:t>
        </w:r>
        <w:r w:rsidRPr="007D069E">
          <w:rPr>
            <w:b w:val="0"/>
            <w:bCs w:val="0"/>
            <w:webHidden/>
          </w:rPr>
          <w:tab/>
        </w:r>
        <w:r w:rsidRPr="007D069E">
          <w:rPr>
            <w:b w:val="0"/>
            <w:bCs w:val="0"/>
            <w:webHidden/>
          </w:rPr>
          <w:fldChar w:fldCharType="begin"/>
        </w:r>
        <w:r w:rsidRPr="007D069E">
          <w:rPr>
            <w:b w:val="0"/>
            <w:bCs w:val="0"/>
            <w:webHidden/>
          </w:rPr>
          <w:instrText xml:space="preserve"> PAGEREF _Toc198807813 \h </w:instrText>
        </w:r>
        <w:r w:rsidRPr="007D069E">
          <w:rPr>
            <w:b w:val="0"/>
            <w:bCs w:val="0"/>
            <w:webHidden/>
          </w:rPr>
        </w:r>
        <w:r w:rsidRPr="007D069E">
          <w:rPr>
            <w:b w:val="0"/>
            <w:bCs w:val="0"/>
            <w:webHidden/>
          </w:rPr>
          <w:fldChar w:fldCharType="separate"/>
        </w:r>
        <w:r w:rsidRPr="007D069E">
          <w:rPr>
            <w:b w:val="0"/>
            <w:bCs w:val="0"/>
            <w:webHidden/>
          </w:rPr>
          <w:t>13</w:t>
        </w:r>
        <w:r w:rsidRPr="007D069E">
          <w:rPr>
            <w:b w:val="0"/>
            <w:bCs w:val="0"/>
            <w:webHidden/>
          </w:rPr>
          <w:fldChar w:fldCharType="end"/>
        </w:r>
      </w:hyperlink>
    </w:p>
    <w:p w14:paraId="254E4B71" w14:textId="54976156"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4" w:history="1">
        <w:r w:rsidRPr="007D069E">
          <w:rPr>
            <w:rStyle w:val="Hipersaitas"/>
            <w:b w:val="0"/>
            <w:bCs w:val="0"/>
          </w:rPr>
          <w:t>1.4.1. lentelė. Problemos ir jų priežastys</w:t>
        </w:r>
        <w:r w:rsidRPr="007D069E">
          <w:rPr>
            <w:b w:val="0"/>
            <w:bCs w:val="0"/>
            <w:webHidden/>
          </w:rPr>
          <w:tab/>
        </w:r>
        <w:r w:rsidRPr="007D069E">
          <w:rPr>
            <w:b w:val="0"/>
            <w:bCs w:val="0"/>
            <w:webHidden/>
          </w:rPr>
          <w:fldChar w:fldCharType="begin"/>
        </w:r>
        <w:r w:rsidRPr="007D069E">
          <w:rPr>
            <w:b w:val="0"/>
            <w:bCs w:val="0"/>
            <w:webHidden/>
          </w:rPr>
          <w:instrText xml:space="preserve"> PAGEREF _Toc198807814 \h </w:instrText>
        </w:r>
        <w:r w:rsidRPr="007D069E">
          <w:rPr>
            <w:b w:val="0"/>
            <w:bCs w:val="0"/>
            <w:webHidden/>
          </w:rPr>
        </w:r>
        <w:r w:rsidRPr="007D069E">
          <w:rPr>
            <w:b w:val="0"/>
            <w:bCs w:val="0"/>
            <w:webHidden/>
          </w:rPr>
          <w:fldChar w:fldCharType="separate"/>
        </w:r>
        <w:r w:rsidRPr="007D069E">
          <w:rPr>
            <w:b w:val="0"/>
            <w:bCs w:val="0"/>
            <w:webHidden/>
          </w:rPr>
          <w:t>15</w:t>
        </w:r>
        <w:r w:rsidRPr="007D069E">
          <w:rPr>
            <w:b w:val="0"/>
            <w:bCs w:val="0"/>
            <w:webHidden/>
          </w:rPr>
          <w:fldChar w:fldCharType="end"/>
        </w:r>
      </w:hyperlink>
    </w:p>
    <w:p w14:paraId="47B0F78E" w14:textId="0CEF1DE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5" w:history="1">
        <w:r w:rsidRPr="007D069E">
          <w:rPr>
            <w:rStyle w:val="Hipersaitas"/>
            <w:b w:val="0"/>
            <w:bCs w:val="0"/>
          </w:rPr>
          <w:t>2.2.1. lentelė. Susiję projektai</w:t>
        </w:r>
        <w:r w:rsidRPr="007D069E">
          <w:rPr>
            <w:b w:val="0"/>
            <w:bCs w:val="0"/>
            <w:webHidden/>
          </w:rPr>
          <w:tab/>
        </w:r>
        <w:r w:rsidRPr="007D069E">
          <w:rPr>
            <w:b w:val="0"/>
            <w:bCs w:val="0"/>
            <w:webHidden/>
          </w:rPr>
          <w:fldChar w:fldCharType="begin"/>
        </w:r>
        <w:r w:rsidRPr="007D069E">
          <w:rPr>
            <w:b w:val="0"/>
            <w:bCs w:val="0"/>
            <w:webHidden/>
          </w:rPr>
          <w:instrText xml:space="preserve"> PAGEREF _Toc198807815 \h </w:instrText>
        </w:r>
        <w:r w:rsidRPr="007D069E">
          <w:rPr>
            <w:b w:val="0"/>
            <w:bCs w:val="0"/>
            <w:webHidden/>
          </w:rPr>
        </w:r>
        <w:r w:rsidRPr="007D069E">
          <w:rPr>
            <w:b w:val="0"/>
            <w:bCs w:val="0"/>
            <w:webHidden/>
          </w:rPr>
          <w:fldChar w:fldCharType="separate"/>
        </w:r>
        <w:r w:rsidRPr="007D069E">
          <w:rPr>
            <w:b w:val="0"/>
            <w:bCs w:val="0"/>
            <w:webHidden/>
          </w:rPr>
          <w:t>16</w:t>
        </w:r>
        <w:r w:rsidRPr="007D069E">
          <w:rPr>
            <w:b w:val="0"/>
            <w:bCs w:val="0"/>
            <w:webHidden/>
          </w:rPr>
          <w:fldChar w:fldCharType="end"/>
        </w:r>
      </w:hyperlink>
    </w:p>
    <w:p w14:paraId="6B15E3B1" w14:textId="49617E0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6" w:history="1">
        <w:r w:rsidRPr="007D069E">
          <w:rPr>
            <w:rStyle w:val="Hipersaitas"/>
            <w:b w:val="0"/>
            <w:bCs w:val="0"/>
          </w:rPr>
          <w:t>2.3.1. lentelė. Investicijų projekto tikslinė grupė ir poveikis jos lūkesčiams</w:t>
        </w:r>
        <w:r w:rsidRPr="007D069E">
          <w:rPr>
            <w:b w:val="0"/>
            <w:bCs w:val="0"/>
            <w:webHidden/>
          </w:rPr>
          <w:tab/>
        </w:r>
        <w:r w:rsidRPr="007D069E">
          <w:rPr>
            <w:b w:val="0"/>
            <w:bCs w:val="0"/>
            <w:webHidden/>
          </w:rPr>
          <w:fldChar w:fldCharType="begin"/>
        </w:r>
        <w:r w:rsidRPr="007D069E">
          <w:rPr>
            <w:b w:val="0"/>
            <w:bCs w:val="0"/>
            <w:webHidden/>
          </w:rPr>
          <w:instrText xml:space="preserve"> PAGEREF _Toc198807816 \h </w:instrText>
        </w:r>
        <w:r w:rsidRPr="007D069E">
          <w:rPr>
            <w:b w:val="0"/>
            <w:bCs w:val="0"/>
            <w:webHidden/>
          </w:rPr>
        </w:r>
        <w:r w:rsidRPr="007D069E">
          <w:rPr>
            <w:b w:val="0"/>
            <w:bCs w:val="0"/>
            <w:webHidden/>
          </w:rPr>
          <w:fldChar w:fldCharType="separate"/>
        </w:r>
        <w:r w:rsidRPr="007D069E">
          <w:rPr>
            <w:b w:val="0"/>
            <w:bCs w:val="0"/>
            <w:webHidden/>
          </w:rPr>
          <w:t>18</w:t>
        </w:r>
        <w:r w:rsidRPr="007D069E">
          <w:rPr>
            <w:b w:val="0"/>
            <w:bCs w:val="0"/>
            <w:webHidden/>
          </w:rPr>
          <w:fldChar w:fldCharType="end"/>
        </w:r>
      </w:hyperlink>
    </w:p>
    <w:p w14:paraId="41CCE6BA" w14:textId="2221487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7" w:history="1">
        <w:r w:rsidRPr="007D069E">
          <w:rPr>
            <w:rStyle w:val="Hipersaitas"/>
            <w:b w:val="0"/>
            <w:bCs w:val="0"/>
          </w:rPr>
          <w:t>2.4.1. lentelė. Projekto organizacijos rekvizitai</w:t>
        </w:r>
        <w:r w:rsidRPr="007D069E">
          <w:rPr>
            <w:b w:val="0"/>
            <w:bCs w:val="0"/>
            <w:webHidden/>
          </w:rPr>
          <w:tab/>
        </w:r>
        <w:r w:rsidRPr="007D069E">
          <w:rPr>
            <w:b w:val="0"/>
            <w:bCs w:val="0"/>
            <w:webHidden/>
          </w:rPr>
          <w:fldChar w:fldCharType="begin"/>
        </w:r>
        <w:r w:rsidRPr="007D069E">
          <w:rPr>
            <w:b w:val="0"/>
            <w:bCs w:val="0"/>
            <w:webHidden/>
          </w:rPr>
          <w:instrText xml:space="preserve"> PAGEREF _Toc198807817 \h </w:instrText>
        </w:r>
        <w:r w:rsidRPr="007D069E">
          <w:rPr>
            <w:b w:val="0"/>
            <w:bCs w:val="0"/>
            <w:webHidden/>
          </w:rPr>
        </w:r>
        <w:r w:rsidRPr="007D069E">
          <w:rPr>
            <w:b w:val="0"/>
            <w:bCs w:val="0"/>
            <w:webHidden/>
          </w:rPr>
          <w:fldChar w:fldCharType="separate"/>
        </w:r>
        <w:r w:rsidRPr="007D069E">
          <w:rPr>
            <w:b w:val="0"/>
            <w:bCs w:val="0"/>
            <w:webHidden/>
          </w:rPr>
          <w:t>19</w:t>
        </w:r>
        <w:r w:rsidRPr="007D069E">
          <w:rPr>
            <w:b w:val="0"/>
            <w:bCs w:val="0"/>
            <w:webHidden/>
          </w:rPr>
          <w:fldChar w:fldCharType="end"/>
        </w:r>
      </w:hyperlink>
    </w:p>
    <w:p w14:paraId="6CBC36EC" w14:textId="27B259EF"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8" w:history="1">
        <w:r w:rsidRPr="007D069E">
          <w:rPr>
            <w:rStyle w:val="Hipersaitas"/>
            <w:rFonts w:eastAsia="Calibri"/>
            <w:b w:val="0"/>
            <w:bCs w:val="0"/>
            <w:lang w:eastAsia="en-GB"/>
          </w:rPr>
          <w:t>3.2.1. lentelė. Aukštakalnio kvartalo apimtys</w:t>
        </w:r>
        <w:r w:rsidRPr="007D069E">
          <w:rPr>
            <w:b w:val="0"/>
            <w:bCs w:val="0"/>
            <w:webHidden/>
          </w:rPr>
          <w:tab/>
        </w:r>
        <w:r w:rsidRPr="007D069E">
          <w:rPr>
            <w:b w:val="0"/>
            <w:bCs w:val="0"/>
            <w:webHidden/>
          </w:rPr>
          <w:fldChar w:fldCharType="begin"/>
        </w:r>
        <w:r w:rsidRPr="007D069E">
          <w:rPr>
            <w:b w:val="0"/>
            <w:bCs w:val="0"/>
            <w:webHidden/>
          </w:rPr>
          <w:instrText xml:space="preserve"> PAGEREF _Toc198807818 \h </w:instrText>
        </w:r>
        <w:r w:rsidRPr="007D069E">
          <w:rPr>
            <w:b w:val="0"/>
            <w:bCs w:val="0"/>
            <w:webHidden/>
          </w:rPr>
        </w:r>
        <w:r w:rsidRPr="007D069E">
          <w:rPr>
            <w:b w:val="0"/>
            <w:bCs w:val="0"/>
            <w:webHidden/>
          </w:rPr>
          <w:fldChar w:fldCharType="separate"/>
        </w:r>
        <w:r w:rsidRPr="007D069E">
          <w:rPr>
            <w:b w:val="0"/>
            <w:bCs w:val="0"/>
            <w:webHidden/>
          </w:rPr>
          <w:t>23</w:t>
        </w:r>
        <w:r w:rsidRPr="007D069E">
          <w:rPr>
            <w:b w:val="0"/>
            <w:bCs w:val="0"/>
            <w:webHidden/>
          </w:rPr>
          <w:fldChar w:fldCharType="end"/>
        </w:r>
      </w:hyperlink>
    </w:p>
    <w:p w14:paraId="0B93F546" w14:textId="609B32F4"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19" w:history="1">
        <w:r w:rsidRPr="007D069E">
          <w:rPr>
            <w:rStyle w:val="Hipersaitas"/>
            <w:b w:val="0"/>
            <w:bCs w:val="0"/>
          </w:rPr>
          <w:t>4.3.1.1. lentelė. Investicijų pasiskirstymas pagal metus</w:t>
        </w:r>
        <w:r w:rsidRPr="007D069E">
          <w:rPr>
            <w:b w:val="0"/>
            <w:bCs w:val="0"/>
            <w:webHidden/>
          </w:rPr>
          <w:tab/>
        </w:r>
        <w:r w:rsidRPr="007D069E">
          <w:rPr>
            <w:b w:val="0"/>
            <w:bCs w:val="0"/>
            <w:webHidden/>
          </w:rPr>
          <w:fldChar w:fldCharType="begin"/>
        </w:r>
        <w:r w:rsidRPr="007D069E">
          <w:rPr>
            <w:b w:val="0"/>
            <w:bCs w:val="0"/>
            <w:webHidden/>
          </w:rPr>
          <w:instrText xml:space="preserve"> PAGEREF _Toc198807819 \h </w:instrText>
        </w:r>
        <w:r w:rsidRPr="007D069E">
          <w:rPr>
            <w:b w:val="0"/>
            <w:bCs w:val="0"/>
            <w:webHidden/>
          </w:rPr>
        </w:r>
        <w:r w:rsidRPr="007D069E">
          <w:rPr>
            <w:b w:val="0"/>
            <w:bCs w:val="0"/>
            <w:webHidden/>
          </w:rPr>
          <w:fldChar w:fldCharType="separate"/>
        </w:r>
        <w:r w:rsidRPr="007D069E">
          <w:rPr>
            <w:b w:val="0"/>
            <w:bCs w:val="0"/>
            <w:webHidden/>
          </w:rPr>
          <w:t>27</w:t>
        </w:r>
        <w:r w:rsidRPr="007D069E">
          <w:rPr>
            <w:b w:val="0"/>
            <w:bCs w:val="0"/>
            <w:webHidden/>
          </w:rPr>
          <w:fldChar w:fldCharType="end"/>
        </w:r>
      </w:hyperlink>
    </w:p>
    <w:p w14:paraId="46352385" w14:textId="2284D476"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0" w:history="1">
        <w:r w:rsidRPr="007D069E">
          <w:rPr>
            <w:rStyle w:val="Hipersaitas"/>
            <w:b w:val="0"/>
            <w:bCs w:val="0"/>
          </w:rPr>
          <w:t>4.3.6.1. lentelė. Projekto lėšų srautų finansavimo pasiskirstymas</w:t>
        </w:r>
        <w:r w:rsidRPr="007D069E">
          <w:rPr>
            <w:b w:val="0"/>
            <w:bCs w:val="0"/>
            <w:webHidden/>
          </w:rPr>
          <w:tab/>
        </w:r>
        <w:r w:rsidRPr="007D069E">
          <w:rPr>
            <w:b w:val="0"/>
            <w:bCs w:val="0"/>
            <w:webHidden/>
          </w:rPr>
          <w:fldChar w:fldCharType="begin"/>
        </w:r>
        <w:r w:rsidRPr="007D069E">
          <w:rPr>
            <w:b w:val="0"/>
            <w:bCs w:val="0"/>
            <w:webHidden/>
          </w:rPr>
          <w:instrText xml:space="preserve"> PAGEREF _Toc198807820 \h </w:instrText>
        </w:r>
        <w:r w:rsidRPr="007D069E">
          <w:rPr>
            <w:b w:val="0"/>
            <w:bCs w:val="0"/>
            <w:webHidden/>
          </w:rPr>
        </w:r>
        <w:r w:rsidRPr="007D069E">
          <w:rPr>
            <w:b w:val="0"/>
            <w:bCs w:val="0"/>
            <w:webHidden/>
          </w:rPr>
          <w:fldChar w:fldCharType="separate"/>
        </w:r>
        <w:r w:rsidRPr="007D069E">
          <w:rPr>
            <w:b w:val="0"/>
            <w:bCs w:val="0"/>
            <w:webHidden/>
          </w:rPr>
          <w:t>29</w:t>
        </w:r>
        <w:r w:rsidRPr="007D069E">
          <w:rPr>
            <w:b w:val="0"/>
            <w:bCs w:val="0"/>
            <w:webHidden/>
          </w:rPr>
          <w:fldChar w:fldCharType="end"/>
        </w:r>
      </w:hyperlink>
    </w:p>
    <w:p w14:paraId="7FA07BC8" w14:textId="56F2A6E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1" w:history="1">
        <w:r w:rsidRPr="007D069E">
          <w:rPr>
            <w:rStyle w:val="Hipersaitas"/>
            <w:b w:val="0"/>
            <w:bCs w:val="0"/>
          </w:rPr>
          <w:t>5.3.1. lentelė. Projektui taikomi naudos komponentai</w:t>
        </w:r>
        <w:r w:rsidRPr="007D069E">
          <w:rPr>
            <w:b w:val="0"/>
            <w:bCs w:val="0"/>
            <w:webHidden/>
          </w:rPr>
          <w:tab/>
        </w:r>
        <w:r w:rsidRPr="007D069E">
          <w:rPr>
            <w:b w:val="0"/>
            <w:bCs w:val="0"/>
            <w:webHidden/>
          </w:rPr>
          <w:fldChar w:fldCharType="begin"/>
        </w:r>
        <w:r w:rsidRPr="007D069E">
          <w:rPr>
            <w:b w:val="0"/>
            <w:bCs w:val="0"/>
            <w:webHidden/>
          </w:rPr>
          <w:instrText xml:space="preserve"> PAGEREF _Toc198807821 \h </w:instrText>
        </w:r>
        <w:r w:rsidRPr="007D069E">
          <w:rPr>
            <w:b w:val="0"/>
            <w:bCs w:val="0"/>
            <w:webHidden/>
          </w:rPr>
        </w:r>
        <w:r w:rsidRPr="007D069E">
          <w:rPr>
            <w:b w:val="0"/>
            <w:bCs w:val="0"/>
            <w:webHidden/>
          </w:rPr>
          <w:fldChar w:fldCharType="separate"/>
        </w:r>
        <w:r w:rsidRPr="007D069E">
          <w:rPr>
            <w:b w:val="0"/>
            <w:bCs w:val="0"/>
            <w:webHidden/>
          </w:rPr>
          <w:t>34</w:t>
        </w:r>
        <w:r w:rsidRPr="007D069E">
          <w:rPr>
            <w:b w:val="0"/>
            <w:bCs w:val="0"/>
            <w:webHidden/>
          </w:rPr>
          <w:fldChar w:fldCharType="end"/>
        </w:r>
      </w:hyperlink>
    </w:p>
    <w:p w14:paraId="4AB99906" w14:textId="7816BA05"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2" w:history="1">
        <w:r w:rsidRPr="007D069E">
          <w:rPr>
            <w:rStyle w:val="Hipersaitas"/>
            <w:b w:val="0"/>
            <w:bCs w:val="0"/>
          </w:rPr>
          <w:t>5.3.2. lentelė. Pasirinktų kriterijų masto ir finansinės-ekonominės vertės vertinimas</w:t>
        </w:r>
        <w:r w:rsidRPr="007D069E">
          <w:rPr>
            <w:b w:val="0"/>
            <w:bCs w:val="0"/>
            <w:webHidden/>
          </w:rPr>
          <w:tab/>
        </w:r>
        <w:r w:rsidRPr="007D069E">
          <w:rPr>
            <w:b w:val="0"/>
            <w:bCs w:val="0"/>
            <w:webHidden/>
          </w:rPr>
          <w:fldChar w:fldCharType="begin"/>
        </w:r>
        <w:r w:rsidRPr="007D069E">
          <w:rPr>
            <w:b w:val="0"/>
            <w:bCs w:val="0"/>
            <w:webHidden/>
          </w:rPr>
          <w:instrText xml:space="preserve"> PAGEREF _Toc198807822 \h </w:instrText>
        </w:r>
        <w:r w:rsidRPr="007D069E">
          <w:rPr>
            <w:b w:val="0"/>
            <w:bCs w:val="0"/>
            <w:webHidden/>
          </w:rPr>
        </w:r>
        <w:r w:rsidRPr="007D069E">
          <w:rPr>
            <w:b w:val="0"/>
            <w:bCs w:val="0"/>
            <w:webHidden/>
          </w:rPr>
          <w:fldChar w:fldCharType="separate"/>
        </w:r>
        <w:r w:rsidRPr="007D069E">
          <w:rPr>
            <w:b w:val="0"/>
            <w:bCs w:val="0"/>
            <w:webHidden/>
          </w:rPr>
          <w:t>34</w:t>
        </w:r>
        <w:r w:rsidRPr="007D069E">
          <w:rPr>
            <w:b w:val="0"/>
            <w:bCs w:val="0"/>
            <w:webHidden/>
          </w:rPr>
          <w:fldChar w:fldCharType="end"/>
        </w:r>
      </w:hyperlink>
    </w:p>
    <w:p w14:paraId="4D304E46" w14:textId="5764551C"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3" w:history="1">
        <w:r w:rsidRPr="007D069E">
          <w:rPr>
            <w:rStyle w:val="Hipersaitas"/>
            <w:rFonts w:eastAsia="Calibri"/>
            <w:b w:val="0"/>
            <w:bCs w:val="0"/>
            <w:lang w:eastAsia="lt-LT" w:bidi="lo-LA"/>
          </w:rPr>
          <w:t>6.1.4.1. lentelė. Projekto alternatyvos kritiniai kintamieji ir jų lūžio taškai</w:t>
        </w:r>
        <w:r w:rsidRPr="007D069E">
          <w:rPr>
            <w:b w:val="0"/>
            <w:bCs w:val="0"/>
            <w:webHidden/>
          </w:rPr>
          <w:tab/>
        </w:r>
        <w:r w:rsidRPr="007D069E">
          <w:rPr>
            <w:b w:val="0"/>
            <w:bCs w:val="0"/>
            <w:webHidden/>
          </w:rPr>
          <w:fldChar w:fldCharType="begin"/>
        </w:r>
        <w:r w:rsidRPr="007D069E">
          <w:rPr>
            <w:b w:val="0"/>
            <w:bCs w:val="0"/>
            <w:webHidden/>
          </w:rPr>
          <w:instrText xml:space="preserve"> PAGEREF _Toc198807823 \h </w:instrText>
        </w:r>
        <w:r w:rsidRPr="007D069E">
          <w:rPr>
            <w:b w:val="0"/>
            <w:bCs w:val="0"/>
            <w:webHidden/>
          </w:rPr>
        </w:r>
        <w:r w:rsidRPr="007D069E">
          <w:rPr>
            <w:b w:val="0"/>
            <w:bCs w:val="0"/>
            <w:webHidden/>
          </w:rPr>
          <w:fldChar w:fldCharType="separate"/>
        </w:r>
        <w:r w:rsidRPr="007D069E">
          <w:rPr>
            <w:b w:val="0"/>
            <w:bCs w:val="0"/>
            <w:webHidden/>
          </w:rPr>
          <w:t>37</w:t>
        </w:r>
        <w:r w:rsidRPr="007D069E">
          <w:rPr>
            <w:b w:val="0"/>
            <w:bCs w:val="0"/>
            <w:webHidden/>
          </w:rPr>
          <w:fldChar w:fldCharType="end"/>
        </w:r>
      </w:hyperlink>
    </w:p>
    <w:p w14:paraId="5137BE20" w14:textId="1C711564"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4" w:history="1">
        <w:r w:rsidRPr="007D069E">
          <w:rPr>
            <w:rStyle w:val="Hipersaitas"/>
            <w:rFonts w:eastAsia="Calibri"/>
            <w:b w:val="0"/>
            <w:bCs w:val="0"/>
            <w:lang w:eastAsia="lt-LT" w:bidi="lo-LA"/>
          </w:rPr>
          <w:t>6.4.4.1. lentelė. Optimalios projekto alternatyvos rizikų vertinimas</w:t>
        </w:r>
        <w:r w:rsidRPr="007D069E">
          <w:rPr>
            <w:b w:val="0"/>
            <w:bCs w:val="0"/>
            <w:webHidden/>
          </w:rPr>
          <w:tab/>
        </w:r>
        <w:r w:rsidRPr="007D069E">
          <w:rPr>
            <w:b w:val="0"/>
            <w:bCs w:val="0"/>
            <w:webHidden/>
          </w:rPr>
          <w:fldChar w:fldCharType="begin"/>
        </w:r>
        <w:r w:rsidRPr="007D069E">
          <w:rPr>
            <w:b w:val="0"/>
            <w:bCs w:val="0"/>
            <w:webHidden/>
          </w:rPr>
          <w:instrText xml:space="preserve"> PAGEREF _Toc198807824 \h </w:instrText>
        </w:r>
        <w:r w:rsidRPr="007D069E">
          <w:rPr>
            <w:b w:val="0"/>
            <w:bCs w:val="0"/>
            <w:webHidden/>
          </w:rPr>
        </w:r>
        <w:r w:rsidRPr="007D069E">
          <w:rPr>
            <w:b w:val="0"/>
            <w:bCs w:val="0"/>
            <w:webHidden/>
          </w:rPr>
          <w:fldChar w:fldCharType="separate"/>
        </w:r>
        <w:r w:rsidRPr="007D069E">
          <w:rPr>
            <w:b w:val="0"/>
            <w:bCs w:val="0"/>
            <w:webHidden/>
          </w:rPr>
          <w:t>40</w:t>
        </w:r>
        <w:r w:rsidRPr="007D069E">
          <w:rPr>
            <w:b w:val="0"/>
            <w:bCs w:val="0"/>
            <w:webHidden/>
          </w:rPr>
          <w:fldChar w:fldCharType="end"/>
        </w:r>
      </w:hyperlink>
    </w:p>
    <w:p w14:paraId="6285C4A3" w14:textId="08D01A5E"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5" w:history="1">
        <w:r w:rsidRPr="007D069E">
          <w:rPr>
            <w:rStyle w:val="Hipersaitas"/>
            <w:b w:val="0"/>
            <w:bCs w:val="0"/>
          </w:rPr>
          <w:t>6.6.1. lentelė. Projekto rizikų grupės, veikiantys veiksniai ir rizikų valdymo būdai</w:t>
        </w:r>
        <w:r w:rsidRPr="007D069E">
          <w:rPr>
            <w:b w:val="0"/>
            <w:bCs w:val="0"/>
            <w:webHidden/>
          </w:rPr>
          <w:tab/>
        </w:r>
        <w:r w:rsidRPr="007D069E">
          <w:rPr>
            <w:b w:val="0"/>
            <w:bCs w:val="0"/>
            <w:webHidden/>
          </w:rPr>
          <w:fldChar w:fldCharType="begin"/>
        </w:r>
        <w:r w:rsidRPr="007D069E">
          <w:rPr>
            <w:b w:val="0"/>
            <w:bCs w:val="0"/>
            <w:webHidden/>
          </w:rPr>
          <w:instrText xml:space="preserve"> PAGEREF _Toc198807825 \h </w:instrText>
        </w:r>
        <w:r w:rsidRPr="007D069E">
          <w:rPr>
            <w:b w:val="0"/>
            <w:bCs w:val="0"/>
            <w:webHidden/>
          </w:rPr>
        </w:r>
        <w:r w:rsidRPr="007D069E">
          <w:rPr>
            <w:b w:val="0"/>
            <w:bCs w:val="0"/>
            <w:webHidden/>
          </w:rPr>
          <w:fldChar w:fldCharType="separate"/>
        </w:r>
        <w:r w:rsidRPr="007D069E">
          <w:rPr>
            <w:b w:val="0"/>
            <w:bCs w:val="0"/>
            <w:webHidden/>
          </w:rPr>
          <w:t>41</w:t>
        </w:r>
        <w:r w:rsidRPr="007D069E">
          <w:rPr>
            <w:b w:val="0"/>
            <w:bCs w:val="0"/>
            <w:webHidden/>
          </w:rPr>
          <w:fldChar w:fldCharType="end"/>
        </w:r>
      </w:hyperlink>
    </w:p>
    <w:p w14:paraId="40D59A73" w14:textId="160F251E"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26" w:history="1">
        <w:r w:rsidRPr="007D069E">
          <w:rPr>
            <w:rStyle w:val="Hipersaitas"/>
            <w:b w:val="0"/>
            <w:bCs w:val="0"/>
          </w:rPr>
          <w:t>7.5.2. lentelė. Siekiami rodikliai</w:t>
        </w:r>
        <w:r w:rsidRPr="007D069E">
          <w:rPr>
            <w:b w:val="0"/>
            <w:bCs w:val="0"/>
            <w:webHidden/>
          </w:rPr>
          <w:tab/>
        </w:r>
        <w:r w:rsidRPr="007D069E">
          <w:rPr>
            <w:b w:val="0"/>
            <w:bCs w:val="0"/>
            <w:webHidden/>
          </w:rPr>
          <w:fldChar w:fldCharType="begin"/>
        </w:r>
        <w:r w:rsidRPr="007D069E">
          <w:rPr>
            <w:b w:val="0"/>
            <w:bCs w:val="0"/>
            <w:webHidden/>
          </w:rPr>
          <w:instrText xml:space="preserve"> PAGEREF _Toc198807826 \h </w:instrText>
        </w:r>
        <w:r w:rsidRPr="007D069E">
          <w:rPr>
            <w:b w:val="0"/>
            <w:bCs w:val="0"/>
            <w:webHidden/>
          </w:rPr>
        </w:r>
        <w:r w:rsidRPr="007D069E">
          <w:rPr>
            <w:b w:val="0"/>
            <w:bCs w:val="0"/>
            <w:webHidden/>
          </w:rPr>
          <w:fldChar w:fldCharType="separate"/>
        </w:r>
        <w:r w:rsidRPr="007D069E">
          <w:rPr>
            <w:b w:val="0"/>
            <w:bCs w:val="0"/>
            <w:webHidden/>
          </w:rPr>
          <w:t>46</w:t>
        </w:r>
        <w:r w:rsidRPr="007D069E">
          <w:rPr>
            <w:b w:val="0"/>
            <w:bCs w:val="0"/>
            <w:webHidden/>
          </w:rPr>
          <w:fldChar w:fldCharType="end"/>
        </w:r>
      </w:hyperlink>
    </w:p>
    <w:p w14:paraId="27A89399" w14:textId="5D930392" w:rsidR="00990B45" w:rsidRPr="007D069E" w:rsidRDefault="00F61A00">
      <w:pPr>
        <w:ind w:firstLine="0"/>
        <w:jc w:val="left"/>
      </w:pPr>
      <w:r w:rsidRPr="007D069E">
        <w:fldChar w:fldCharType="end"/>
      </w:r>
      <w:bookmarkStart w:id="13" w:name="_Toc73109024"/>
      <w:bookmarkStart w:id="14" w:name="_Toc104108683"/>
      <w:bookmarkStart w:id="15" w:name="_Toc104811458"/>
      <w:bookmarkStart w:id="16" w:name="_Toc112939321"/>
      <w:bookmarkStart w:id="17" w:name="_Toc117772547"/>
      <w:bookmarkStart w:id="18" w:name="_Toc126935465"/>
      <w:bookmarkStart w:id="19" w:name="_Toc159421931"/>
      <w:bookmarkStart w:id="20" w:name="_Toc160544935"/>
      <w:bookmarkStart w:id="21" w:name="_Toc161166362"/>
      <w:r w:rsidR="00990B45" w:rsidRPr="007D069E">
        <w:br w:type="page"/>
      </w:r>
    </w:p>
    <w:p w14:paraId="078C44D2" w14:textId="77777777" w:rsidR="00990B45" w:rsidRPr="007C4F3A" w:rsidRDefault="008A4986" w:rsidP="003460FD">
      <w:pPr>
        <w:pStyle w:val="Antrat1"/>
        <w:spacing w:before="0" w:after="0" w:line="360" w:lineRule="auto"/>
        <w:jc w:val="center"/>
      </w:pPr>
      <w:bookmarkStart w:id="22" w:name="_Toc179180650"/>
      <w:bookmarkStart w:id="23" w:name="_Toc181026737"/>
      <w:bookmarkStart w:id="24" w:name="_Toc183123833"/>
      <w:bookmarkStart w:id="25" w:name="_Toc197939606"/>
      <w:r w:rsidRPr="007C4F3A">
        <w:lastRenderedPageBreak/>
        <w:t>Paveikslų sąraša</w:t>
      </w:r>
      <w:bookmarkStart w:id="26" w:name="_Toc66112291"/>
      <w:bookmarkStart w:id="27" w:name="_Toc73109025"/>
      <w:bookmarkEnd w:id="13"/>
      <w:bookmarkEnd w:id="14"/>
      <w:r w:rsidR="000218DC" w:rsidRPr="007C4F3A">
        <w:t>s</w:t>
      </w:r>
      <w:bookmarkEnd w:id="15"/>
      <w:bookmarkEnd w:id="16"/>
      <w:bookmarkEnd w:id="17"/>
      <w:bookmarkEnd w:id="18"/>
      <w:bookmarkEnd w:id="19"/>
      <w:bookmarkEnd w:id="20"/>
      <w:bookmarkEnd w:id="21"/>
      <w:bookmarkEnd w:id="22"/>
      <w:bookmarkEnd w:id="23"/>
      <w:bookmarkEnd w:id="24"/>
      <w:bookmarkEnd w:id="25"/>
    </w:p>
    <w:p w14:paraId="03359519" w14:textId="77777777" w:rsidR="00072670" w:rsidRPr="007C4F3A" w:rsidRDefault="00072670" w:rsidP="00072670"/>
    <w:bookmarkStart w:id="28" w:name="_Toc104108684"/>
    <w:bookmarkStart w:id="29" w:name="_Toc104811459"/>
    <w:p w14:paraId="5CA1B3E6" w14:textId="0CB58347" w:rsidR="007D069E" w:rsidRPr="007D069E" w:rsidRDefault="00F61A00">
      <w:pPr>
        <w:pStyle w:val="Turinys1"/>
        <w:rPr>
          <w:rFonts w:asciiTheme="minorHAnsi" w:eastAsiaTheme="minorEastAsia" w:hAnsiTheme="minorHAnsi" w:cstheme="minorBidi"/>
          <w:b w:val="0"/>
          <w:bCs w:val="0"/>
          <w:color w:val="auto"/>
          <w:kern w:val="2"/>
          <w:sz w:val="24"/>
          <w:szCs w:val="24"/>
          <w:lang w:eastAsia="lt-LT"/>
          <w14:ligatures w14:val="standardContextual"/>
        </w:rPr>
      </w:pPr>
      <w:r w:rsidRPr="007C4F3A">
        <w:rPr>
          <w:b w:val="0"/>
          <w:bCs w:val="0"/>
        </w:rPr>
        <w:fldChar w:fldCharType="begin"/>
      </w:r>
      <w:r w:rsidRPr="007C4F3A">
        <w:rPr>
          <w:b w:val="0"/>
          <w:bCs w:val="0"/>
        </w:rPr>
        <w:instrText xml:space="preserve"> TOC \h \z \t "Paveikslas L;1" </w:instrText>
      </w:r>
      <w:r w:rsidRPr="007C4F3A">
        <w:rPr>
          <w:b w:val="0"/>
          <w:bCs w:val="0"/>
        </w:rPr>
        <w:fldChar w:fldCharType="separate"/>
      </w:r>
      <w:hyperlink w:anchor="_Toc198807829" w:history="1">
        <w:r w:rsidR="007D069E" w:rsidRPr="007D069E">
          <w:rPr>
            <w:rStyle w:val="Hipersaitas"/>
            <w:b w:val="0"/>
            <w:bCs w:val="0"/>
          </w:rPr>
          <w:t>1.1.1. pav. Utenos rajono savivaldybės geografinė padėtis</w:t>
        </w:r>
        <w:r w:rsidR="007D069E" w:rsidRPr="007D069E">
          <w:rPr>
            <w:b w:val="0"/>
            <w:bCs w:val="0"/>
            <w:webHidden/>
          </w:rPr>
          <w:tab/>
        </w:r>
        <w:r w:rsidR="007D069E" w:rsidRPr="007D069E">
          <w:rPr>
            <w:b w:val="0"/>
            <w:bCs w:val="0"/>
            <w:webHidden/>
          </w:rPr>
          <w:fldChar w:fldCharType="begin"/>
        </w:r>
        <w:r w:rsidR="007D069E" w:rsidRPr="007D069E">
          <w:rPr>
            <w:b w:val="0"/>
            <w:bCs w:val="0"/>
            <w:webHidden/>
          </w:rPr>
          <w:instrText xml:space="preserve"> PAGEREF _Toc198807829 \h </w:instrText>
        </w:r>
        <w:r w:rsidR="007D069E" w:rsidRPr="007D069E">
          <w:rPr>
            <w:b w:val="0"/>
            <w:bCs w:val="0"/>
            <w:webHidden/>
          </w:rPr>
        </w:r>
        <w:r w:rsidR="007D069E" w:rsidRPr="007D069E">
          <w:rPr>
            <w:b w:val="0"/>
            <w:bCs w:val="0"/>
            <w:webHidden/>
          </w:rPr>
          <w:fldChar w:fldCharType="separate"/>
        </w:r>
        <w:r w:rsidR="007D069E" w:rsidRPr="007D069E">
          <w:rPr>
            <w:b w:val="0"/>
            <w:bCs w:val="0"/>
            <w:webHidden/>
          </w:rPr>
          <w:t>7</w:t>
        </w:r>
        <w:r w:rsidR="007D069E" w:rsidRPr="007D069E">
          <w:rPr>
            <w:b w:val="0"/>
            <w:bCs w:val="0"/>
            <w:webHidden/>
          </w:rPr>
          <w:fldChar w:fldCharType="end"/>
        </w:r>
      </w:hyperlink>
    </w:p>
    <w:p w14:paraId="427F75CE" w14:textId="1DC7CFB9"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0" w:history="1">
        <w:r w:rsidRPr="007D069E">
          <w:rPr>
            <w:rStyle w:val="Hipersaitas"/>
            <w:b w:val="0"/>
            <w:bCs w:val="0"/>
          </w:rPr>
          <w:t>1.1.2. pav. Utenos miesto schema</w:t>
        </w:r>
        <w:r w:rsidRPr="007D069E">
          <w:rPr>
            <w:b w:val="0"/>
            <w:bCs w:val="0"/>
            <w:webHidden/>
          </w:rPr>
          <w:tab/>
        </w:r>
        <w:r w:rsidRPr="007D069E">
          <w:rPr>
            <w:b w:val="0"/>
            <w:bCs w:val="0"/>
            <w:webHidden/>
          </w:rPr>
          <w:fldChar w:fldCharType="begin"/>
        </w:r>
        <w:r w:rsidRPr="007D069E">
          <w:rPr>
            <w:b w:val="0"/>
            <w:bCs w:val="0"/>
            <w:webHidden/>
          </w:rPr>
          <w:instrText xml:space="preserve"> PAGEREF _Toc198807830 \h </w:instrText>
        </w:r>
        <w:r w:rsidRPr="007D069E">
          <w:rPr>
            <w:b w:val="0"/>
            <w:bCs w:val="0"/>
            <w:webHidden/>
          </w:rPr>
        </w:r>
        <w:r w:rsidRPr="007D069E">
          <w:rPr>
            <w:b w:val="0"/>
            <w:bCs w:val="0"/>
            <w:webHidden/>
          </w:rPr>
          <w:fldChar w:fldCharType="separate"/>
        </w:r>
        <w:r w:rsidRPr="007D069E">
          <w:rPr>
            <w:b w:val="0"/>
            <w:bCs w:val="0"/>
            <w:webHidden/>
          </w:rPr>
          <w:t>8</w:t>
        </w:r>
        <w:r w:rsidRPr="007D069E">
          <w:rPr>
            <w:b w:val="0"/>
            <w:bCs w:val="0"/>
            <w:webHidden/>
          </w:rPr>
          <w:fldChar w:fldCharType="end"/>
        </w:r>
      </w:hyperlink>
    </w:p>
    <w:p w14:paraId="2ED72991" w14:textId="0C50FF9B"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1" w:history="1">
        <w:r w:rsidRPr="007D069E">
          <w:rPr>
            <w:rStyle w:val="Hipersaitas"/>
            <w:rFonts w:eastAsia="Calibri"/>
            <w:b w:val="0"/>
            <w:bCs w:val="0"/>
            <w:lang w:eastAsia="lt-LT"/>
          </w:rPr>
          <w:t>1.1.3. pav. Nepralaidžių dangų ir žaliosios infrastruktūros santykis Utenos miesto dalyse (1 km</w:t>
        </w:r>
        <w:r w:rsidRPr="007D069E">
          <w:rPr>
            <w:rStyle w:val="Hipersaitas"/>
            <w:rFonts w:eastAsia="Calibri"/>
            <w:b w:val="0"/>
            <w:bCs w:val="0"/>
            <w:vertAlign w:val="superscript"/>
            <w:lang w:eastAsia="lt-LT"/>
          </w:rPr>
          <w:t>2</w:t>
        </w:r>
        <w:r w:rsidRPr="007D069E">
          <w:rPr>
            <w:rStyle w:val="Hipersaitas"/>
            <w:rFonts w:eastAsia="Calibri"/>
            <w:b w:val="0"/>
            <w:bCs w:val="0"/>
            <w:lang w:eastAsia="lt-LT"/>
          </w:rPr>
          <w:t xml:space="preserve"> dydžio gardelės), kuriose gyvena virš 1,5 tūkst. gyventojų</w:t>
        </w:r>
        <w:r w:rsidRPr="007D069E">
          <w:rPr>
            <w:b w:val="0"/>
            <w:bCs w:val="0"/>
            <w:webHidden/>
          </w:rPr>
          <w:tab/>
        </w:r>
        <w:r w:rsidRPr="007D069E">
          <w:rPr>
            <w:b w:val="0"/>
            <w:bCs w:val="0"/>
            <w:webHidden/>
          </w:rPr>
          <w:fldChar w:fldCharType="begin"/>
        </w:r>
        <w:r w:rsidRPr="007D069E">
          <w:rPr>
            <w:b w:val="0"/>
            <w:bCs w:val="0"/>
            <w:webHidden/>
          </w:rPr>
          <w:instrText xml:space="preserve"> PAGEREF _Toc198807831 \h </w:instrText>
        </w:r>
        <w:r w:rsidRPr="007D069E">
          <w:rPr>
            <w:b w:val="0"/>
            <w:bCs w:val="0"/>
            <w:webHidden/>
          </w:rPr>
        </w:r>
        <w:r w:rsidRPr="007D069E">
          <w:rPr>
            <w:b w:val="0"/>
            <w:bCs w:val="0"/>
            <w:webHidden/>
          </w:rPr>
          <w:fldChar w:fldCharType="separate"/>
        </w:r>
        <w:r w:rsidRPr="007D069E">
          <w:rPr>
            <w:b w:val="0"/>
            <w:bCs w:val="0"/>
            <w:webHidden/>
          </w:rPr>
          <w:t>9</w:t>
        </w:r>
        <w:r w:rsidRPr="007D069E">
          <w:rPr>
            <w:b w:val="0"/>
            <w:bCs w:val="0"/>
            <w:webHidden/>
          </w:rPr>
          <w:fldChar w:fldCharType="end"/>
        </w:r>
      </w:hyperlink>
    </w:p>
    <w:p w14:paraId="0F626F54" w14:textId="7FD78735"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2" w:history="1">
        <w:r w:rsidRPr="007D069E">
          <w:rPr>
            <w:rStyle w:val="Hipersaitas"/>
            <w:b w:val="0"/>
            <w:bCs w:val="0"/>
          </w:rPr>
          <w:t>1.2.2. pav. Paslaugos paklausos prognozė (nuolatinių gyventojų savivaldybėje skaičius)</w:t>
        </w:r>
        <w:r w:rsidRPr="007D069E">
          <w:rPr>
            <w:b w:val="0"/>
            <w:bCs w:val="0"/>
            <w:webHidden/>
          </w:rPr>
          <w:tab/>
        </w:r>
        <w:r w:rsidRPr="007D069E">
          <w:rPr>
            <w:b w:val="0"/>
            <w:bCs w:val="0"/>
            <w:webHidden/>
          </w:rPr>
          <w:fldChar w:fldCharType="begin"/>
        </w:r>
        <w:r w:rsidRPr="007D069E">
          <w:rPr>
            <w:b w:val="0"/>
            <w:bCs w:val="0"/>
            <w:webHidden/>
          </w:rPr>
          <w:instrText xml:space="preserve"> PAGEREF _Toc198807832 \h </w:instrText>
        </w:r>
        <w:r w:rsidRPr="007D069E">
          <w:rPr>
            <w:b w:val="0"/>
            <w:bCs w:val="0"/>
            <w:webHidden/>
          </w:rPr>
        </w:r>
        <w:r w:rsidRPr="007D069E">
          <w:rPr>
            <w:b w:val="0"/>
            <w:bCs w:val="0"/>
            <w:webHidden/>
          </w:rPr>
          <w:fldChar w:fldCharType="separate"/>
        </w:r>
        <w:r w:rsidRPr="007D069E">
          <w:rPr>
            <w:b w:val="0"/>
            <w:bCs w:val="0"/>
            <w:webHidden/>
          </w:rPr>
          <w:t>11</w:t>
        </w:r>
        <w:r w:rsidRPr="007D069E">
          <w:rPr>
            <w:b w:val="0"/>
            <w:bCs w:val="0"/>
            <w:webHidden/>
          </w:rPr>
          <w:fldChar w:fldCharType="end"/>
        </w:r>
      </w:hyperlink>
    </w:p>
    <w:p w14:paraId="4E55A036" w14:textId="517AA625"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3" w:history="1">
        <w:r w:rsidRPr="007D069E">
          <w:rPr>
            <w:rStyle w:val="Hipersaitas"/>
            <w:rFonts w:eastAsia="Calibri"/>
            <w:b w:val="0"/>
            <w:bCs w:val="0"/>
            <w:lang w:eastAsia="lt-LT"/>
          </w:rPr>
          <w:t>1.4.1. pav. Visuomenės apklausos respondentų pateikti atsakymai į klausimą: „Išrikiuokite į kurios miesto gamtinės aplinkos gerinimą turėtų būti nukreiptas vystymo prioritetas?“</w:t>
        </w:r>
        <w:r w:rsidRPr="007D069E">
          <w:rPr>
            <w:b w:val="0"/>
            <w:bCs w:val="0"/>
            <w:webHidden/>
          </w:rPr>
          <w:tab/>
        </w:r>
        <w:r w:rsidRPr="007D069E">
          <w:rPr>
            <w:b w:val="0"/>
            <w:bCs w:val="0"/>
            <w:webHidden/>
          </w:rPr>
          <w:fldChar w:fldCharType="begin"/>
        </w:r>
        <w:r w:rsidRPr="007D069E">
          <w:rPr>
            <w:b w:val="0"/>
            <w:bCs w:val="0"/>
            <w:webHidden/>
          </w:rPr>
          <w:instrText xml:space="preserve"> PAGEREF _Toc198807833 \h </w:instrText>
        </w:r>
        <w:r w:rsidRPr="007D069E">
          <w:rPr>
            <w:b w:val="0"/>
            <w:bCs w:val="0"/>
            <w:webHidden/>
          </w:rPr>
        </w:r>
        <w:r w:rsidRPr="007D069E">
          <w:rPr>
            <w:b w:val="0"/>
            <w:bCs w:val="0"/>
            <w:webHidden/>
          </w:rPr>
          <w:fldChar w:fldCharType="separate"/>
        </w:r>
        <w:r w:rsidRPr="007D069E">
          <w:rPr>
            <w:b w:val="0"/>
            <w:bCs w:val="0"/>
            <w:webHidden/>
          </w:rPr>
          <w:t>14</w:t>
        </w:r>
        <w:r w:rsidRPr="007D069E">
          <w:rPr>
            <w:b w:val="0"/>
            <w:bCs w:val="0"/>
            <w:webHidden/>
          </w:rPr>
          <w:fldChar w:fldCharType="end"/>
        </w:r>
      </w:hyperlink>
    </w:p>
    <w:p w14:paraId="45F02862" w14:textId="3E0EF609"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4" w:history="1">
        <w:r w:rsidRPr="007D069E">
          <w:rPr>
            <w:rStyle w:val="Hipersaitas"/>
            <w:b w:val="0"/>
            <w:bCs w:val="0"/>
          </w:rPr>
          <w:t>2.5.1. pav. Projekto problemos, tikslų, uždavinių ir siekiamo pokyčio sąsaja</w:t>
        </w:r>
        <w:r w:rsidRPr="007D069E">
          <w:rPr>
            <w:b w:val="0"/>
            <w:bCs w:val="0"/>
            <w:webHidden/>
          </w:rPr>
          <w:tab/>
        </w:r>
        <w:r w:rsidRPr="007D069E">
          <w:rPr>
            <w:b w:val="0"/>
            <w:bCs w:val="0"/>
            <w:webHidden/>
          </w:rPr>
          <w:fldChar w:fldCharType="begin"/>
        </w:r>
        <w:r w:rsidRPr="007D069E">
          <w:rPr>
            <w:b w:val="0"/>
            <w:bCs w:val="0"/>
            <w:webHidden/>
          </w:rPr>
          <w:instrText xml:space="preserve"> PAGEREF _Toc198807834 \h </w:instrText>
        </w:r>
        <w:r w:rsidRPr="007D069E">
          <w:rPr>
            <w:b w:val="0"/>
            <w:bCs w:val="0"/>
            <w:webHidden/>
          </w:rPr>
        </w:r>
        <w:r w:rsidRPr="007D069E">
          <w:rPr>
            <w:b w:val="0"/>
            <w:bCs w:val="0"/>
            <w:webHidden/>
          </w:rPr>
          <w:fldChar w:fldCharType="separate"/>
        </w:r>
        <w:r w:rsidRPr="007D069E">
          <w:rPr>
            <w:b w:val="0"/>
            <w:bCs w:val="0"/>
            <w:webHidden/>
          </w:rPr>
          <w:t>20</w:t>
        </w:r>
        <w:r w:rsidRPr="007D069E">
          <w:rPr>
            <w:b w:val="0"/>
            <w:bCs w:val="0"/>
            <w:webHidden/>
          </w:rPr>
          <w:fldChar w:fldCharType="end"/>
        </w:r>
      </w:hyperlink>
    </w:p>
    <w:p w14:paraId="294A1F9B" w14:textId="6BAAB6F1"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5" w:history="1">
        <w:r w:rsidRPr="007D069E">
          <w:rPr>
            <w:rStyle w:val="Hipersaitas"/>
            <w:rFonts w:eastAsia="Calibri"/>
            <w:b w:val="0"/>
            <w:bCs w:val="0"/>
            <w:lang w:eastAsia="en-GB"/>
          </w:rPr>
          <w:t>3.2.1. pav. Teritorijos schema</w:t>
        </w:r>
        <w:r w:rsidRPr="007D069E">
          <w:rPr>
            <w:b w:val="0"/>
            <w:bCs w:val="0"/>
            <w:webHidden/>
          </w:rPr>
          <w:tab/>
        </w:r>
        <w:r w:rsidRPr="007D069E">
          <w:rPr>
            <w:b w:val="0"/>
            <w:bCs w:val="0"/>
            <w:webHidden/>
          </w:rPr>
          <w:fldChar w:fldCharType="begin"/>
        </w:r>
        <w:r w:rsidRPr="007D069E">
          <w:rPr>
            <w:b w:val="0"/>
            <w:bCs w:val="0"/>
            <w:webHidden/>
          </w:rPr>
          <w:instrText xml:space="preserve"> PAGEREF _Toc198807835 \h </w:instrText>
        </w:r>
        <w:r w:rsidRPr="007D069E">
          <w:rPr>
            <w:b w:val="0"/>
            <w:bCs w:val="0"/>
            <w:webHidden/>
          </w:rPr>
        </w:r>
        <w:r w:rsidRPr="007D069E">
          <w:rPr>
            <w:b w:val="0"/>
            <w:bCs w:val="0"/>
            <w:webHidden/>
          </w:rPr>
          <w:fldChar w:fldCharType="separate"/>
        </w:r>
        <w:r w:rsidRPr="007D069E">
          <w:rPr>
            <w:b w:val="0"/>
            <w:bCs w:val="0"/>
            <w:webHidden/>
          </w:rPr>
          <w:t>21</w:t>
        </w:r>
        <w:r w:rsidRPr="007D069E">
          <w:rPr>
            <w:b w:val="0"/>
            <w:bCs w:val="0"/>
            <w:webHidden/>
          </w:rPr>
          <w:fldChar w:fldCharType="end"/>
        </w:r>
      </w:hyperlink>
    </w:p>
    <w:p w14:paraId="1BAB3548" w14:textId="2285F29D"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6" w:history="1">
        <w:r w:rsidRPr="007D069E">
          <w:rPr>
            <w:rStyle w:val="Hipersaitas"/>
            <w:rFonts w:eastAsia="Calibri"/>
            <w:b w:val="0"/>
            <w:bCs w:val="0"/>
            <w:lang w:eastAsia="en-GB"/>
          </w:rPr>
          <w:t>3.2.2. pav. Šiaurinės dalies teritorijos schema</w:t>
        </w:r>
        <w:r w:rsidRPr="007D069E">
          <w:rPr>
            <w:b w:val="0"/>
            <w:bCs w:val="0"/>
            <w:webHidden/>
          </w:rPr>
          <w:tab/>
        </w:r>
        <w:r w:rsidRPr="007D069E">
          <w:rPr>
            <w:b w:val="0"/>
            <w:bCs w:val="0"/>
            <w:webHidden/>
          </w:rPr>
          <w:fldChar w:fldCharType="begin"/>
        </w:r>
        <w:r w:rsidRPr="007D069E">
          <w:rPr>
            <w:b w:val="0"/>
            <w:bCs w:val="0"/>
            <w:webHidden/>
          </w:rPr>
          <w:instrText xml:space="preserve"> PAGEREF _Toc198807836 \h </w:instrText>
        </w:r>
        <w:r w:rsidRPr="007D069E">
          <w:rPr>
            <w:b w:val="0"/>
            <w:bCs w:val="0"/>
            <w:webHidden/>
          </w:rPr>
        </w:r>
        <w:r w:rsidRPr="007D069E">
          <w:rPr>
            <w:b w:val="0"/>
            <w:bCs w:val="0"/>
            <w:webHidden/>
          </w:rPr>
          <w:fldChar w:fldCharType="separate"/>
        </w:r>
        <w:r w:rsidRPr="007D069E">
          <w:rPr>
            <w:b w:val="0"/>
            <w:bCs w:val="0"/>
            <w:webHidden/>
          </w:rPr>
          <w:t>22</w:t>
        </w:r>
        <w:r w:rsidRPr="007D069E">
          <w:rPr>
            <w:b w:val="0"/>
            <w:bCs w:val="0"/>
            <w:webHidden/>
          </w:rPr>
          <w:fldChar w:fldCharType="end"/>
        </w:r>
      </w:hyperlink>
    </w:p>
    <w:p w14:paraId="1227D8EF" w14:textId="549AC96D" w:rsidR="007D069E" w:rsidRPr="007D069E" w:rsidRDefault="007D069E">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8807837" w:history="1">
        <w:r w:rsidRPr="007D069E">
          <w:rPr>
            <w:rStyle w:val="Hipersaitas"/>
            <w:rFonts w:eastAsia="Calibri"/>
            <w:b w:val="0"/>
            <w:bCs w:val="0"/>
            <w:lang w:eastAsia="en-GB"/>
          </w:rPr>
          <w:t>3.2.3. pav. Pietinės dalies teritorijos schema</w:t>
        </w:r>
        <w:r w:rsidRPr="007D069E">
          <w:rPr>
            <w:b w:val="0"/>
            <w:bCs w:val="0"/>
            <w:webHidden/>
          </w:rPr>
          <w:tab/>
        </w:r>
        <w:r w:rsidRPr="007D069E">
          <w:rPr>
            <w:b w:val="0"/>
            <w:bCs w:val="0"/>
            <w:webHidden/>
          </w:rPr>
          <w:fldChar w:fldCharType="begin"/>
        </w:r>
        <w:r w:rsidRPr="007D069E">
          <w:rPr>
            <w:b w:val="0"/>
            <w:bCs w:val="0"/>
            <w:webHidden/>
          </w:rPr>
          <w:instrText xml:space="preserve"> PAGEREF _Toc198807837 \h </w:instrText>
        </w:r>
        <w:r w:rsidRPr="007D069E">
          <w:rPr>
            <w:b w:val="0"/>
            <w:bCs w:val="0"/>
            <w:webHidden/>
          </w:rPr>
        </w:r>
        <w:r w:rsidRPr="007D069E">
          <w:rPr>
            <w:b w:val="0"/>
            <w:bCs w:val="0"/>
            <w:webHidden/>
          </w:rPr>
          <w:fldChar w:fldCharType="separate"/>
        </w:r>
        <w:r w:rsidRPr="007D069E">
          <w:rPr>
            <w:b w:val="0"/>
            <w:bCs w:val="0"/>
            <w:webHidden/>
          </w:rPr>
          <w:t>23</w:t>
        </w:r>
        <w:r w:rsidRPr="007D069E">
          <w:rPr>
            <w:b w:val="0"/>
            <w:bCs w:val="0"/>
            <w:webHidden/>
          </w:rPr>
          <w:fldChar w:fldCharType="end"/>
        </w:r>
      </w:hyperlink>
    </w:p>
    <w:p w14:paraId="1C969DD2" w14:textId="1DBA1122" w:rsidR="004E2B85" w:rsidRPr="007C4F3A" w:rsidRDefault="00F61A00" w:rsidP="004265F3">
      <w:pPr>
        <w:ind w:firstLine="0"/>
        <w:rPr>
          <w:rFonts w:eastAsiaTheme="majorEastAsia" w:cstheme="majorBidi"/>
          <w:b/>
          <w:caps/>
          <w:color w:val="1268B4"/>
          <w:sz w:val="28"/>
          <w:szCs w:val="32"/>
        </w:rPr>
      </w:pPr>
      <w:r w:rsidRPr="007C4F3A">
        <w:rPr>
          <w:rFonts w:cs="Arial"/>
          <w:color w:val="002060"/>
        </w:rPr>
        <w:fldChar w:fldCharType="end"/>
      </w:r>
      <w:r w:rsidR="004E2B85" w:rsidRPr="007C4F3A">
        <w:br w:type="page"/>
      </w:r>
    </w:p>
    <w:p w14:paraId="719C64C7" w14:textId="04D9C44F" w:rsidR="008A4986" w:rsidRPr="007C4F3A" w:rsidRDefault="008A4986" w:rsidP="00CE7F18">
      <w:pPr>
        <w:pStyle w:val="Antrat1"/>
        <w:jc w:val="center"/>
      </w:pPr>
      <w:bookmarkStart w:id="30" w:name="_Toc112939322"/>
      <w:bookmarkStart w:id="31" w:name="_Toc117772548"/>
      <w:bookmarkStart w:id="32" w:name="_Toc126935466"/>
      <w:bookmarkStart w:id="33" w:name="_Toc159421932"/>
      <w:bookmarkStart w:id="34" w:name="_Toc160544936"/>
      <w:bookmarkStart w:id="35" w:name="_Toc161166363"/>
      <w:bookmarkStart w:id="36" w:name="_Toc179180651"/>
      <w:bookmarkStart w:id="37" w:name="_Toc181026738"/>
      <w:bookmarkStart w:id="38" w:name="_Toc183123834"/>
      <w:bookmarkStart w:id="39" w:name="_Toc197939607"/>
      <w:r w:rsidRPr="007C4F3A">
        <w:lastRenderedPageBreak/>
        <w:t>SUTRUMPINIMAI, SĄVOKOS</w:t>
      </w:r>
      <w:bookmarkStart w:id="40" w:name="_Toc69804505"/>
      <w:bookmarkEnd w:id="26"/>
      <w:bookmarkEnd w:id="27"/>
      <w:bookmarkEnd w:id="28"/>
      <w:bookmarkEnd w:id="29"/>
      <w:bookmarkEnd w:id="30"/>
      <w:bookmarkEnd w:id="31"/>
      <w:bookmarkEnd w:id="32"/>
      <w:bookmarkEnd w:id="33"/>
      <w:bookmarkEnd w:id="34"/>
      <w:bookmarkEnd w:id="35"/>
      <w:bookmarkEnd w:id="36"/>
      <w:bookmarkEnd w:id="37"/>
      <w:bookmarkEnd w:id="38"/>
      <w:bookmarkEnd w:id="39"/>
    </w:p>
    <w:tbl>
      <w:tblPr>
        <w:tblW w:w="10205" w:type="dxa"/>
        <w:jc w:val="center"/>
        <w:tblLook w:val="04A0" w:firstRow="1" w:lastRow="0" w:firstColumn="1" w:lastColumn="0" w:noHBand="0" w:noVBand="1"/>
      </w:tblPr>
      <w:tblGrid>
        <w:gridCol w:w="1513"/>
        <w:gridCol w:w="8692"/>
      </w:tblGrid>
      <w:tr w:rsidR="00610251" w:rsidRPr="007C4F3A" w14:paraId="4192DDB7" w14:textId="77777777" w:rsidTr="00874E67">
        <w:trPr>
          <w:jc w:val="center"/>
        </w:trPr>
        <w:tc>
          <w:tcPr>
            <w:tcW w:w="1513" w:type="dxa"/>
          </w:tcPr>
          <w:p w14:paraId="6DFAC6BA"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D</w:t>
            </w:r>
          </w:p>
        </w:tc>
        <w:tc>
          <w:tcPr>
            <w:tcW w:w="8692" w:type="dxa"/>
          </w:tcPr>
          <w:p w14:paraId="48A6C9A7"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Diena</w:t>
            </w:r>
          </w:p>
        </w:tc>
      </w:tr>
      <w:tr w:rsidR="00AB725B" w:rsidRPr="007C4F3A" w14:paraId="51077762" w14:textId="77777777" w:rsidTr="00874E67">
        <w:trPr>
          <w:jc w:val="center"/>
        </w:trPr>
        <w:tc>
          <w:tcPr>
            <w:tcW w:w="1513" w:type="dxa"/>
          </w:tcPr>
          <w:p w14:paraId="240277CD" w14:textId="661D2889" w:rsidR="00AB725B" w:rsidRPr="007C4F3A" w:rsidRDefault="00AB725B" w:rsidP="00610251">
            <w:pPr>
              <w:spacing w:after="0" w:line="240" w:lineRule="auto"/>
              <w:ind w:firstLine="0"/>
              <w:rPr>
                <w:rFonts w:eastAsia="SimSun" w:cs="Arial"/>
                <w:b/>
                <w:color w:val="000000"/>
                <w:lang w:eastAsia="ja-JP"/>
              </w:rPr>
            </w:pPr>
            <w:r w:rsidRPr="007C4F3A">
              <w:rPr>
                <w:rFonts w:eastAsia="SimSun" w:cs="Arial"/>
                <w:b/>
                <w:color w:val="000000"/>
                <w:lang w:eastAsia="ja-JP"/>
              </w:rPr>
              <w:t>EBPO</w:t>
            </w:r>
          </w:p>
        </w:tc>
        <w:tc>
          <w:tcPr>
            <w:tcW w:w="8692" w:type="dxa"/>
          </w:tcPr>
          <w:p w14:paraId="0DBAC440" w14:textId="45EB3CEE" w:rsidR="00AB725B" w:rsidRPr="007C4F3A" w:rsidRDefault="00AB725B" w:rsidP="00610251">
            <w:pPr>
              <w:spacing w:after="0" w:line="240" w:lineRule="auto"/>
              <w:ind w:firstLine="0"/>
              <w:rPr>
                <w:rFonts w:eastAsia="SimSun" w:cs="Arial"/>
                <w:color w:val="000000"/>
                <w:lang w:eastAsia="ja-JP"/>
              </w:rPr>
            </w:pPr>
            <w:r w:rsidRPr="007C4F3A">
              <w:rPr>
                <w:rFonts w:eastAsia="SimSun" w:cs="Arial"/>
                <w:color w:val="000000"/>
                <w:lang w:eastAsia="ja-JP"/>
              </w:rPr>
              <w:t>Ekonominio bendradarbiavimo ir plėtros organizacija</w:t>
            </w:r>
          </w:p>
        </w:tc>
      </w:tr>
      <w:tr w:rsidR="00610251" w:rsidRPr="007C4F3A" w14:paraId="4C7EB20D" w14:textId="77777777" w:rsidTr="00874E67">
        <w:trPr>
          <w:jc w:val="center"/>
        </w:trPr>
        <w:tc>
          <w:tcPr>
            <w:tcW w:w="1513" w:type="dxa"/>
          </w:tcPr>
          <w:p w14:paraId="3A508B59"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EGDV</w:t>
            </w:r>
          </w:p>
        </w:tc>
        <w:tc>
          <w:tcPr>
            <w:tcW w:w="8692" w:type="dxa"/>
          </w:tcPr>
          <w:p w14:paraId="3EFEB551"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Ekonominė grynoji dabartinė vertė</w:t>
            </w:r>
          </w:p>
        </w:tc>
      </w:tr>
      <w:tr w:rsidR="00610251" w:rsidRPr="007C4F3A" w14:paraId="41C101E1" w14:textId="77777777" w:rsidTr="00874E67">
        <w:trPr>
          <w:jc w:val="center"/>
        </w:trPr>
        <w:tc>
          <w:tcPr>
            <w:tcW w:w="1513" w:type="dxa"/>
          </w:tcPr>
          <w:p w14:paraId="33817D75"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ENIS</w:t>
            </w:r>
          </w:p>
        </w:tc>
        <w:tc>
          <w:tcPr>
            <w:tcW w:w="8692" w:type="dxa"/>
          </w:tcPr>
          <w:p w14:paraId="09B6B817"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Ekonominės naudos ir sąnaudų santykis</w:t>
            </w:r>
          </w:p>
        </w:tc>
      </w:tr>
      <w:tr w:rsidR="00610251" w:rsidRPr="007C4F3A" w14:paraId="49E883B6" w14:textId="77777777" w:rsidTr="00874E67">
        <w:trPr>
          <w:jc w:val="center"/>
        </w:trPr>
        <w:tc>
          <w:tcPr>
            <w:tcW w:w="1513" w:type="dxa"/>
          </w:tcPr>
          <w:p w14:paraId="2471DF12"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ERPF</w:t>
            </w:r>
          </w:p>
        </w:tc>
        <w:tc>
          <w:tcPr>
            <w:tcW w:w="8692" w:type="dxa"/>
          </w:tcPr>
          <w:p w14:paraId="3F877035"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Europos regioninis plėtros fondas</w:t>
            </w:r>
          </w:p>
        </w:tc>
      </w:tr>
      <w:tr w:rsidR="00610251" w:rsidRPr="007C4F3A" w14:paraId="77F26A62" w14:textId="77777777" w:rsidTr="00874E67">
        <w:trPr>
          <w:jc w:val="center"/>
        </w:trPr>
        <w:tc>
          <w:tcPr>
            <w:tcW w:w="1513" w:type="dxa"/>
          </w:tcPr>
          <w:p w14:paraId="7811AA84"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ES</w:t>
            </w:r>
          </w:p>
        </w:tc>
        <w:tc>
          <w:tcPr>
            <w:tcW w:w="8692" w:type="dxa"/>
          </w:tcPr>
          <w:p w14:paraId="58C77C25"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Europos Sąjunga</w:t>
            </w:r>
          </w:p>
        </w:tc>
      </w:tr>
      <w:tr w:rsidR="00610251" w:rsidRPr="007C4F3A" w14:paraId="255A9F18" w14:textId="77777777" w:rsidTr="00874E67">
        <w:trPr>
          <w:jc w:val="center"/>
        </w:trPr>
        <w:tc>
          <w:tcPr>
            <w:tcW w:w="1513" w:type="dxa"/>
          </w:tcPr>
          <w:p w14:paraId="29E834BA"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EVGN</w:t>
            </w:r>
          </w:p>
        </w:tc>
        <w:tc>
          <w:tcPr>
            <w:tcW w:w="8692" w:type="dxa"/>
          </w:tcPr>
          <w:p w14:paraId="4C3B989D"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Ekonominė vidinė grąžos norma</w:t>
            </w:r>
          </w:p>
        </w:tc>
      </w:tr>
      <w:tr w:rsidR="00610251" w:rsidRPr="007C4F3A" w14:paraId="6ABF38CD" w14:textId="77777777" w:rsidTr="00874E67">
        <w:trPr>
          <w:jc w:val="center"/>
        </w:trPr>
        <w:tc>
          <w:tcPr>
            <w:tcW w:w="1513" w:type="dxa"/>
          </w:tcPr>
          <w:p w14:paraId="20963051"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EUR</w:t>
            </w:r>
          </w:p>
        </w:tc>
        <w:tc>
          <w:tcPr>
            <w:tcW w:w="8692" w:type="dxa"/>
          </w:tcPr>
          <w:p w14:paraId="3CC849AD"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Euras</w:t>
            </w:r>
          </w:p>
        </w:tc>
      </w:tr>
      <w:tr w:rsidR="00610251" w:rsidRPr="007C4F3A" w14:paraId="41FC42F1" w14:textId="77777777" w:rsidTr="00874E67">
        <w:trPr>
          <w:jc w:val="center"/>
        </w:trPr>
        <w:tc>
          <w:tcPr>
            <w:tcW w:w="1513" w:type="dxa"/>
          </w:tcPr>
          <w:p w14:paraId="44F31133"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GYV.</w:t>
            </w:r>
          </w:p>
        </w:tc>
        <w:tc>
          <w:tcPr>
            <w:tcW w:w="8692" w:type="dxa"/>
          </w:tcPr>
          <w:p w14:paraId="3BE7AD9D"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 xml:space="preserve">Gyventojai </w:t>
            </w:r>
          </w:p>
        </w:tc>
      </w:tr>
      <w:tr w:rsidR="00610251" w:rsidRPr="007C4F3A" w14:paraId="70034582" w14:textId="77777777" w:rsidTr="00874E67">
        <w:trPr>
          <w:jc w:val="center"/>
        </w:trPr>
        <w:tc>
          <w:tcPr>
            <w:tcW w:w="1513" w:type="dxa"/>
          </w:tcPr>
          <w:p w14:paraId="05A0E867"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FGDV</w:t>
            </w:r>
          </w:p>
        </w:tc>
        <w:tc>
          <w:tcPr>
            <w:tcW w:w="8692" w:type="dxa"/>
          </w:tcPr>
          <w:p w14:paraId="09006A86"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Finansinė grynoji dabartinė vertė</w:t>
            </w:r>
          </w:p>
        </w:tc>
      </w:tr>
      <w:tr w:rsidR="00610251" w:rsidRPr="007C4F3A" w14:paraId="4AA981CF" w14:textId="77777777" w:rsidTr="00874E67">
        <w:trPr>
          <w:jc w:val="center"/>
        </w:trPr>
        <w:tc>
          <w:tcPr>
            <w:tcW w:w="1513" w:type="dxa"/>
          </w:tcPr>
          <w:p w14:paraId="488E7A39"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FGDV(I)</w:t>
            </w:r>
          </w:p>
        </w:tc>
        <w:tc>
          <w:tcPr>
            <w:tcW w:w="8692" w:type="dxa"/>
          </w:tcPr>
          <w:p w14:paraId="1CF3A910"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Finansinė grynoji dabartinė vertė investicijoms</w:t>
            </w:r>
          </w:p>
        </w:tc>
      </w:tr>
      <w:tr w:rsidR="00610251" w:rsidRPr="007C4F3A" w14:paraId="60273C93" w14:textId="77777777" w:rsidTr="00874E67">
        <w:trPr>
          <w:jc w:val="center"/>
        </w:trPr>
        <w:tc>
          <w:tcPr>
            <w:tcW w:w="1513" w:type="dxa"/>
          </w:tcPr>
          <w:p w14:paraId="63E5C879"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FGDV(K)</w:t>
            </w:r>
          </w:p>
        </w:tc>
        <w:tc>
          <w:tcPr>
            <w:tcW w:w="8692" w:type="dxa"/>
          </w:tcPr>
          <w:p w14:paraId="0148C7D7"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Finansinė grynoji dabartinė vertė kapitalui</w:t>
            </w:r>
          </w:p>
        </w:tc>
      </w:tr>
      <w:tr w:rsidR="00610251" w:rsidRPr="007C4F3A" w14:paraId="5BF590F2" w14:textId="77777777" w:rsidTr="00874E67">
        <w:trPr>
          <w:jc w:val="center"/>
        </w:trPr>
        <w:tc>
          <w:tcPr>
            <w:tcW w:w="1513" w:type="dxa"/>
          </w:tcPr>
          <w:p w14:paraId="5C4BB974"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FDN</w:t>
            </w:r>
          </w:p>
        </w:tc>
        <w:tc>
          <w:tcPr>
            <w:tcW w:w="8692" w:type="dxa"/>
          </w:tcPr>
          <w:p w14:paraId="60168B94"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Finansinė diskonto norma</w:t>
            </w:r>
          </w:p>
        </w:tc>
      </w:tr>
      <w:tr w:rsidR="00610251" w:rsidRPr="007C4F3A" w14:paraId="700630AE" w14:textId="77777777" w:rsidTr="00874E67">
        <w:trPr>
          <w:jc w:val="center"/>
        </w:trPr>
        <w:tc>
          <w:tcPr>
            <w:tcW w:w="1513" w:type="dxa"/>
          </w:tcPr>
          <w:p w14:paraId="76C66821"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FNIS</w:t>
            </w:r>
          </w:p>
        </w:tc>
        <w:tc>
          <w:tcPr>
            <w:tcW w:w="8692" w:type="dxa"/>
          </w:tcPr>
          <w:p w14:paraId="3495C07C"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color w:val="000000"/>
                <w:lang w:eastAsia="ja-JP"/>
              </w:rPr>
              <w:t>Finansinės naudos ir sąnaudų santykis</w:t>
            </w:r>
          </w:p>
        </w:tc>
      </w:tr>
      <w:tr w:rsidR="00610251" w:rsidRPr="007C4F3A" w14:paraId="7333C2A4" w14:textId="77777777" w:rsidTr="00874E67">
        <w:trPr>
          <w:jc w:val="center"/>
        </w:trPr>
        <w:tc>
          <w:tcPr>
            <w:tcW w:w="1513" w:type="dxa"/>
          </w:tcPr>
          <w:p w14:paraId="38868909"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FVGN</w:t>
            </w:r>
          </w:p>
        </w:tc>
        <w:tc>
          <w:tcPr>
            <w:tcW w:w="8692" w:type="dxa"/>
          </w:tcPr>
          <w:p w14:paraId="1C43E1A2"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Finansinė vidinė grąžos norma</w:t>
            </w:r>
          </w:p>
        </w:tc>
      </w:tr>
      <w:tr w:rsidR="00610251" w:rsidRPr="007C4F3A" w14:paraId="79AB9EBA" w14:textId="77777777" w:rsidTr="00874E67">
        <w:trPr>
          <w:jc w:val="center"/>
        </w:trPr>
        <w:tc>
          <w:tcPr>
            <w:tcW w:w="1513" w:type="dxa"/>
          </w:tcPr>
          <w:p w14:paraId="23BEEFA9"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FVGN(I)</w:t>
            </w:r>
          </w:p>
        </w:tc>
        <w:tc>
          <w:tcPr>
            <w:tcW w:w="8692" w:type="dxa"/>
          </w:tcPr>
          <w:p w14:paraId="6EFCF764"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Finansinė vidinė grąžos norma investicijoms</w:t>
            </w:r>
          </w:p>
        </w:tc>
      </w:tr>
      <w:tr w:rsidR="00610251" w:rsidRPr="007C4F3A" w14:paraId="3F593E03" w14:textId="77777777" w:rsidTr="00874E67">
        <w:trPr>
          <w:jc w:val="center"/>
        </w:trPr>
        <w:tc>
          <w:tcPr>
            <w:tcW w:w="1513" w:type="dxa"/>
          </w:tcPr>
          <w:p w14:paraId="47F538E3"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b/>
                <w:color w:val="000000"/>
                <w:lang w:eastAsia="ja-JP"/>
              </w:rPr>
              <w:t>FVGN(K)</w:t>
            </w:r>
          </w:p>
        </w:tc>
        <w:tc>
          <w:tcPr>
            <w:tcW w:w="8692" w:type="dxa"/>
          </w:tcPr>
          <w:p w14:paraId="259424EC"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color w:val="000000"/>
                <w:lang w:eastAsia="ja-JP"/>
              </w:rPr>
              <w:t>Finansinė vidinė grąžos norma kapitalui</w:t>
            </w:r>
          </w:p>
        </w:tc>
      </w:tr>
      <w:tr w:rsidR="00610251" w:rsidRPr="007C4F3A" w14:paraId="2F2AD8C6" w14:textId="77777777" w:rsidTr="00874E67">
        <w:trPr>
          <w:jc w:val="center"/>
        </w:trPr>
        <w:tc>
          <w:tcPr>
            <w:tcW w:w="1513" w:type="dxa"/>
          </w:tcPr>
          <w:p w14:paraId="5DACCF7B"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IP</w:t>
            </w:r>
          </w:p>
        </w:tc>
        <w:tc>
          <w:tcPr>
            <w:tcW w:w="8692" w:type="dxa"/>
          </w:tcPr>
          <w:p w14:paraId="49A08C15" w14:textId="77777777" w:rsidR="00610251" w:rsidRPr="007C4F3A" w:rsidRDefault="00610251" w:rsidP="00610251">
            <w:pPr>
              <w:spacing w:after="0" w:line="240" w:lineRule="auto"/>
              <w:ind w:firstLine="0"/>
              <w:rPr>
                <w:rFonts w:eastAsia="SimSun" w:cs="Arial"/>
                <w:color w:val="000000"/>
                <w:lang w:eastAsia="ja-JP"/>
              </w:rPr>
            </w:pPr>
            <w:r w:rsidRPr="007C4F3A">
              <w:rPr>
                <w:rFonts w:eastAsia="SimSun" w:cs="Arial"/>
                <w:lang w:eastAsia="ja-JP"/>
              </w:rPr>
              <w:t>Investicijų (investicinis) projektas</w:t>
            </w:r>
          </w:p>
        </w:tc>
      </w:tr>
      <w:tr w:rsidR="00610251" w:rsidRPr="007C4F3A" w14:paraId="4AA5FDA5" w14:textId="77777777" w:rsidTr="00874E67">
        <w:trPr>
          <w:jc w:val="center"/>
        </w:trPr>
        <w:tc>
          <w:tcPr>
            <w:tcW w:w="1513" w:type="dxa"/>
          </w:tcPr>
          <w:p w14:paraId="19CAE0ED"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KETV.</w:t>
            </w:r>
          </w:p>
        </w:tc>
        <w:tc>
          <w:tcPr>
            <w:tcW w:w="8692" w:type="dxa"/>
          </w:tcPr>
          <w:p w14:paraId="17239208"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Ketvirtis</w:t>
            </w:r>
          </w:p>
        </w:tc>
      </w:tr>
      <w:tr w:rsidR="00610251" w:rsidRPr="007C4F3A" w14:paraId="28D69A1E" w14:textId="77777777" w:rsidTr="00874E67">
        <w:trPr>
          <w:jc w:val="center"/>
        </w:trPr>
        <w:tc>
          <w:tcPr>
            <w:tcW w:w="1513" w:type="dxa"/>
          </w:tcPr>
          <w:p w14:paraId="7663DA77" w14:textId="10702592" w:rsidR="00610251" w:rsidRPr="007C4F3A" w:rsidRDefault="00610251" w:rsidP="002C6608">
            <w:pPr>
              <w:spacing w:after="0" w:line="240" w:lineRule="auto"/>
              <w:ind w:hanging="474"/>
              <w:jc w:val="left"/>
              <w:rPr>
                <w:rFonts w:eastAsia="Times New Roman" w:cs="Arial"/>
                <w:b/>
                <w:lang w:eastAsia="en-GB"/>
              </w:rPr>
            </w:pPr>
            <w:r w:rsidRPr="007C4F3A">
              <w:rPr>
                <w:rFonts w:eastAsia="Times New Roman" w:cs="Arial"/>
                <w:b/>
                <w:lang w:eastAsia="en-GB"/>
              </w:rPr>
              <w:t>KM</w:t>
            </w:r>
            <w:r w:rsidR="002C6608" w:rsidRPr="007C4F3A">
              <w:rPr>
                <w:rFonts w:eastAsia="Times New Roman" w:cs="Arial"/>
                <w:b/>
                <w:lang w:eastAsia="en-GB"/>
              </w:rPr>
              <w:t xml:space="preserve">  </w:t>
            </w:r>
            <w:r w:rsidRPr="007C4F3A">
              <w:rPr>
                <w:rFonts w:eastAsia="Times New Roman" w:cs="Arial"/>
                <w:b/>
                <w:lang w:eastAsia="en-GB"/>
              </w:rPr>
              <w:t>KOM</w:t>
            </w:r>
          </w:p>
        </w:tc>
        <w:tc>
          <w:tcPr>
            <w:tcW w:w="8692" w:type="dxa"/>
          </w:tcPr>
          <w:p w14:paraId="57F9E517" w14:textId="6EAF9A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Komercinis</w:t>
            </w:r>
          </w:p>
        </w:tc>
      </w:tr>
      <w:tr w:rsidR="00610251" w:rsidRPr="007C4F3A" w14:paraId="66C19DBF" w14:textId="77777777" w:rsidTr="00874E67">
        <w:trPr>
          <w:jc w:val="center"/>
        </w:trPr>
        <w:tc>
          <w:tcPr>
            <w:tcW w:w="1513" w:type="dxa"/>
          </w:tcPr>
          <w:p w14:paraId="31945EF4"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KT.</w:t>
            </w:r>
          </w:p>
        </w:tc>
        <w:tc>
          <w:tcPr>
            <w:tcW w:w="8692" w:type="dxa"/>
          </w:tcPr>
          <w:p w14:paraId="240B762F"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 xml:space="preserve">Kitas </w:t>
            </w:r>
          </w:p>
        </w:tc>
      </w:tr>
      <w:tr w:rsidR="00610251" w:rsidRPr="007C4F3A" w14:paraId="733F7598" w14:textId="77777777" w:rsidTr="00874E67">
        <w:trPr>
          <w:jc w:val="center"/>
        </w:trPr>
        <w:tc>
          <w:tcPr>
            <w:tcW w:w="1513" w:type="dxa"/>
          </w:tcPr>
          <w:p w14:paraId="2CCD9CD4"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KV. M</w:t>
            </w:r>
          </w:p>
        </w:tc>
        <w:tc>
          <w:tcPr>
            <w:tcW w:w="8692" w:type="dxa"/>
          </w:tcPr>
          <w:p w14:paraId="67062ED4"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Kvadratiniai metrai</w:t>
            </w:r>
          </w:p>
        </w:tc>
      </w:tr>
      <w:tr w:rsidR="00610251" w:rsidRPr="007C4F3A" w14:paraId="667DC45B" w14:textId="77777777" w:rsidTr="00874E67">
        <w:trPr>
          <w:jc w:val="center"/>
        </w:trPr>
        <w:tc>
          <w:tcPr>
            <w:tcW w:w="1513" w:type="dxa"/>
          </w:tcPr>
          <w:p w14:paraId="648F4EB7"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b/>
                <w:lang w:eastAsia="en-GB"/>
              </w:rPr>
              <w:t>LR</w:t>
            </w:r>
          </w:p>
        </w:tc>
        <w:tc>
          <w:tcPr>
            <w:tcW w:w="8692" w:type="dxa"/>
          </w:tcPr>
          <w:p w14:paraId="68CB9E1E"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Lietuvos Respublika</w:t>
            </w:r>
          </w:p>
        </w:tc>
      </w:tr>
      <w:tr w:rsidR="00610251" w:rsidRPr="007C4F3A" w14:paraId="1CC81C81" w14:textId="77777777" w:rsidTr="00874E67">
        <w:trPr>
          <w:jc w:val="center"/>
        </w:trPr>
        <w:tc>
          <w:tcPr>
            <w:tcW w:w="1513" w:type="dxa"/>
          </w:tcPr>
          <w:p w14:paraId="01E2C0A3"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LRV</w:t>
            </w:r>
          </w:p>
        </w:tc>
        <w:tc>
          <w:tcPr>
            <w:tcW w:w="8692" w:type="dxa"/>
          </w:tcPr>
          <w:p w14:paraId="7304DE11"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Lietuvos Respublikos Vyriausybė</w:t>
            </w:r>
          </w:p>
        </w:tc>
      </w:tr>
      <w:tr w:rsidR="00610251" w:rsidRPr="007C4F3A" w14:paraId="5ACA80B8" w14:textId="77777777" w:rsidTr="00874E67">
        <w:trPr>
          <w:jc w:val="center"/>
        </w:trPr>
        <w:tc>
          <w:tcPr>
            <w:tcW w:w="1513" w:type="dxa"/>
          </w:tcPr>
          <w:p w14:paraId="43FA41AD"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b/>
                <w:lang w:eastAsia="ja-JP"/>
              </w:rPr>
              <w:t>M.</w:t>
            </w:r>
          </w:p>
        </w:tc>
        <w:tc>
          <w:tcPr>
            <w:tcW w:w="8692" w:type="dxa"/>
          </w:tcPr>
          <w:p w14:paraId="72B66841" w14:textId="77777777" w:rsidR="00610251" w:rsidRPr="007C4F3A" w:rsidRDefault="00610251" w:rsidP="00610251">
            <w:pPr>
              <w:spacing w:after="0" w:line="240" w:lineRule="auto"/>
              <w:ind w:firstLine="0"/>
              <w:rPr>
                <w:rFonts w:eastAsia="Times New Roman" w:cs="Arial"/>
                <w:lang w:eastAsia="en-GB"/>
              </w:rPr>
            </w:pPr>
            <w:r w:rsidRPr="007C4F3A">
              <w:rPr>
                <w:rFonts w:eastAsia="Times New Roman" w:cs="Arial"/>
                <w:lang w:eastAsia="en-GB"/>
              </w:rPr>
              <w:t>Metai</w:t>
            </w:r>
          </w:p>
        </w:tc>
      </w:tr>
      <w:tr w:rsidR="00084740" w:rsidRPr="007C4F3A" w14:paraId="79F13CC8" w14:textId="77777777" w:rsidTr="00874E67">
        <w:trPr>
          <w:jc w:val="center"/>
        </w:trPr>
        <w:tc>
          <w:tcPr>
            <w:tcW w:w="1513" w:type="dxa"/>
          </w:tcPr>
          <w:p w14:paraId="25B8FD78" w14:textId="77777777" w:rsidR="00084740" w:rsidRPr="007C4F3A" w:rsidRDefault="00084740" w:rsidP="00084740">
            <w:pPr>
              <w:spacing w:after="0" w:line="240" w:lineRule="auto"/>
              <w:ind w:firstLine="0"/>
              <w:rPr>
                <w:rFonts w:eastAsia="Times New Roman" w:cs="Arial"/>
                <w:lang w:eastAsia="en-GB"/>
              </w:rPr>
            </w:pPr>
            <w:r w:rsidRPr="007C4F3A">
              <w:rPr>
                <w:rFonts w:eastAsia="SimSun" w:cs="Arial"/>
                <w:b/>
                <w:lang w:eastAsia="ja-JP"/>
              </w:rPr>
              <w:t>Metodika</w:t>
            </w:r>
          </w:p>
        </w:tc>
        <w:tc>
          <w:tcPr>
            <w:tcW w:w="8692" w:type="dxa"/>
          </w:tcPr>
          <w:p w14:paraId="44E0AA47" w14:textId="063CD78A" w:rsidR="00084740" w:rsidRPr="007C4F3A" w:rsidRDefault="00084740" w:rsidP="00084740">
            <w:pPr>
              <w:spacing w:after="0" w:line="240" w:lineRule="auto"/>
              <w:ind w:firstLine="0"/>
              <w:rPr>
                <w:rFonts w:eastAsia="Times New Roman" w:cs="Arial"/>
                <w:lang w:eastAsia="en-GB"/>
              </w:rPr>
            </w:pPr>
            <w:r w:rsidRPr="007C4F3A">
              <w:rPr>
                <w:rFonts w:eastAsia="Times New Roman" w:cs="Arial"/>
                <w:lang w:eastAsia="en-GB"/>
              </w:rPr>
              <w:t>Investicijų projektų, kuriems siekiama gauti finansavimą iš Europos Sąjungos struktūrinės paramos ir/ ar valstybės biudžeto lėšų, rengimo metodika, patvirtinta VšĮ Centrinės projektų valdymo agentūros direktoriaus 2014 m. gruodžio 31 d. įsakymu Nr. 2014/8-337 (aktuali redakcija 202</w:t>
            </w:r>
            <w:r w:rsidR="009209D9" w:rsidRPr="007C4F3A">
              <w:rPr>
                <w:rFonts w:eastAsia="Times New Roman" w:cs="Arial"/>
                <w:lang w:eastAsia="en-GB"/>
              </w:rPr>
              <w:t>4</w:t>
            </w:r>
            <w:r w:rsidRPr="007C4F3A">
              <w:rPr>
                <w:rFonts w:eastAsia="Times New Roman" w:cs="Arial"/>
                <w:lang w:eastAsia="en-GB"/>
              </w:rPr>
              <w:t xml:space="preserve"> m. sausio mėn. </w:t>
            </w:r>
            <w:r w:rsidR="009209D9" w:rsidRPr="007C4F3A">
              <w:rPr>
                <w:rFonts w:eastAsia="Times New Roman" w:cs="Arial"/>
                <w:lang w:eastAsia="en-GB"/>
              </w:rPr>
              <w:t>15</w:t>
            </w:r>
            <w:r w:rsidRPr="007C4F3A">
              <w:rPr>
                <w:rFonts w:eastAsia="Times New Roman" w:cs="Arial"/>
                <w:lang w:eastAsia="en-GB"/>
              </w:rPr>
              <w:t xml:space="preserve"> d. įsakymu Nr. 202</w:t>
            </w:r>
            <w:r w:rsidR="009209D9" w:rsidRPr="007C4F3A">
              <w:rPr>
                <w:rFonts w:eastAsia="Times New Roman" w:cs="Arial"/>
                <w:lang w:eastAsia="en-GB"/>
              </w:rPr>
              <w:t>4</w:t>
            </w:r>
            <w:r w:rsidRPr="007C4F3A">
              <w:rPr>
                <w:rFonts w:eastAsia="Times New Roman" w:cs="Arial"/>
                <w:lang w:eastAsia="en-GB"/>
              </w:rPr>
              <w:t>/8-</w:t>
            </w:r>
            <w:r w:rsidR="009209D9" w:rsidRPr="007C4F3A">
              <w:rPr>
                <w:rFonts w:eastAsia="Times New Roman" w:cs="Arial"/>
                <w:lang w:eastAsia="en-GB"/>
              </w:rPr>
              <w:t xml:space="preserve">10 </w:t>
            </w:r>
            <w:r w:rsidRPr="007C4F3A">
              <w:rPr>
                <w:rFonts w:eastAsia="Times New Roman" w:cs="Arial"/>
                <w:lang w:eastAsia="en-GB"/>
              </w:rPr>
              <w:t>redakcija)</w:t>
            </w:r>
          </w:p>
        </w:tc>
      </w:tr>
      <w:tr w:rsidR="00610251" w:rsidRPr="007C4F3A" w14:paraId="3ECC220F" w14:textId="77777777" w:rsidTr="00874E67">
        <w:trPr>
          <w:jc w:val="center"/>
        </w:trPr>
        <w:tc>
          <w:tcPr>
            <w:tcW w:w="1513" w:type="dxa"/>
          </w:tcPr>
          <w:p w14:paraId="36B5C070"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MLN.</w:t>
            </w:r>
          </w:p>
        </w:tc>
        <w:tc>
          <w:tcPr>
            <w:tcW w:w="8692" w:type="dxa"/>
          </w:tcPr>
          <w:p w14:paraId="75A46539"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Milijonas</w:t>
            </w:r>
          </w:p>
        </w:tc>
      </w:tr>
      <w:tr w:rsidR="00610251" w:rsidRPr="007C4F3A" w14:paraId="56B82CFA" w14:textId="77777777" w:rsidTr="00874E67">
        <w:trPr>
          <w:jc w:val="center"/>
        </w:trPr>
        <w:tc>
          <w:tcPr>
            <w:tcW w:w="1513" w:type="dxa"/>
          </w:tcPr>
          <w:p w14:paraId="38437816"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NR.</w:t>
            </w:r>
          </w:p>
        </w:tc>
        <w:tc>
          <w:tcPr>
            <w:tcW w:w="8692" w:type="dxa"/>
          </w:tcPr>
          <w:p w14:paraId="0F62A748"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 xml:space="preserve">Numeris </w:t>
            </w:r>
          </w:p>
        </w:tc>
      </w:tr>
      <w:tr w:rsidR="00610251" w:rsidRPr="007C4F3A" w14:paraId="3C54C29A" w14:textId="77777777" w:rsidTr="00874E67">
        <w:trPr>
          <w:jc w:val="center"/>
        </w:trPr>
        <w:tc>
          <w:tcPr>
            <w:tcW w:w="1513" w:type="dxa"/>
          </w:tcPr>
          <w:p w14:paraId="72A25905"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NŽT</w:t>
            </w:r>
          </w:p>
        </w:tc>
        <w:tc>
          <w:tcPr>
            <w:tcW w:w="8692" w:type="dxa"/>
          </w:tcPr>
          <w:p w14:paraId="593E0BBA"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Nacionalinė Žemės tarnyba prie LR Žemės ūkio ministerijos</w:t>
            </w:r>
          </w:p>
        </w:tc>
      </w:tr>
      <w:tr w:rsidR="00610251" w:rsidRPr="007C4F3A" w14:paraId="5EFC793A" w14:textId="77777777" w:rsidTr="00874E67">
        <w:trPr>
          <w:jc w:val="center"/>
        </w:trPr>
        <w:tc>
          <w:tcPr>
            <w:tcW w:w="1513" w:type="dxa"/>
          </w:tcPr>
          <w:p w14:paraId="1ABA543B"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NT</w:t>
            </w:r>
          </w:p>
        </w:tc>
        <w:tc>
          <w:tcPr>
            <w:tcW w:w="8692" w:type="dxa"/>
          </w:tcPr>
          <w:p w14:paraId="793E1D71"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Nekilnojamasis turtas</w:t>
            </w:r>
          </w:p>
        </w:tc>
      </w:tr>
      <w:tr w:rsidR="00610251" w:rsidRPr="007C4F3A" w14:paraId="43816F81" w14:textId="77777777" w:rsidTr="00874E67">
        <w:trPr>
          <w:jc w:val="center"/>
        </w:trPr>
        <w:tc>
          <w:tcPr>
            <w:tcW w:w="1513" w:type="dxa"/>
          </w:tcPr>
          <w:p w14:paraId="16C3859B" w14:textId="77777777" w:rsidR="00610251" w:rsidRPr="007C4F3A" w:rsidRDefault="00610251" w:rsidP="00610251">
            <w:pPr>
              <w:spacing w:after="0" w:line="240" w:lineRule="auto"/>
              <w:ind w:firstLine="0"/>
              <w:rPr>
                <w:rFonts w:eastAsia="Times New Roman" w:cs="Arial"/>
                <w:lang w:eastAsia="en-GB"/>
              </w:rPr>
            </w:pPr>
            <w:r w:rsidRPr="007C4F3A">
              <w:rPr>
                <w:rFonts w:eastAsia="SimSun" w:cs="Arial"/>
                <w:b/>
                <w:lang w:eastAsia="ja-JP"/>
              </w:rPr>
              <w:t>Optimalios alternatyvos metodika</w:t>
            </w:r>
          </w:p>
        </w:tc>
        <w:tc>
          <w:tcPr>
            <w:tcW w:w="8692" w:type="dxa"/>
          </w:tcPr>
          <w:p w14:paraId="65E9557C" w14:textId="36979E28" w:rsidR="00610251" w:rsidRPr="007C4F3A" w:rsidRDefault="00610251" w:rsidP="00610251">
            <w:pPr>
              <w:spacing w:after="0" w:line="240" w:lineRule="auto"/>
              <w:ind w:firstLine="0"/>
              <w:rPr>
                <w:rFonts w:eastAsia="SimSun" w:cs="Arial"/>
                <w:lang w:eastAsia="ja-JP"/>
              </w:rPr>
            </w:pPr>
            <w:r w:rsidRPr="007C4F3A">
              <w:rPr>
                <w:rFonts w:eastAsia="Times New Roman" w:cs="Arial"/>
                <w:lang w:eastAsia="en-GB"/>
              </w:rPr>
              <w:t>Optimalios projekto įgyvendinimo alternatyvos pasirinkimo kokybės vertinimo metodika, patvirtinta 2014 m. birželio 27 d. 2014–2020 m</w:t>
            </w:r>
            <w:r w:rsidR="00461AA9" w:rsidRPr="007C4F3A">
              <w:rPr>
                <w:rFonts w:eastAsia="Times New Roman" w:cs="Arial"/>
                <w:lang w:eastAsia="en-GB"/>
              </w:rPr>
              <w:t>.</w:t>
            </w:r>
            <w:r w:rsidRPr="007C4F3A">
              <w:rPr>
                <w:rFonts w:eastAsia="Times New Roman" w:cs="Arial"/>
                <w:lang w:eastAsia="en-GB"/>
              </w:rPr>
              <w:t xml:space="preserve"> Europos Sąjungos struktūrinės paramos administravimo darbo grupės, sudarytos Lietuvos Respublikos finansų ministro 2013 m. liepos 11 d. įsakymu Nr. 1K-243 „Dėl darbo grupės sudarymo“, posėdžio protokolu</w:t>
            </w:r>
          </w:p>
        </w:tc>
      </w:tr>
      <w:tr w:rsidR="00610251" w:rsidRPr="007C4F3A" w14:paraId="1A02589B" w14:textId="77777777" w:rsidTr="00874E67">
        <w:trPr>
          <w:jc w:val="center"/>
        </w:trPr>
        <w:tc>
          <w:tcPr>
            <w:tcW w:w="1513" w:type="dxa"/>
          </w:tcPr>
          <w:p w14:paraId="579F928F"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PAN.</w:t>
            </w:r>
          </w:p>
        </w:tc>
        <w:tc>
          <w:tcPr>
            <w:tcW w:w="8692" w:type="dxa"/>
          </w:tcPr>
          <w:p w14:paraId="1FC66AF7"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Panašiai</w:t>
            </w:r>
          </w:p>
        </w:tc>
      </w:tr>
      <w:tr w:rsidR="00610251" w:rsidRPr="007C4F3A" w14:paraId="1D800699" w14:textId="77777777" w:rsidTr="00874E67">
        <w:trPr>
          <w:jc w:val="center"/>
        </w:trPr>
        <w:tc>
          <w:tcPr>
            <w:tcW w:w="1513" w:type="dxa"/>
          </w:tcPr>
          <w:p w14:paraId="670DE1BC"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PROC.</w:t>
            </w:r>
          </w:p>
        </w:tc>
        <w:tc>
          <w:tcPr>
            <w:tcW w:w="8692" w:type="dxa"/>
          </w:tcPr>
          <w:p w14:paraId="1A99E8AD"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Procentas</w:t>
            </w:r>
          </w:p>
        </w:tc>
      </w:tr>
      <w:tr w:rsidR="00610251" w:rsidRPr="007C4F3A" w14:paraId="6C052F23" w14:textId="77777777" w:rsidTr="00874E67">
        <w:trPr>
          <w:jc w:val="center"/>
        </w:trPr>
        <w:tc>
          <w:tcPr>
            <w:tcW w:w="1513" w:type="dxa"/>
          </w:tcPr>
          <w:p w14:paraId="5389D593"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RC</w:t>
            </w:r>
          </w:p>
        </w:tc>
        <w:tc>
          <w:tcPr>
            <w:tcW w:w="8692" w:type="dxa"/>
          </w:tcPr>
          <w:p w14:paraId="69D358DE"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VĮ Registrų centras</w:t>
            </w:r>
          </w:p>
        </w:tc>
      </w:tr>
      <w:tr w:rsidR="00610251" w:rsidRPr="007C4F3A" w14:paraId="0DF546A0" w14:textId="77777777" w:rsidTr="00874E67">
        <w:trPr>
          <w:jc w:val="center"/>
        </w:trPr>
        <w:tc>
          <w:tcPr>
            <w:tcW w:w="1513" w:type="dxa"/>
          </w:tcPr>
          <w:p w14:paraId="1DEE4089"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SDN</w:t>
            </w:r>
          </w:p>
        </w:tc>
        <w:tc>
          <w:tcPr>
            <w:tcW w:w="8692" w:type="dxa"/>
          </w:tcPr>
          <w:p w14:paraId="582E941F"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Socialinė diskonto norma</w:t>
            </w:r>
          </w:p>
        </w:tc>
      </w:tr>
      <w:tr w:rsidR="00610251" w:rsidRPr="007C4F3A" w14:paraId="59D494A3" w14:textId="77777777" w:rsidTr="00874E67">
        <w:trPr>
          <w:jc w:val="center"/>
        </w:trPr>
        <w:tc>
          <w:tcPr>
            <w:tcW w:w="1513" w:type="dxa"/>
          </w:tcPr>
          <w:p w14:paraId="15A3280B"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SNA</w:t>
            </w:r>
          </w:p>
        </w:tc>
        <w:tc>
          <w:tcPr>
            <w:tcW w:w="8692" w:type="dxa"/>
          </w:tcPr>
          <w:p w14:paraId="2F43DF27"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Sąnaudų ir naudos analizė</w:t>
            </w:r>
          </w:p>
        </w:tc>
      </w:tr>
      <w:tr w:rsidR="00610251" w:rsidRPr="007C4F3A" w14:paraId="7C9CFD0A" w14:textId="77777777" w:rsidTr="00874E67">
        <w:trPr>
          <w:jc w:val="center"/>
        </w:trPr>
        <w:tc>
          <w:tcPr>
            <w:tcW w:w="1513" w:type="dxa"/>
          </w:tcPr>
          <w:p w14:paraId="4B571744" w14:textId="77777777" w:rsidR="00610251" w:rsidRPr="007C4F3A" w:rsidRDefault="00610251" w:rsidP="00610251">
            <w:pPr>
              <w:spacing w:after="0" w:line="240" w:lineRule="auto"/>
              <w:ind w:firstLine="0"/>
              <w:rPr>
                <w:rFonts w:eastAsia="SimSun" w:cs="Arial"/>
                <w:lang w:eastAsia="ja-JP"/>
              </w:rPr>
            </w:pPr>
            <w:r w:rsidRPr="007C4F3A">
              <w:rPr>
                <w:rFonts w:eastAsia="SimSun" w:cs="Arial"/>
                <w:b/>
                <w:lang w:eastAsia="ja-JP"/>
              </w:rPr>
              <w:t>TP</w:t>
            </w:r>
          </w:p>
        </w:tc>
        <w:tc>
          <w:tcPr>
            <w:tcW w:w="8692" w:type="dxa"/>
          </w:tcPr>
          <w:p w14:paraId="672474AD" w14:textId="77777777" w:rsidR="00610251" w:rsidRPr="007C4F3A" w:rsidRDefault="00610251" w:rsidP="00610251">
            <w:pPr>
              <w:spacing w:after="0" w:line="240" w:lineRule="auto"/>
              <w:ind w:firstLine="0"/>
              <w:rPr>
                <w:rFonts w:eastAsia="SimSun" w:cs="Arial"/>
                <w:lang w:eastAsia="ja-JP"/>
              </w:rPr>
            </w:pPr>
            <w:r w:rsidRPr="007C4F3A">
              <w:rPr>
                <w:rFonts w:eastAsia="SimSun" w:cs="Arial"/>
                <w:lang w:eastAsia="ja-JP"/>
              </w:rPr>
              <w:t>Techninis projektas</w:t>
            </w:r>
          </w:p>
        </w:tc>
      </w:tr>
    </w:tbl>
    <w:p w14:paraId="4DC575D6" w14:textId="2B466E3B" w:rsidR="00957E80" w:rsidRPr="007C4F3A" w:rsidRDefault="00957E80" w:rsidP="00984562">
      <w:pPr>
        <w:spacing w:after="0" w:line="240" w:lineRule="auto"/>
        <w:ind w:firstLine="0"/>
        <w:rPr>
          <w:rFonts w:cs="Arial"/>
        </w:rPr>
      </w:pPr>
    </w:p>
    <w:p w14:paraId="34487FAE" w14:textId="77777777" w:rsidR="00AF28AB" w:rsidRPr="007C4F3A" w:rsidRDefault="00AF28AB">
      <w:pPr>
        <w:ind w:firstLine="0"/>
        <w:jc w:val="left"/>
        <w:rPr>
          <w:rFonts w:eastAsiaTheme="majorEastAsia" w:cstheme="majorBidi"/>
          <w:b/>
          <w:caps/>
          <w:color w:val="002060"/>
          <w:sz w:val="28"/>
          <w:szCs w:val="32"/>
        </w:rPr>
      </w:pPr>
      <w:bookmarkStart w:id="41" w:name="_Toc104108685"/>
      <w:bookmarkStart w:id="42" w:name="_Toc104811460"/>
      <w:bookmarkStart w:id="43" w:name="_Toc112939323"/>
      <w:bookmarkStart w:id="44" w:name="_Toc115814896"/>
      <w:bookmarkStart w:id="45" w:name="_Toc117001939"/>
      <w:bookmarkStart w:id="46" w:name="_Toc117772549"/>
      <w:bookmarkStart w:id="47" w:name="_Toc126672578"/>
      <w:r w:rsidRPr="007C4F3A">
        <w:br w:type="page"/>
      </w:r>
    </w:p>
    <w:p w14:paraId="18EE04E7" w14:textId="6D28D4D5" w:rsidR="003460FD" w:rsidRPr="007C4F3A" w:rsidRDefault="004E21D7" w:rsidP="003460FD">
      <w:pPr>
        <w:pStyle w:val="Antrat1"/>
        <w:jc w:val="center"/>
      </w:pPr>
      <w:bookmarkStart w:id="48" w:name="_Toc126935467"/>
      <w:bookmarkStart w:id="49" w:name="_Toc159421933"/>
      <w:bookmarkStart w:id="50" w:name="_Toc160544937"/>
      <w:bookmarkStart w:id="51" w:name="_Toc161166364"/>
      <w:bookmarkStart w:id="52" w:name="_Toc165367215"/>
      <w:bookmarkStart w:id="53" w:name="_Toc165372608"/>
      <w:bookmarkStart w:id="54" w:name="_Toc179180652"/>
      <w:bookmarkStart w:id="55" w:name="_Toc181026739"/>
      <w:bookmarkStart w:id="56" w:name="_Toc183123835"/>
      <w:bookmarkStart w:id="57" w:name="_Toc197939608"/>
      <w:r w:rsidRPr="007C4F3A">
        <w:lastRenderedPageBreak/>
        <w:t>TURINYS</w:t>
      </w:r>
      <w:bookmarkStart w:id="58" w:name="_Toc6921239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3460FD" w:rsidRPr="007C4F3A">
        <w:fldChar w:fldCharType="begin"/>
      </w:r>
      <w:r w:rsidR="003460FD" w:rsidRPr="007C4F3A">
        <w:instrText xml:space="preserve"> TOC \h \z \t "Heading 1;1;Poskyris;2" </w:instrText>
      </w:r>
      <w:r w:rsidR="003460FD" w:rsidRPr="007C4F3A">
        <w:fldChar w:fldCharType="separate"/>
      </w:r>
    </w:p>
    <w:p w14:paraId="2CC5B686" w14:textId="0A711CD0" w:rsidR="00462817" w:rsidRPr="00462817" w:rsidRDefault="003460FD" w:rsidP="00462817">
      <w:pPr>
        <w:rPr>
          <w:noProof/>
        </w:rPr>
      </w:pPr>
      <w:r w:rsidRPr="007C4F3A">
        <w:fldChar w:fldCharType="end"/>
      </w:r>
      <w:r w:rsidR="00F61A00" w:rsidRPr="007C4F3A">
        <w:fldChar w:fldCharType="begin"/>
      </w:r>
      <w:r w:rsidR="00F61A00" w:rsidRPr="007C4F3A">
        <w:instrText xml:space="preserve"> TOC \h \z \t "Antraštė 1;1;Paantraštė;3;Poskyris;2" </w:instrText>
      </w:r>
      <w:r w:rsidR="00F61A00" w:rsidRPr="007C4F3A">
        <w:fldChar w:fldCharType="separate"/>
      </w:r>
    </w:p>
    <w:p w14:paraId="37F7F704" w14:textId="5BC682DD" w:rsidR="00462817" w:rsidRDefault="00462817">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7939609" w:history="1">
        <w:r w:rsidRPr="00ED62F6">
          <w:rPr>
            <w:rStyle w:val="Hipersaitas"/>
          </w:rPr>
          <w:t>Santrauka</w:t>
        </w:r>
        <w:r>
          <w:rPr>
            <w:webHidden/>
          </w:rPr>
          <w:tab/>
        </w:r>
        <w:r>
          <w:rPr>
            <w:webHidden/>
          </w:rPr>
          <w:fldChar w:fldCharType="begin"/>
        </w:r>
        <w:r>
          <w:rPr>
            <w:webHidden/>
          </w:rPr>
          <w:instrText xml:space="preserve"> PAGEREF _Toc197939609 \h </w:instrText>
        </w:r>
        <w:r>
          <w:rPr>
            <w:webHidden/>
          </w:rPr>
        </w:r>
        <w:r>
          <w:rPr>
            <w:webHidden/>
          </w:rPr>
          <w:fldChar w:fldCharType="separate"/>
        </w:r>
        <w:r w:rsidR="00E050D2">
          <w:rPr>
            <w:webHidden/>
          </w:rPr>
          <w:t>6</w:t>
        </w:r>
        <w:r>
          <w:rPr>
            <w:webHidden/>
          </w:rPr>
          <w:fldChar w:fldCharType="end"/>
        </w:r>
      </w:hyperlink>
    </w:p>
    <w:p w14:paraId="3ECC211B" w14:textId="6AB80CC8" w:rsidR="00462817" w:rsidRDefault="00462817">
      <w:pPr>
        <w:pStyle w:val="Turinys1"/>
        <w:tabs>
          <w:tab w:val="left" w:pos="660"/>
        </w:tabs>
        <w:rPr>
          <w:rFonts w:asciiTheme="minorHAnsi" w:eastAsiaTheme="minorEastAsia" w:hAnsiTheme="minorHAnsi" w:cstheme="minorBidi"/>
          <w:b w:val="0"/>
          <w:bCs w:val="0"/>
          <w:color w:val="auto"/>
          <w:kern w:val="2"/>
          <w:sz w:val="24"/>
          <w:szCs w:val="24"/>
          <w:lang w:eastAsia="lt-LT"/>
          <w14:ligatures w14:val="standardContextual"/>
        </w:rPr>
      </w:pPr>
      <w:hyperlink w:anchor="_Toc197939610" w:history="1">
        <w:r w:rsidRPr="00ED62F6">
          <w:rPr>
            <w:rStyle w:val="Hipersaitas"/>
          </w:rPr>
          <w:t>1.</w:t>
        </w:r>
        <w:r>
          <w:rPr>
            <w:rFonts w:asciiTheme="minorHAnsi" w:eastAsiaTheme="minorEastAsia" w:hAnsiTheme="minorHAnsi" w:cstheme="minorBidi"/>
            <w:b w:val="0"/>
            <w:bCs w:val="0"/>
            <w:color w:val="auto"/>
            <w:kern w:val="2"/>
            <w:sz w:val="24"/>
            <w:szCs w:val="24"/>
            <w:lang w:eastAsia="lt-LT"/>
            <w14:ligatures w14:val="standardContextual"/>
          </w:rPr>
          <w:tab/>
        </w:r>
        <w:r w:rsidRPr="00ED62F6">
          <w:rPr>
            <w:rStyle w:val="Hipersaitas"/>
          </w:rPr>
          <w:t>Projekto kontekstas</w:t>
        </w:r>
        <w:r>
          <w:rPr>
            <w:webHidden/>
          </w:rPr>
          <w:tab/>
        </w:r>
        <w:r>
          <w:rPr>
            <w:webHidden/>
          </w:rPr>
          <w:fldChar w:fldCharType="begin"/>
        </w:r>
        <w:r>
          <w:rPr>
            <w:webHidden/>
          </w:rPr>
          <w:instrText xml:space="preserve"> PAGEREF _Toc197939610 \h </w:instrText>
        </w:r>
        <w:r>
          <w:rPr>
            <w:webHidden/>
          </w:rPr>
        </w:r>
        <w:r>
          <w:rPr>
            <w:webHidden/>
          </w:rPr>
          <w:fldChar w:fldCharType="separate"/>
        </w:r>
        <w:r w:rsidR="00E050D2">
          <w:rPr>
            <w:webHidden/>
          </w:rPr>
          <w:t>7</w:t>
        </w:r>
        <w:r>
          <w:rPr>
            <w:webHidden/>
          </w:rPr>
          <w:fldChar w:fldCharType="end"/>
        </w:r>
      </w:hyperlink>
    </w:p>
    <w:p w14:paraId="381EDBAE" w14:textId="79C66FCA"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1" w:history="1">
        <w:r w:rsidRPr="00ED62F6">
          <w:rPr>
            <w:rStyle w:val="Hipersaitas"/>
          </w:rPr>
          <w:t>1.1. Paslaugos pasiūla</w:t>
        </w:r>
        <w:r>
          <w:rPr>
            <w:webHidden/>
          </w:rPr>
          <w:tab/>
        </w:r>
        <w:r>
          <w:rPr>
            <w:webHidden/>
          </w:rPr>
          <w:fldChar w:fldCharType="begin"/>
        </w:r>
        <w:r>
          <w:rPr>
            <w:webHidden/>
          </w:rPr>
          <w:instrText xml:space="preserve"> PAGEREF _Toc197939611 \h </w:instrText>
        </w:r>
        <w:r>
          <w:rPr>
            <w:webHidden/>
          </w:rPr>
        </w:r>
        <w:r>
          <w:rPr>
            <w:webHidden/>
          </w:rPr>
          <w:fldChar w:fldCharType="separate"/>
        </w:r>
        <w:r w:rsidR="00E050D2">
          <w:rPr>
            <w:webHidden/>
          </w:rPr>
          <w:t>7</w:t>
        </w:r>
        <w:r>
          <w:rPr>
            <w:webHidden/>
          </w:rPr>
          <w:fldChar w:fldCharType="end"/>
        </w:r>
      </w:hyperlink>
    </w:p>
    <w:p w14:paraId="12DE7802" w14:textId="52C87073"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2" w:history="1">
        <w:r w:rsidRPr="00ED62F6">
          <w:rPr>
            <w:rStyle w:val="Hipersaitas"/>
          </w:rPr>
          <w:t>1.2. Paslaugos paklausa</w:t>
        </w:r>
        <w:r>
          <w:rPr>
            <w:webHidden/>
          </w:rPr>
          <w:tab/>
        </w:r>
        <w:r>
          <w:rPr>
            <w:webHidden/>
          </w:rPr>
          <w:fldChar w:fldCharType="begin"/>
        </w:r>
        <w:r>
          <w:rPr>
            <w:webHidden/>
          </w:rPr>
          <w:instrText xml:space="preserve"> PAGEREF _Toc197939612 \h </w:instrText>
        </w:r>
        <w:r>
          <w:rPr>
            <w:webHidden/>
          </w:rPr>
        </w:r>
        <w:r>
          <w:rPr>
            <w:webHidden/>
          </w:rPr>
          <w:fldChar w:fldCharType="separate"/>
        </w:r>
        <w:r w:rsidR="00E050D2">
          <w:rPr>
            <w:webHidden/>
          </w:rPr>
          <w:t>9</w:t>
        </w:r>
        <w:r>
          <w:rPr>
            <w:webHidden/>
          </w:rPr>
          <w:fldChar w:fldCharType="end"/>
        </w:r>
      </w:hyperlink>
    </w:p>
    <w:p w14:paraId="7BAE9760" w14:textId="775CA344"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3" w:history="1">
        <w:r w:rsidRPr="00ED62F6">
          <w:rPr>
            <w:rStyle w:val="Hipersaitas"/>
          </w:rPr>
          <w:t>1.3. Teisinė aplinka</w:t>
        </w:r>
        <w:r>
          <w:rPr>
            <w:webHidden/>
          </w:rPr>
          <w:tab/>
        </w:r>
        <w:r>
          <w:rPr>
            <w:webHidden/>
          </w:rPr>
          <w:fldChar w:fldCharType="begin"/>
        </w:r>
        <w:r>
          <w:rPr>
            <w:webHidden/>
          </w:rPr>
          <w:instrText xml:space="preserve"> PAGEREF _Toc197939613 \h </w:instrText>
        </w:r>
        <w:r>
          <w:rPr>
            <w:webHidden/>
          </w:rPr>
        </w:r>
        <w:r>
          <w:rPr>
            <w:webHidden/>
          </w:rPr>
          <w:fldChar w:fldCharType="separate"/>
        </w:r>
        <w:r w:rsidR="00E050D2">
          <w:rPr>
            <w:webHidden/>
          </w:rPr>
          <w:t>12</w:t>
        </w:r>
        <w:r>
          <w:rPr>
            <w:webHidden/>
          </w:rPr>
          <w:fldChar w:fldCharType="end"/>
        </w:r>
      </w:hyperlink>
    </w:p>
    <w:p w14:paraId="73F235FB" w14:textId="191A6BB5"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4" w:history="1">
        <w:r w:rsidRPr="00ED62F6">
          <w:rPr>
            <w:rStyle w:val="Hipersaitas"/>
          </w:rPr>
          <w:t>1.4. Problemos ir jų atsiradimo priežastys</w:t>
        </w:r>
        <w:r>
          <w:rPr>
            <w:webHidden/>
          </w:rPr>
          <w:tab/>
        </w:r>
        <w:r>
          <w:rPr>
            <w:webHidden/>
          </w:rPr>
          <w:fldChar w:fldCharType="begin"/>
        </w:r>
        <w:r>
          <w:rPr>
            <w:webHidden/>
          </w:rPr>
          <w:instrText xml:space="preserve"> PAGEREF _Toc197939614 \h </w:instrText>
        </w:r>
        <w:r>
          <w:rPr>
            <w:webHidden/>
          </w:rPr>
        </w:r>
        <w:r>
          <w:rPr>
            <w:webHidden/>
          </w:rPr>
          <w:fldChar w:fldCharType="separate"/>
        </w:r>
        <w:r w:rsidR="00E050D2">
          <w:rPr>
            <w:webHidden/>
          </w:rPr>
          <w:t>14</w:t>
        </w:r>
        <w:r>
          <w:rPr>
            <w:webHidden/>
          </w:rPr>
          <w:fldChar w:fldCharType="end"/>
        </w:r>
      </w:hyperlink>
    </w:p>
    <w:p w14:paraId="2E0DE4FB" w14:textId="712B8A1B" w:rsidR="00462817" w:rsidRDefault="00462817">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7939615" w:history="1">
        <w:r w:rsidRPr="00ED62F6">
          <w:rPr>
            <w:rStyle w:val="Hipersaitas"/>
            <w:rFonts w:eastAsia="Times New Roman"/>
          </w:rPr>
          <w:t>2. PROJEKTO TURINYS</w:t>
        </w:r>
        <w:r>
          <w:rPr>
            <w:webHidden/>
          </w:rPr>
          <w:tab/>
        </w:r>
        <w:r>
          <w:rPr>
            <w:webHidden/>
          </w:rPr>
          <w:fldChar w:fldCharType="begin"/>
        </w:r>
        <w:r>
          <w:rPr>
            <w:webHidden/>
          </w:rPr>
          <w:instrText xml:space="preserve"> PAGEREF _Toc197939615 \h </w:instrText>
        </w:r>
        <w:r>
          <w:rPr>
            <w:webHidden/>
          </w:rPr>
        </w:r>
        <w:r>
          <w:rPr>
            <w:webHidden/>
          </w:rPr>
          <w:fldChar w:fldCharType="separate"/>
        </w:r>
        <w:r w:rsidR="00E050D2">
          <w:rPr>
            <w:webHidden/>
          </w:rPr>
          <w:t>16</w:t>
        </w:r>
        <w:r>
          <w:rPr>
            <w:webHidden/>
          </w:rPr>
          <w:fldChar w:fldCharType="end"/>
        </w:r>
      </w:hyperlink>
    </w:p>
    <w:p w14:paraId="66164254" w14:textId="6DB91F2D"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6" w:history="1">
        <w:r w:rsidRPr="00ED62F6">
          <w:rPr>
            <w:rStyle w:val="Hipersaitas"/>
          </w:rPr>
          <w:t>2.1. Projekto tikslas ir uždaviniai</w:t>
        </w:r>
        <w:r>
          <w:rPr>
            <w:webHidden/>
          </w:rPr>
          <w:tab/>
        </w:r>
        <w:r>
          <w:rPr>
            <w:webHidden/>
          </w:rPr>
          <w:fldChar w:fldCharType="begin"/>
        </w:r>
        <w:r>
          <w:rPr>
            <w:webHidden/>
          </w:rPr>
          <w:instrText xml:space="preserve"> PAGEREF _Toc197939616 \h </w:instrText>
        </w:r>
        <w:r>
          <w:rPr>
            <w:webHidden/>
          </w:rPr>
        </w:r>
        <w:r>
          <w:rPr>
            <w:webHidden/>
          </w:rPr>
          <w:fldChar w:fldCharType="separate"/>
        </w:r>
        <w:r w:rsidR="00E050D2">
          <w:rPr>
            <w:webHidden/>
          </w:rPr>
          <w:t>16</w:t>
        </w:r>
        <w:r>
          <w:rPr>
            <w:webHidden/>
          </w:rPr>
          <w:fldChar w:fldCharType="end"/>
        </w:r>
      </w:hyperlink>
    </w:p>
    <w:p w14:paraId="7EFB85DA" w14:textId="5225F6E6"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7" w:history="1">
        <w:r w:rsidRPr="00ED62F6">
          <w:rPr>
            <w:rStyle w:val="Hipersaitas"/>
          </w:rPr>
          <w:t>2.2. Projekto sąsajos su kitais projektais</w:t>
        </w:r>
        <w:r>
          <w:rPr>
            <w:webHidden/>
          </w:rPr>
          <w:tab/>
        </w:r>
        <w:r>
          <w:rPr>
            <w:webHidden/>
          </w:rPr>
          <w:fldChar w:fldCharType="begin"/>
        </w:r>
        <w:r>
          <w:rPr>
            <w:webHidden/>
          </w:rPr>
          <w:instrText xml:space="preserve"> PAGEREF _Toc197939617 \h </w:instrText>
        </w:r>
        <w:r>
          <w:rPr>
            <w:webHidden/>
          </w:rPr>
        </w:r>
        <w:r>
          <w:rPr>
            <w:webHidden/>
          </w:rPr>
          <w:fldChar w:fldCharType="separate"/>
        </w:r>
        <w:r w:rsidR="00E050D2">
          <w:rPr>
            <w:webHidden/>
          </w:rPr>
          <w:t>16</w:t>
        </w:r>
        <w:r>
          <w:rPr>
            <w:webHidden/>
          </w:rPr>
          <w:fldChar w:fldCharType="end"/>
        </w:r>
      </w:hyperlink>
    </w:p>
    <w:p w14:paraId="124AE745" w14:textId="12038443"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8" w:history="1">
        <w:r w:rsidRPr="00ED62F6">
          <w:rPr>
            <w:rStyle w:val="Hipersaitas"/>
          </w:rPr>
          <w:t>2.3. Tikslinės grupės ir poveikio ribos</w:t>
        </w:r>
        <w:r>
          <w:rPr>
            <w:webHidden/>
          </w:rPr>
          <w:tab/>
        </w:r>
        <w:r>
          <w:rPr>
            <w:webHidden/>
          </w:rPr>
          <w:fldChar w:fldCharType="begin"/>
        </w:r>
        <w:r>
          <w:rPr>
            <w:webHidden/>
          </w:rPr>
          <w:instrText xml:space="preserve"> PAGEREF _Toc197939618 \h </w:instrText>
        </w:r>
        <w:r>
          <w:rPr>
            <w:webHidden/>
          </w:rPr>
        </w:r>
        <w:r>
          <w:rPr>
            <w:webHidden/>
          </w:rPr>
          <w:fldChar w:fldCharType="separate"/>
        </w:r>
        <w:r w:rsidR="00E050D2">
          <w:rPr>
            <w:webHidden/>
          </w:rPr>
          <w:t>18</w:t>
        </w:r>
        <w:r>
          <w:rPr>
            <w:webHidden/>
          </w:rPr>
          <w:fldChar w:fldCharType="end"/>
        </w:r>
      </w:hyperlink>
    </w:p>
    <w:p w14:paraId="5E970B45" w14:textId="0E0F1571"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19" w:history="1">
        <w:r w:rsidRPr="00ED62F6">
          <w:rPr>
            <w:rStyle w:val="Hipersaitas"/>
          </w:rPr>
          <w:t>2.4. Projekto organizacija</w:t>
        </w:r>
        <w:r>
          <w:rPr>
            <w:webHidden/>
          </w:rPr>
          <w:tab/>
        </w:r>
        <w:r>
          <w:rPr>
            <w:webHidden/>
          </w:rPr>
          <w:fldChar w:fldCharType="begin"/>
        </w:r>
        <w:r>
          <w:rPr>
            <w:webHidden/>
          </w:rPr>
          <w:instrText xml:space="preserve"> PAGEREF _Toc197939619 \h </w:instrText>
        </w:r>
        <w:r>
          <w:rPr>
            <w:webHidden/>
          </w:rPr>
        </w:r>
        <w:r>
          <w:rPr>
            <w:webHidden/>
          </w:rPr>
          <w:fldChar w:fldCharType="separate"/>
        </w:r>
        <w:r w:rsidR="00E050D2">
          <w:rPr>
            <w:webHidden/>
          </w:rPr>
          <w:t>18</w:t>
        </w:r>
        <w:r>
          <w:rPr>
            <w:webHidden/>
          </w:rPr>
          <w:fldChar w:fldCharType="end"/>
        </w:r>
      </w:hyperlink>
    </w:p>
    <w:p w14:paraId="639841A9" w14:textId="34C1C744"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0" w:history="1">
        <w:r w:rsidRPr="00ED62F6">
          <w:rPr>
            <w:rStyle w:val="Hipersaitas"/>
          </w:rPr>
          <w:t>2.5. Paslaugos pokyčio rezultatas</w:t>
        </w:r>
        <w:r>
          <w:rPr>
            <w:webHidden/>
          </w:rPr>
          <w:tab/>
        </w:r>
        <w:r>
          <w:rPr>
            <w:webHidden/>
          </w:rPr>
          <w:fldChar w:fldCharType="begin"/>
        </w:r>
        <w:r>
          <w:rPr>
            <w:webHidden/>
          </w:rPr>
          <w:instrText xml:space="preserve"> PAGEREF _Toc197939620 \h </w:instrText>
        </w:r>
        <w:r>
          <w:rPr>
            <w:webHidden/>
          </w:rPr>
        </w:r>
        <w:r>
          <w:rPr>
            <w:webHidden/>
          </w:rPr>
          <w:fldChar w:fldCharType="separate"/>
        </w:r>
        <w:r w:rsidR="00E050D2">
          <w:rPr>
            <w:webHidden/>
          </w:rPr>
          <w:t>19</w:t>
        </w:r>
        <w:r>
          <w:rPr>
            <w:webHidden/>
          </w:rPr>
          <w:fldChar w:fldCharType="end"/>
        </w:r>
      </w:hyperlink>
    </w:p>
    <w:p w14:paraId="631BEA4D" w14:textId="4F5DB196" w:rsidR="00462817" w:rsidRDefault="00462817">
      <w:pPr>
        <w:pStyle w:val="Turinys1"/>
        <w:rPr>
          <w:rFonts w:asciiTheme="minorHAnsi" w:eastAsiaTheme="minorEastAsia" w:hAnsiTheme="minorHAnsi" w:cstheme="minorBidi"/>
          <w:b w:val="0"/>
          <w:bCs w:val="0"/>
          <w:color w:val="auto"/>
          <w:kern w:val="2"/>
          <w:sz w:val="24"/>
          <w:szCs w:val="24"/>
          <w:lang w:eastAsia="lt-LT"/>
          <w14:ligatures w14:val="standardContextual"/>
        </w:rPr>
      </w:pPr>
      <w:hyperlink w:anchor="_Toc197939621" w:history="1">
        <w:r w:rsidRPr="00ED62F6">
          <w:rPr>
            <w:rStyle w:val="Hipersaitas"/>
          </w:rPr>
          <w:t>3. Galimybės ir alternatyvos</w:t>
        </w:r>
        <w:r>
          <w:rPr>
            <w:webHidden/>
          </w:rPr>
          <w:tab/>
        </w:r>
        <w:r>
          <w:rPr>
            <w:webHidden/>
          </w:rPr>
          <w:fldChar w:fldCharType="begin"/>
        </w:r>
        <w:r>
          <w:rPr>
            <w:webHidden/>
          </w:rPr>
          <w:instrText xml:space="preserve"> PAGEREF _Toc197939621 \h </w:instrText>
        </w:r>
        <w:r>
          <w:rPr>
            <w:webHidden/>
          </w:rPr>
        </w:r>
        <w:r>
          <w:rPr>
            <w:webHidden/>
          </w:rPr>
          <w:fldChar w:fldCharType="separate"/>
        </w:r>
        <w:r w:rsidR="00E050D2">
          <w:rPr>
            <w:webHidden/>
          </w:rPr>
          <w:t>21</w:t>
        </w:r>
        <w:r>
          <w:rPr>
            <w:webHidden/>
          </w:rPr>
          <w:fldChar w:fldCharType="end"/>
        </w:r>
      </w:hyperlink>
    </w:p>
    <w:p w14:paraId="40F87A1E" w14:textId="41EBBCCF"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2" w:history="1">
        <w:r w:rsidRPr="00ED62F6">
          <w:rPr>
            <w:rStyle w:val="Hipersaitas"/>
          </w:rPr>
          <w:t>3.1. Esamos situacijos aprašymas</w:t>
        </w:r>
        <w:r>
          <w:rPr>
            <w:webHidden/>
          </w:rPr>
          <w:tab/>
        </w:r>
        <w:r>
          <w:rPr>
            <w:webHidden/>
          </w:rPr>
          <w:fldChar w:fldCharType="begin"/>
        </w:r>
        <w:r>
          <w:rPr>
            <w:webHidden/>
          </w:rPr>
          <w:instrText xml:space="preserve"> PAGEREF _Toc197939622 \h </w:instrText>
        </w:r>
        <w:r>
          <w:rPr>
            <w:webHidden/>
          </w:rPr>
        </w:r>
        <w:r>
          <w:rPr>
            <w:webHidden/>
          </w:rPr>
          <w:fldChar w:fldCharType="separate"/>
        </w:r>
        <w:r w:rsidR="00E050D2">
          <w:rPr>
            <w:webHidden/>
          </w:rPr>
          <w:t>21</w:t>
        </w:r>
        <w:r>
          <w:rPr>
            <w:webHidden/>
          </w:rPr>
          <w:fldChar w:fldCharType="end"/>
        </w:r>
      </w:hyperlink>
    </w:p>
    <w:p w14:paraId="1771AB31" w14:textId="0B7F8161"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3" w:history="1">
        <w:r w:rsidRPr="00ED62F6">
          <w:rPr>
            <w:rStyle w:val="Hipersaitas"/>
          </w:rPr>
          <w:t>3.2. Esama situacija</w:t>
        </w:r>
        <w:r>
          <w:rPr>
            <w:webHidden/>
          </w:rPr>
          <w:tab/>
        </w:r>
        <w:r>
          <w:rPr>
            <w:webHidden/>
          </w:rPr>
          <w:fldChar w:fldCharType="begin"/>
        </w:r>
        <w:r>
          <w:rPr>
            <w:webHidden/>
          </w:rPr>
          <w:instrText xml:space="preserve"> PAGEREF _Toc197939623 \h </w:instrText>
        </w:r>
        <w:r>
          <w:rPr>
            <w:webHidden/>
          </w:rPr>
        </w:r>
        <w:r>
          <w:rPr>
            <w:webHidden/>
          </w:rPr>
          <w:fldChar w:fldCharType="separate"/>
        </w:r>
        <w:r w:rsidR="00E050D2">
          <w:rPr>
            <w:webHidden/>
          </w:rPr>
          <w:t>21</w:t>
        </w:r>
        <w:r>
          <w:rPr>
            <w:webHidden/>
          </w:rPr>
          <w:fldChar w:fldCharType="end"/>
        </w:r>
      </w:hyperlink>
    </w:p>
    <w:p w14:paraId="7EC1258D" w14:textId="68458807"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4" w:history="1">
        <w:r w:rsidRPr="00ED62F6">
          <w:rPr>
            <w:rStyle w:val="Hipersaitas"/>
          </w:rPr>
          <w:t>3.3. Galimos projekto veiklos</w:t>
        </w:r>
        <w:r>
          <w:rPr>
            <w:webHidden/>
          </w:rPr>
          <w:tab/>
        </w:r>
        <w:r>
          <w:rPr>
            <w:webHidden/>
          </w:rPr>
          <w:fldChar w:fldCharType="begin"/>
        </w:r>
        <w:r>
          <w:rPr>
            <w:webHidden/>
          </w:rPr>
          <w:instrText xml:space="preserve"> PAGEREF _Toc197939624 \h </w:instrText>
        </w:r>
        <w:r>
          <w:rPr>
            <w:webHidden/>
          </w:rPr>
        </w:r>
        <w:r>
          <w:rPr>
            <w:webHidden/>
          </w:rPr>
          <w:fldChar w:fldCharType="separate"/>
        </w:r>
        <w:r w:rsidR="00E050D2">
          <w:rPr>
            <w:webHidden/>
          </w:rPr>
          <w:t>24</w:t>
        </w:r>
        <w:r>
          <w:rPr>
            <w:webHidden/>
          </w:rPr>
          <w:fldChar w:fldCharType="end"/>
        </w:r>
      </w:hyperlink>
    </w:p>
    <w:p w14:paraId="52CA9F9D" w14:textId="2F9BA59D"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5" w:history="1">
        <w:r w:rsidRPr="00ED62F6">
          <w:rPr>
            <w:rStyle w:val="Hipersaitas"/>
          </w:rPr>
          <w:t>3.4. Projekto įgyvendinimo alternatyvos</w:t>
        </w:r>
        <w:r>
          <w:rPr>
            <w:webHidden/>
          </w:rPr>
          <w:tab/>
        </w:r>
        <w:r>
          <w:rPr>
            <w:webHidden/>
          </w:rPr>
          <w:fldChar w:fldCharType="begin"/>
        </w:r>
        <w:r>
          <w:rPr>
            <w:webHidden/>
          </w:rPr>
          <w:instrText xml:space="preserve"> PAGEREF _Toc197939625 \h </w:instrText>
        </w:r>
        <w:r>
          <w:rPr>
            <w:webHidden/>
          </w:rPr>
        </w:r>
        <w:r>
          <w:rPr>
            <w:webHidden/>
          </w:rPr>
          <w:fldChar w:fldCharType="separate"/>
        </w:r>
        <w:r w:rsidR="00E050D2">
          <w:rPr>
            <w:webHidden/>
          </w:rPr>
          <w:t>25</w:t>
        </w:r>
        <w:r>
          <w:rPr>
            <w:webHidden/>
          </w:rPr>
          <w:fldChar w:fldCharType="end"/>
        </w:r>
      </w:hyperlink>
    </w:p>
    <w:p w14:paraId="425A1A95" w14:textId="4129A160" w:rsidR="00462817" w:rsidRDefault="00462817">
      <w:pPr>
        <w:pStyle w:val="Turinys2"/>
        <w:rPr>
          <w:rFonts w:asciiTheme="minorHAnsi" w:eastAsiaTheme="minorEastAsia" w:hAnsiTheme="minorHAnsi" w:cstheme="minorBidi"/>
          <w:color w:val="auto"/>
          <w:kern w:val="2"/>
          <w:sz w:val="24"/>
          <w:szCs w:val="24"/>
          <w:lang w:eastAsia="lt-LT"/>
          <w14:ligatures w14:val="standardContextual"/>
        </w:rPr>
      </w:pPr>
      <w:hyperlink w:anchor="_Toc197939626" w:history="1">
        <w:r w:rsidRPr="00ED62F6">
          <w:rPr>
            <w:rStyle w:val="Hipersaitas"/>
          </w:rPr>
          <w:t>3.5. Analizės metodo pasirinkimas</w:t>
        </w:r>
        <w:r>
          <w:rPr>
            <w:webHidden/>
          </w:rPr>
          <w:tab/>
        </w:r>
        <w:r>
          <w:rPr>
            <w:webHidden/>
          </w:rPr>
          <w:fldChar w:fldCharType="begin"/>
        </w:r>
        <w:r>
          <w:rPr>
            <w:webHidden/>
          </w:rPr>
          <w:instrText xml:space="preserve"> PAGEREF _Toc197939626 \h </w:instrText>
        </w:r>
        <w:r>
          <w:rPr>
            <w:webHidden/>
          </w:rPr>
        </w:r>
        <w:r>
          <w:rPr>
            <w:webHidden/>
          </w:rPr>
          <w:fldChar w:fldCharType="separate"/>
        </w:r>
        <w:r w:rsidR="00E050D2">
          <w:rPr>
            <w:webHidden/>
          </w:rPr>
          <w:t>25</w:t>
        </w:r>
        <w:r>
          <w:rPr>
            <w:webHidden/>
          </w:rPr>
          <w:fldChar w:fldCharType="end"/>
        </w:r>
      </w:hyperlink>
    </w:p>
    <w:p w14:paraId="2A5D47E0" w14:textId="648ED815" w:rsidR="00122F36" w:rsidRPr="00BF37B2" w:rsidRDefault="00F61A00" w:rsidP="00BF37B2">
      <w:pPr>
        <w:tabs>
          <w:tab w:val="right" w:leader="underscore" w:pos="9923"/>
        </w:tabs>
        <w:ind w:firstLine="0"/>
        <w:rPr>
          <w:rFonts w:asciiTheme="minorHAnsi" w:hAnsiTheme="minorHAnsi" w:cstheme="minorHAnsi"/>
          <w:sz w:val="20"/>
          <w:szCs w:val="20"/>
        </w:rPr>
      </w:pPr>
      <w:r w:rsidRPr="007C4F3A">
        <w:fldChar w:fldCharType="end"/>
      </w:r>
      <w:r w:rsidR="00122F36" w:rsidRPr="007C4F3A">
        <w:br w:type="page"/>
      </w:r>
      <w:bookmarkStart w:id="59" w:name="_Toc123288101"/>
    </w:p>
    <w:p w14:paraId="63E17DA9" w14:textId="77777777" w:rsidR="007D7CB0" w:rsidRPr="007C4F3A" w:rsidRDefault="007D7CB0" w:rsidP="007D7CB0">
      <w:pPr>
        <w:pStyle w:val="Antrat1"/>
        <w:keepNext w:val="0"/>
        <w:keepLines w:val="0"/>
        <w:rPr>
          <w:rFonts w:cs="Arial"/>
        </w:rPr>
      </w:pPr>
      <w:bookmarkStart w:id="60" w:name="_Toc69212399"/>
      <w:bookmarkStart w:id="61" w:name="_Toc73109026"/>
      <w:bookmarkStart w:id="62" w:name="_Toc179189266"/>
      <w:bookmarkStart w:id="63" w:name="_Toc197939609"/>
      <w:bookmarkEnd w:id="59"/>
      <w:r w:rsidRPr="007C4F3A">
        <w:rPr>
          <w:rFonts w:cs="Arial"/>
        </w:rPr>
        <w:lastRenderedPageBreak/>
        <w:t>Santrauka</w:t>
      </w:r>
      <w:bookmarkEnd w:id="60"/>
      <w:bookmarkEnd w:id="61"/>
      <w:bookmarkEnd w:id="62"/>
      <w:bookmarkEnd w:id="63"/>
    </w:p>
    <w:p w14:paraId="633FD808" w14:textId="3B72B6F2" w:rsidR="009651D5" w:rsidRPr="00A81360" w:rsidRDefault="0000063E" w:rsidP="00471A73">
      <w:pPr>
        <w:suppressAutoHyphens/>
        <w:autoSpaceDN w:val="0"/>
        <w:textAlignment w:val="baseline"/>
        <w:rPr>
          <w:rFonts w:eastAsia="Calibri" w:cs="Arial"/>
          <w:color w:val="FF0000"/>
          <w:szCs w:val="38"/>
          <w:lang w:eastAsia="en-GB"/>
        </w:rPr>
      </w:pPr>
      <w:r w:rsidRPr="0000063E">
        <w:rPr>
          <w:rFonts w:eastAsia="Calibri" w:cs="Arial"/>
          <w:color w:val="auto"/>
          <w:szCs w:val="38"/>
          <w:lang w:eastAsia="en-GB"/>
        </w:rPr>
        <w:t xml:space="preserve">Viešosios erdvės yra esminė urbanistinės struktūros dalis, užtikrinanti gyventojų kasdienius poreikius – poilsį, rekreaciją, bendruomeninę sąveiką, taip pat prisidedanti prie gyvenamosios aplinkos patrauklumo ir ekologinės kokybės gerinimo. </w:t>
      </w:r>
      <w:r w:rsidR="009651D5" w:rsidRPr="00DC21E9">
        <w:rPr>
          <w:rFonts w:eastAsia="Calibri" w:cs="Arial"/>
          <w:color w:val="auto"/>
          <w:szCs w:val="38"/>
          <w:lang w:eastAsia="en-GB"/>
        </w:rPr>
        <w:t xml:space="preserve">Tačiau tankiai apgyvendintose teritorijose intensyvi urbanizacija ir didelis užstatymo tankis riboja </w:t>
      </w:r>
      <w:r w:rsidR="00324DF4">
        <w:rPr>
          <w:rFonts w:eastAsia="Calibri" w:cs="Arial"/>
          <w:color w:val="auto"/>
          <w:szCs w:val="38"/>
          <w:lang w:eastAsia="en-GB"/>
        </w:rPr>
        <w:t xml:space="preserve">viešųjų </w:t>
      </w:r>
      <w:r w:rsidR="009651D5" w:rsidRPr="00DC21E9">
        <w:rPr>
          <w:rFonts w:eastAsia="Calibri" w:cs="Arial"/>
          <w:color w:val="auto"/>
          <w:szCs w:val="38"/>
          <w:lang w:eastAsia="en-GB"/>
        </w:rPr>
        <w:t xml:space="preserve">erdvių plėtrą ir modernizaciją, o esami plotai tampa perpildyti ir praranda savo ekologinį bei rekreacinį funkcionalumą. Tokiomis sąlygomis </w:t>
      </w:r>
      <w:r w:rsidR="00DC21E9" w:rsidRPr="00DC21E9">
        <w:rPr>
          <w:rFonts w:eastAsia="Calibri" w:cs="Arial"/>
          <w:color w:val="auto"/>
          <w:szCs w:val="38"/>
          <w:lang w:eastAsia="en-GB"/>
        </w:rPr>
        <w:t xml:space="preserve">viešųjų </w:t>
      </w:r>
      <w:r w:rsidR="009651D5" w:rsidRPr="00DC21E9">
        <w:rPr>
          <w:rFonts w:eastAsia="Calibri" w:cs="Arial"/>
          <w:color w:val="auto"/>
          <w:szCs w:val="38"/>
          <w:lang w:eastAsia="en-GB"/>
        </w:rPr>
        <w:t xml:space="preserve">erdvių kokybės gerinimas ir jų plėtra tampa būtini, siekiant užtikrinti gyvenamosios aplinkos tvarumą, gyventojų poreikius bei teritorijos ekologinį </w:t>
      </w:r>
      <w:r w:rsidR="009651D5" w:rsidRPr="00A21122">
        <w:rPr>
          <w:rFonts w:eastAsia="Calibri" w:cs="Arial"/>
          <w:color w:val="auto"/>
          <w:szCs w:val="38"/>
          <w:lang w:eastAsia="en-GB"/>
        </w:rPr>
        <w:t>stabilumą.</w:t>
      </w:r>
      <w:r w:rsidR="00471A73" w:rsidRPr="00A21122">
        <w:rPr>
          <w:rFonts w:eastAsia="Calibri" w:cs="Arial"/>
          <w:color w:val="auto"/>
          <w:szCs w:val="38"/>
          <w:lang w:eastAsia="en-GB"/>
        </w:rPr>
        <w:t xml:space="preserve"> Ši situacija ypač aktuali </w:t>
      </w:r>
      <w:r w:rsidR="00A07BE9" w:rsidRPr="00A21122">
        <w:rPr>
          <w:rFonts w:eastAsia="Calibri" w:cs="Arial"/>
          <w:color w:val="auto"/>
          <w:szCs w:val="38"/>
          <w:lang w:eastAsia="en-GB"/>
        </w:rPr>
        <w:t>Utenos</w:t>
      </w:r>
      <w:r w:rsidR="00471A73" w:rsidRPr="00A21122">
        <w:rPr>
          <w:rFonts w:eastAsia="Calibri" w:cs="Arial"/>
          <w:color w:val="auto"/>
          <w:szCs w:val="38"/>
          <w:lang w:eastAsia="en-GB"/>
        </w:rPr>
        <w:t xml:space="preserve"> </w:t>
      </w:r>
      <w:r w:rsidR="00A07BE9" w:rsidRPr="00A21122">
        <w:rPr>
          <w:rFonts w:eastAsia="Calibri" w:cs="Arial"/>
          <w:color w:val="auto"/>
          <w:szCs w:val="38"/>
          <w:lang w:eastAsia="en-GB"/>
        </w:rPr>
        <w:t>miest</w:t>
      </w:r>
      <w:r w:rsidR="00471A73" w:rsidRPr="00A21122">
        <w:rPr>
          <w:rFonts w:eastAsia="Calibri" w:cs="Arial"/>
          <w:color w:val="auto"/>
          <w:szCs w:val="38"/>
          <w:lang w:eastAsia="en-GB"/>
        </w:rPr>
        <w:t xml:space="preserve">e, kur </w:t>
      </w:r>
      <w:r w:rsidR="00A07BE9" w:rsidRPr="00A21122">
        <w:rPr>
          <w:rFonts w:eastAsia="Calibri" w:cs="Arial"/>
          <w:color w:val="auto"/>
          <w:szCs w:val="38"/>
          <w:lang w:eastAsia="en-GB"/>
        </w:rPr>
        <w:t>tankiai apgyvendintuose rajonuose</w:t>
      </w:r>
      <w:r w:rsidR="00A21122" w:rsidRPr="00A21122">
        <w:rPr>
          <w:rFonts w:eastAsia="Calibri" w:cs="Arial"/>
          <w:color w:val="auto"/>
          <w:szCs w:val="38"/>
          <w:lang w:eastAsia="en-GB"/>
        </w:rPr>
        <w:t xml:space="preserve"> viešųjų</w:t>
      </w:r>
      <w:r w:rsidR="00471A73" w:rsidRPr="00A21122">
        <w:rPr>
          <w:rFonts w:eastAsia="Calibri" w:cs="Arial"/>
          <w:color w:val="auto"/>
          <w:szCs w:val="38"/>
          <w:lang w:eastAsia="en-GB"/>
        </w:rPr>
        <w:t xml:space="preserve"> erdvių plėtra ir modernizacija tampa prioritetu siekiant užtikrinti vietos bendruomenės gyvenimo kokybę ir aplinkos tvarumą.</w:t>
      </w:r>
    </w:p>
    <w:p w14:paraId="698B9155" w14:textId="4BC53E45" w:rsidR="00E04535" w:rsidRDefault="00E04535" w:rsidP="007B4E9D">
      <w:pPr>
        <w:pStyle w:val="Pagrindinis"/>
        <w:rPr>
          <w:lang w:eastAsia="en-GB"/>
        </w:rPr>
      </w:pPr>
      <w:r w:rsidRPr="00E04535">
        <w:rPr>
          <w:lang w:eastAsia="en-GB"/>
        </w:rPr>
        <w:t>Investicijų projektu nagrinėjama viešoji paslauga – viešosios erdvės, skirtos gyventojų poilsiui, judėjimui ir bendruomeninei veiklai</w:t>
      </w:r>
      <w:r w:rsidR="007B4E9D">
        <w:rPr>
          <w:lang w:eastAsia="en-GB"/>
        </w:rPr>
        <w:t>.</w:t>
      </w:r>
    </w:p>
    <w:p w14:paraId="4F461BCF" w14:textId="1581F473" w:rsidR="007D7CB0" w:rsidRPr="004265F3" w:rsidRDefault="007D7CB0" w:rsidP="00E04535">
      <w:pPr>
        <w:pStyle w:val="Pagrindinis"/>
      </w:pPr>
      <w:r w:rsidRPr="004265F3">
        <w:rPr>
          <w:lang w:eastAsia="en-GB"/>
        </w:rPr>
        <w:t xml:space="preserve">Pagrindinės priežastys projekto inicijavimui: </w:t>
      </w:r>
      <w:r w:rsidR="00DC21E9" w:rsidRPr="00DC21E9">
        <w:rPr>
          <w:rStyle w:val="apple-converted-space"/>
          <w:rFonts w:cs="Arial"/>
          <w:color w:val="auto"/>
        </w:rPr>
        <w:t>Utenos</w:t>
      </w:r>
      <w:r w:rsidR="006E2C89" w:rsidRPr="00DC21E9">
        <w:rPr>
          <w:rStyle w:val="apple-converted-space"/>
          <w:rFonts w:cs="Arial"/>
          <w:color w:val="auto"/>
        </w:rPr>
        <w:t xml:space="preserve"> rajono savivaldybės biudžeto lėšų trūkumas</w:t>
      </w:r>
      <w:r w:rsidR="006E2C89" w:rsidRPr="00DC21E9">
        <w:rPr>
          <w:lang w:eastAsia="en-GB"/>
        </w:rPr>
        <w:t>,</w:t>
      </w:r>
      <w:r w:rsidR="006E2C89" w:rsidRPr="00DC21E9">
        <w:t xml:space="preserve"> </w:t>
      </w:r>
      <w:r w:rsidR="006E2C89" w:rsidRPr="00A21122">
        <w:t>di</w:t>
      </w:r>
      <w:r w:rsidR="00A21122" w:rsidRPr="00A21122">
        <w:t>delis</w:t>
      </w:r>
      <w:r w:rsidR="006E2C89" w:rsidRPr="00A21122">
        <w:t xml:space="preserve"> </w:t>
      </w:r>
      <w:r w:rsidR="006E2C89" w:rsidRPr="003F19BA">
        <w:t>gyventojų tankumas</w:t>
      </w:r>
      <w:r w:rsidR="007B4E9D" w:rsidRPr="003F19BA">
        <w:t xml:space="preserve"> Aukštakalnio mikrorajone</w:t>
      </w:r>
      <w:r w:rsidR="006E2C89" w:rsidRPr="003F19BA">
        <w:t xml:space="preserve">, </w:t>
      </w:r>
      <w:r w:rsidR="003F19BA" w:rsidRPr="003F19BA">
        <w:t>padidėjęs viešųjų erdvių nusidėvėjimas dėl intensyvaus naudojimo, viešoji infrastruktūra neužtikrina gyventojų poreikių socialinei sąveikai, poilsiui ir bendruomeninei veiklai</w:t>
      </w:r>
      <w:r w:rsidR="006E2C89" w:rsidRPr="003F19BA">
        <w:t>.</w:t>
      </w:r>
    </w:p>
    <w:p w14:paraId="3A6065C2" w14:textId="10FC123B" w:rsidR="007B4E9D" w:rsidRPr="003F19BA" w:rsidRDefault="009D161B" w:rsidP="003F19BA">
      <w:pPr>
        <w:suppressAutoHyphens/>
        <w:autoSpaceDN w:val="0"/>
        <w:textAlignment w:val="baseline"/>
        <w:rPr>
          <w:rFonts w:cs="Arial"/>
          <w:color w:val="auto"/>
        </w:rPr>
      </w:pPr>
      <w:r>
        <w:rPr>
          <w:rFonts w:eastAsia="Calibri" w:cs="Arial"/>
          <w:color w:val="auto"/>
          <w:lang w:eastAsia="en-GB"/>
        </w:rPr>
        <w:t>Utenos</w:t>
      </w:r>
      <w:r w:rsidR="007D7CB0" w:rsidRPr="004265F3">
        <w:rPr>
          <w:rFonts w:eastAsia="Calibri" w:cs="Arial"/>
          <w:color w:val="auto"/>
          <w:lang w:eastAsia="en-GB"/>
        </w:rPr>
        <w:t xml:space="preserve"> </w:t>
      </w:r>
      <w:r w:rsidR="009A4BDC" w:rsidRPr="004265F3">
        <w:rPr>
          <w:rFonts w:eastAsia="Calibri" w:cs="Arial"/>
          <w:color w:val="auto"/>
          <w:lang w:eastAsia="en-GB"/>
        </w:rPr>
        <w:t>rajono</w:t>
      </w:r>
      <w:r w:rsidR="007D7CB0" w:rsidRPr="004265F3">
        <w:rPr>
          <w:rFonts w:eastAsia="Calibri" w:cs="Arial"/>
          <w:color w:val="auto"/>
          <w:lang w:eastAsia="en-GB"/>
        </w:rPr>
        <w:t xml:space="preserve"> savivaldybės administracijos investicijų projekto apibendrintai </w:t>
      </w:r>
      <w:r w:rsidR="007D7CB0" w:rsidRPr="004265F3">
        <w:rPr>
          <w:rFonts w:eastAsia="Calibri" w:cs="Arial"/>
          <w:b/>
          <w:bCs/>
          <w:color w:val="auto"/>
          <w:lang w:eastAsia="en-GB"/>
        </w:rPr>
        <w:t>problema</w:t>
      </w:r>
      <w:r w:rsidR="007D7CB0" w:rsidRPr="00DE2A4C">
        <w:rPr>
          <w:rFonts w:eastAsia="Calibri" w:cs="Arial"/>
          <w:b/>
          <w:bCs/>
          <w:color w:val="auto"/>
          <w:lang w:eastAsia="en-GB"/>
        </w:rPr>
        <w:t>tiką</w:t>
      </w:r>
      <w:r w:rsidR="007D7CB0" w:rsidRPr="00DE2A4C">
        <w:rPr>
          <w:rFonts w:eastAsia="Calibri" w:cs="Arial"/>
          <w:color w:val="auto"/>
          <w:lang w:eastAsia="en-GB"/>
        </w:rPr>
        <w:t xml:space="preserve"> galima išreikšti taip: </w:t>
      </w:r>
      <w:r w:rsidR="003F19BA">
        <w:rPr>
          <w:rFonts w:cs="Arial"/>
          <w:i/>
          <w:iCs/>
          <w:color w:val="auto"/>
        </w:rPr>
        <w:t>n</w:t>
      </w:r>
      <w:r w:rsidR="003F19BA" w:rsidRPr="003F19BA">
        <w:rPr>
          <w:rFonts w:cs="Arial"/>
          <w:i/>
          <w:iCs/>
          <w:color w:val="auto"/>
        </w:rPr>
        <w:t>epakankama viešųjų erdvių plėtra ir atnaujinimas Utenos miesto urbanizuotose teritorijose</w:t>
      </w:r>
      <w:r w:rsidR="00CC3B25" w:rsidRPr="003F19BA">
        <w:rPr>
          <w:rFonts w:cs="Arial"/>
          <w:color w:val="auto"/>
        </w:rPr>
        <w:t>.</w:t>
      </w:r>
    </w:p>
    <w:p w14:paraId="4E892D2E" w14:textId="77777777" w:rsidR="002F5F80" w:rsidRPr="007C4F3A" w:rsidRDefault="002F5F80" w:rsidP="002F5F80">
      <w:pPr>
        <w:suppressAutoHyphens/>
        <w:autoSpaceDN w:val="0"/>
        <w:textAlignment w:val="baseline"/>
        <w:rPr>
          <w:rFonts w:eastAsia="Calibri" w:cs="Arial"/>
          <w:szCs w:val="38"/>
          <w:lang w:eastAsia="en-GB"/>
        </w:rPr>
      </w:pPr>
      <w:r w:rsidRPr="007C4F3A">
        <w:rPr>
          <w:rFonts w:eastAsia="Calibri" w:cs="Arial"/>
          <w:szCs w:val="38"/>
          <w:lang w:eastAsia="en-GB"/>
        </w:rPr>
        <w:t xml:space="preserve">Projekto įgyvendinimui suformuluotas </w:t>
      </w:r>
      <w:r w:rsidRPr="007C4F3A">
        <w:rPr>
          <w:rFonts w:eastAsia="Calibri" w:cs="Arial"/>
          <w:b/>
          <w:bCs/>
          <w:szCs w:val="38"/>
          <w:lang w:eastAsia="en-GB"/>
        </w:rPr>
        <w:t>tikslas</w:t>
      </w:r>
      <w:r w:rsidRPr="007C4F3A">
        <w:rPr>
          <w:rFonts w:eastAsia="Calibri" w:cs="Arial"/>
          <w:szCs w:val="38"/>
          <w:lang w:eastAsia="en-GB"/>
        </w:rPr>
        <w:t xml:space="preserve"> – </w:t>
      </w:r>
      <w:r w:rsidRPr="00CE7D93">
        <w:rPr>
          <w:rFonts w:eastAsia="Calibri" w:cs="Arial"/>
          <w:szCs w:val="38"/>
          <w:lang w:eastAsia="en-GB"/>
        </w:rPr>
        <w:t>gerinti gyvenamosios aplinkos kokybę urbanizuotoje Utenos miesto teritorijoje, didinant viešųjų erdvių patrauklumą, prieinamumą ir funkcionalumą.</w:t>
      </w:r>
    </w:p>
    <w:p w14:paraId="16B38F58" w14:textId="272433E6" w:rsidR="002F5F80" w:rsidRPr="002F5F80" w:rsidRDefault="002F5F80" w:rsidP="002F5F80">
      <w:pPr>
        <w:suppressAutoHyphens/>
        <w:autoSpaceDN w:val="0"/>
        <w:textAlignment w:val="baseline"/>
        <w:rPr>
          <w:rFonts w:eastAsia="Calibri" w:cs="Raleway Light"/>
          <w:color w:val="auto"/>
          <w:szCs w:val="38"/>
          <w:lang w:eastAsia="en-GB"/>
        </w:rPr>
      </w:pPr>
      <w:r w:rsidRPr="007C4F3A">
        <w:rPr>
          <w:rFonts w:eastAsia="Calibri" w:cs="Arial"/>
          <w:szCs w:val="38"/>
          <w:lang w:eastAsia="en-GB"/>
        </w:rPr>
        <w:t xml:space="preserve">Projekto tikslui pasiekti numatomas </w:t>
      </w:r>
      <w:r w:rsidRPr="007C4F3A">
        <w:rPr>
          <w:rFonts w:eastAsia="Calibri" w:cs="Arial"/>
          <w:b/>
          <w:bCs/>
          <w:szCs w:val="38"/>
          <w:lang w:eastAsia="en-GB"/>
        </w:rPr>
        <w:t>uždavinys</w:t>
      </w:r>
      <w:r w:rsidRPr="007C4F3A">
        <w:rPr>
          <w:rFonts w:eastAsia="Calibri" w:cs="Arial"/>
          <w:szCs w:val="38"/>
          <w:lang w:eastAsia="en-GB"/>
        </w:rPr>
        <w:t xml:space="preserve"> – </w:t>
      </w:r>
      <w:r w:rsidRPr="00024522">
        <w:rPr>
          <w:rFonts w:eastAsia="Calibri" w:cs="Arial"/>
          <w:szCs w:val="38"/>
          <w:lang w:eastAsia="en-GB"/>
        </w:rPr>
        <w:t>atgaivinti ir modernizuoti Aukštakalnio daugiabučių namų mikrorajono teritoriją (apribotą Aukštakalnio g., Taikos g., Kupiškio g. ir Vyžuonos parku), įgyvendinant universalaus dizaino principais grindžiamus sprendimus</w:t>
      </w:r>
      <w:r>
        <w:rPr>
          <w:rFonts w:eastAsia="Calibri" w:cs="Raleway Light"/>
          <w:color w:val="auto"/>
          <w:szCs w:val="38"/>
          <w:lang w:eastAsia="en-GB"/>
        </w:rPr>
        <w:t>.</w:t>
      </w:r>
    </w:p>
    <w:p w14:paraId="03022761" w14:textId="55A6547A" w:rsidR="007D7CB0" w:rsidRPr="000B04C9" w:rsidRDefault="007D7CB0" w:rsidP="007D7CB0">
      <w:pPr>
        <w:suppressAutoHyphens/>
        <w:autoSpaceDN w:val="0"/>
        <w:textAlignment w:val="baseline"/>
        <w:rPr>
          <w:rFonts w:eastAsia="Calibri" w:cs="Arial"/>
          <w:color w:val="auto"/>
          <w:szCs w:val="38"/>
          <w:lang w:eastAsia="en-GB"/>
        </w:rPr>
      </w:pPr>
      <w:r w:rsidRPr="000B04C9">
        <w:rPr>
          <w:rFonts w:eastAsia="Calibri" w:cs="Arial"/>
          <w:color w:val="auto"/>
          <w:szCs w:val="38"/>
          <w:lang w:eastAsia="en-GB"/>
        </w:rPr>
        <w:t xml:space="preserve">Bendras projekto biudžetas siekia </w:t>
      </w:r>
      <w:r w:rsidR="00434E2B">
        <w:rPr>
          <w:rFonts w:eastAsia="Calibri" w:cs="Arial"/>
          <w:color w:val="auto"/>
          <w:szCs w:val="38"/>
          <w:lang w:eastAsia="en-GB"/>
        </w:rPr>
        <w:t>4 000 000,00</w:t>
      </w:r>
      <w:r w:rsidRPr="000B04C9">
        <w:rPr>
          <w:rFonts w:eastAsia="Calibri" w:cs="Arial"/>
          <w:color w:val="auto"/>
          <w:szCs w:val="38"/>
          <w:lang w:eastAsia="en-GB"/>
        </w:rPr>
        <w:t xml:space="preserve"> Eur. ES struktūrinių fondų lėšos – </w:t>
      </w:r>
      <w:r w:rsidR="00434E2B">
        <w:rPr>
          <w:rFonts w:eastAsia="Calibri" w:cs="Arial"/>
          <w:color w:val="auto"/>
          <w:szCs w:val="38"/>
          <w:lang w:eastAsia="en-GB"/>
        </w:rPr>
        <w:t>3 400 000,00</w:t>
      </w:r>
      <w:r w:rsidRPr="000B04C9">
        <w:rPr>
          <w:rFonts w:eastAsia="Calibri" w:cs="Arial"/>
          <w:color w:val="auto"/>
          <w:szCs w:val="38"/>
          <w:lang w:eastAsia="en-GB"/>
        </w:rPr>
        <w:t xml:space="preserve"> </w:t>
      </w:r>
      <w:r w:rsidR="006F774F">
        <w:rPr>
          <w:rFonts w:eastAsia="Calibri" w:cs="Arial"/>
          <w:color w:val="auto"/>
          <w:szCs w:val="38"/>
          <w:lang w:eastAsia="en-GB"/>
        </w:rPr>
        <w:t xml:space="preserve">Eur </w:t>
      </w:r>
      <w:r w:rsidRPr="000B04C9">
        <w:rPr>
          <w:rFonts w:eastAsia="Calibri" w:cs="Arial"/>
          <w:color w:val="auto"/>
          <w:szCs w:val="38"/>
          <w:lang w:eastAsia="en-GB"/>
        </w:rPr>
        <w:t xml:space="preserve">ir </w:t>
      </w:r>
      <w:r w:rsidR="00434E2B">
        <w:rPr>
          <w:rFonts w:eastAsia="Calibri" w:cs="Arial"/>
          <w:color w:val="auto"/>
          <w:szCs w:val="38"/>
          <w:lang w:eastAsia="en-GB"/>
        </w:rPr>
        <w:t>600 000,00</w:t>
      </w:r>
      <w:r w:rsidRPr="000B04C9">
        <w:rPr>
          <w:rFonts w:eastAsia="Calibri" w:cs="Arial"/>
          <w:color w:val="auto"/>
          <w:szCs w:val="38"/>
          <w:lang w:eastAsia="en-GB"/>
        </w:rPr>
        <w:t xml:space="preserve"> Eur nuosavo įnašo dydis.</w:t>
      </w:r>
    </w:p>
    <w:p w14:paraId="04AD76A1" w14:textId="0C534AB2" w:rsidR="007D7CB0" w:rsidRPr="00DE2A4C" w:rsidRDefault="007D7CB0" w:rsidP="007D7CB0">
      <w:pPr>
        <w:suppressAutoHyphens/>
        <w:autoSpaceDN w:val="0"/>
        <w:textAlignment w:val="baseline"/>
        <w:rPr>
          <w:rFonts w:eastAsia="Calibri" w:cs="Arial"/>
          <w:color w:val="auto"/>
          <w:szCs w:val="38"/>
          <w:lang w:eastAsia="en-GB"/>
        </w:rPr>
      </w:pPr>
      <w:r w:rsidRPr="00DE2A4C">
        <w:rPr>
          <w:rFonts w:eastAsia="Calibri" w:cs="Arial"/>
          <w:color w:val="auto"/>
          <w:szCs w:val="38"/>
          <w:lang w:eastAsia="en-GB"/>
        </w:rPr>
        <w:t xml:space="preserve">Projekto objektas yra </w:t>
      </w:r>
      <w:r w:rsidR="00471A73" w:rsidRPr="007C4F3A">
        <w:t>žalio</w:t>
      </w:r>
      <w:r w:rsidR="00471A73">
        <w:t>sios</w:t>
      </w:r>
      <w:r w:rsidR="00471A73" w:rsidRPr="007C4F3A">
        <w:t xml:space="preserve"> infrastruktūr</w:t>
      </w:r>
      <w:r w:rsidR="00471A73">
        <w:t xml:space="preserve">os </w:t>
      </w:r>
      <w:r w:rsidRPr="00DE2A4C">
        <w:rPr>
          <w:rFonts w:eastAsia="Calibri" w:cs="Arial"/>
          <w:color w:val="auto"/>
          <w:szCs w:val="38"/>
          <w:lang w:eastAsia="en-GB"/>
        </w:rPr>
        <w:t xml:space="preserve">paslauga, todėl Projektas turi socialinę, o ne komercinę prigimtį ir yra orientuotas ne į pajamas, tačiau į ekonominės naudos sukūrimą. Socialinės-ekonominės naudos analizė parodė, kad įgyvendinus alternatyvą numatoma socialinė-ekonominė nauda grynąja dabartine verte sudaro (EGDV) </w:t>
      </w:r>
      <w:r w:rsidR="007D069E">
        <w:rPr>
          <w:rFonts w:eastAsia="Calibri" w:cs="Arial"/>
          <w:color w:val="auto"/>
          <w:szCs w:val="38"/>
          <w:lang w:eastAsia="en-GB"/>
        </w:rPr>
        <w:t>236 792</w:t>
      </w:r>
      <w:r w:rsidR="006A26B8" w:rsidRPr="00DE2A4C">
        <w:rPr>
          <w:rFonts w:eastAsia="Calibri" w:cs="Arial"/>
          <w:color w:val="auto"/>
          <w:szCs w:val="38"/>
          <w:lang w:eastAsia="en-GB"/>
        </w:rPr>
        <w:t xml:space="preserve"> </w:t>
      </w:r>
      <w:r w:rsidRPr="00DE2A4C">
        <w:rPr>
          <w:rFonts w:eastAsia="Calibri" w:cs="Arial"/>
          <w:color w:val="auto"/>
          <w:szCs w:val="38"/>
          <w:lang w:eastAsia="en-GB"/>
        </w:rPr>
        <w:t xml:space="preserve">Eur, ekonominė vidinė grąžos norma – </w:t>
      </w:r>
      <w:r w:rsidR="007D069E">
        <w:rPr>
          <w:rFonts w:eastAsia="Calibri" w:cs="Arial"/>
          <w:color w:val="auto"/>
          <w:szCs w:val="38"/>
          <w:lang w:eastAsia="en-GB"/>
        </w:rPr>
        <w:t>6,88</w:t>
      </w:r>
      <w:r w:rsidRPr="00DE2A4C">
        <w:rPr>
          <w:rFonts w:eastAsia="Calibri" w:cs="Arial"/>
          <w:color w:val="auto"/>
          <w:szCs w:val="38"/>
          <w:lang w:eastAsia="en-GB"/>
        </w:rPr>
        <w:t xml:space="preserve"> proc.</w:t>
      </w:r>
    </w:p>
    <w:p w14:paraId="0DACAF6C" w14:textId="24D44752" w:rsidR="007D7CB0" w:rsidRPr="0023146D" w:rsidRDefault="007D7CB0" w:rsidP="007D7CB0">
      <w:pPr>
        <w:suppressAutoHyphens/>
        <w:autoSpaceDN w:val="0"/>
        <w:textAlignment w:val="baseline"/>
        <w:rPr>
          <w:rFonts w:eastAsia="Calibri" w:cs="Arial"/>
          <w:color w:val="auto"/>
          <w:szCs w:val="38"/>
          <w:lang w:eastAsia="en-GB"/>
        </w:rPr>
      </w:pPr>
      <w:r w:rsidRPr="007D5D20">
        <w:rPr>
          <w:rFonts w:eastAsia="Calibri" w:cs="Arial"/>
          <w:color w:val="auto"/>
          <w:szCs w:val="38"/>
          <w:lang w:eastAsia="en-GB"/>
        </w:rPr>
        <w:t>Planuojama pradžia 2025 m. I</w:t>
      </w:r>
      <w:r w:rsidR="00377D90" w:rsidRPr="007D5D20">
        <w:rPr>
          <w:rFonts w:eastAsia="Calibri" w:cs="Arial"/>
          <w:color w:val="auto"/>
          <w:szCs w:val="38"/>
          <w:lang w:eastAsia="en-GB"/>
        </w:rPr>
        <w:t>I</w:t>
      </w:r>
      <w:r w:rsidRPr="007D5D20">
        <w:rPr>
          <w:rFonts w:eastAsia="Calibri" w:cs="Arial"/>
          <w:color w:val="auto"/>
          <w:szCs w:val="38"/>
          <w:lang w:eastAsia="en-GB"/>
        </w:rPr>
        <w:t xml:space="preserve"> </w:t>
      </w:r>
      <w:proofErr w:type="spellStart"/>
      <w:r w:rsidRPr="007D5D20">
        <w:rPr>
          <w:rFonts w:eastAsia="Calibri" w:cs="Arial"/>
          <w:color w:val="auto"/>
          <w:szCs w:val="38"/>
          <w:lang w:eastAsia="en-GB"/>
        </w:rPr>
        <w:t>ketv</w:t>
      </w:r>
      <w:proofErr w:type="spellEnd"/>
      <w:r w:rsidRPr="007D5D20">
        <w:rPr>
          <w:rFonts w:eastAsia="Calibri" w:cs="Arial"/>
          <w:color w:val="auto"/>
          <w:szCs w:val="38"/>
          <w:lang w:eastAsia="en-GB"/>
        </w:rPr>
        <w:t>., o projektą planuojama baigti 202</w:t>
      </w:r>
      <w:r w:rsidR="007D5D20" w:rsidRPr="007D5D20">
        <w:rPr>
          <w:rFonts w:eastAsia="Calibri" w:cs="Arial"/>
          <w:color w:val="auto"/>
          <w:szCs w:val="38"/>
          <w:lang w:eastAsia="en-GB"/>
        </w:rPr>
        <w:t>8</w:t>
      </w:r>
      <w:r w:rsidRPr="007D5D20">
        <w:rPr>
          <w:rFonts w:eastAsia="Calibri" w:cs="Arial"/>
          <w:color w:val="auto"/>
          <w:szCs w:val="38"/>
          <w:lang w:eastAsia="en-GB"/>
        </w:rPr>
        <w:t xml:space="preserve"> m. IV </w:t>
      </w:r>
      <w:proofErr w:type="spellStart"/>
      <w:r w:rsidRPr="007D5D20">
        <w:rPr>
          <w:rFonts w:eastAsia="Calibri" w:cs="Arial"/>
          <w:color w:val="auto"/>
          <w:szCs w:val="38"/>
          <w:lang w:eastAsia="en-GB"/>
        </w:rPr>
        <w:t>ketv</w:t>
      </w:r>
      <w:proofErr w:type="spellEnd"/>
      <w:r w:rsidRPr="007D5D20">
        <w:rPr>
          <w:rFonts w:eastAsia="Calibri" w:cs="Arial"/>
          <w:color w:val="auto"/>
          <w:szCs w:val="38"/>
          <w:lang w:eastAsia="en-GB"/>
        </w:rPr>
        <w:t>.</w:t>
      </w:r>
    </w:p>
    <w:p w14:paraId="5CC49367" w14:textId="1FE19000" w:rsidR="007D7CB0" w:rsidRPr="007C4F3A" w:rsidRDefault="007D7CB0" w:rsidP="00933451">
      <w:pPr>
        <w:suppressAutoHyphens/>
        <w:autoSpaceDN w:val="0"/>
        <w:textAlignment w:val="baseline"/>
        <w:rPr>
          <w:rFonts w:eastAsia="Calibri" w:cs="Arial"/>
          <w:color w:val="FF0000"/>
          <w:szCs w:val="38"/>
          <w:lang w:eastAsia="en-GB"/>
        </w:rPr>
      </w:pPr>
      <w:r w:rsidRPr="0023146D">
        <w:rPr>
          <w:rFonts w:eastAsia="Calibri" w:cs="Arial"/>
          <w:color w:val="auto"/>
          <w:szCs w:val="38"/>
          <w:lang w:eastAsia="en-GB"/>
        </w:rPr>
        <w:t xml:space="preserve">Investicijų projekto rengimui ir alternatyvų vertinimui naudotos „Investicijų projektų rengimo metodika“ (patvirtinta VšĮ Centrinės projektų valdymo agentūros direktoriaus 2014 m. gruodžio 31 d. įsakymu Nr. 2014/8-337 (2023 m. sausio mėn. 6 d. įsakymo Nr. 2023/8-4 redakcija), „Metodikos ir modelio, skirto įvertinti investicijų, finansuojamų Europos Sąjungos struktūrinių fondų ir Lietuvos nacionalinio </w:t>
      </w:r>
      <w:r w:rsidRPr="00175EF4">
        <w:rPr>
          <w:rFonts w:eastAsia="Calibri" w:cs="Arial"/>
          <w:color w:val="auto"/>
          <w:szCs w:val="38"/>
          <w:lang w:eastAsia="en-GB"/>
        </w:rPr>
        <w:t xml:space="preserve">biudžeto lėšomis, socialinį-ekonominį poveikį, sukūrimas“ galutinės ataskaitos rekomendacijos, pagal 2021-2027 m. Regioninės pažangos priemonę </w:t>
      </w:r>
      <w:r w:rsidR="007E35CB" w:rsidRPr="00175EF4">
        <w:rPr>
          <w:rFonts w:eastAsia="Calibri" w:cs="Arial"/>
          <w:color w:val="auto"/>
          <w:szCs w:val="38"/>
          <w:lang w:eastAsia="en-GB"/>
        </w:rPr>
        <w:t xml:space="preserve">01-004-07-02-01 (RE) </w:t>
      </w:r>
      <w:r w:rsidRPr="00175EF4">
        <w:rPr>
          <w:rFonts w:eastAsia="Calibri" w:cs="Arial"/>
          <w:color w:val="auto"/>
          <w:szCs w:val="38"/>
          <w:lang w:eastAsia="en-GB"/>
        </w:rPr>
        <w:t>„Pagerinti viešųjų paslaugų prieinamumą, darbo vietų pasiekiamumą ir tam reikalingų išteklių naudojimo efektyvumą“ finansavimo gairės.</w:t>
      </w:r>
      <w:r w:rsidRPr="007C4F3A">
        <w:rPr>
          <w:rFonts w:eastAsia="Calibri" w:cs="Arial"/>
          <w:color w:val="FF0000"/>
          <w:szCs w:val="38"/>
          <w:lang w:eastAsia="en-GB"/>
        </w:rPr>
        <w:br w:type="page"/>
      </w:r>
    </w:p>
    <w:p w14:paraId="04A4B308" w14:textId="5971E250" w:rsidR="00372DDB" w:rsidRPr="007C4F3A" w:rsidRDefault="006F1D33" w:rsidP="00F37AE4">
      <w:pPr>
        <w:pStyle w:val="Antrat1"/>
        <w:numPr>
          <w:ilvl w:val="0"/>
          <w:numId w:val="3"/>
        </w:numPr>
      </w:pPr>
      <w:bookmarkStart w:id="64" w:name="_Toc123288102"/>
      <w:bookmarkStart w:id="65" w:name="_Toc159421935"/>
      <w:bookmarkStart w:id="66" w:name="_Toc160544939"/>
      <w:bookmarkStart w:id="67" w:name="_Toc161166366"/>
      <w:bookmarkStart w:id="68" w:name="_Hlk178829727"/>
      <w:bookmarkStart w:id="69" w:name="_Toc179180654"/>
      <w:bookmarkStart w:id="70" w:name="_Toc197939610"/>
      <w:bookmarkStart w:id="71" w:name="_Hlk178829645"/>
      <w:r w:rsidRPr="007C4F3A">
        <w:lastRenderedPageBreak/>
        <w:t>Projekto kontekstas</w:t>
      </w:r>
      <w:bookmarkStart w:id="72" w:name="_Hlk178829714"/>
      <w:bookmarkEnd w:id="64"/>
      <w:bookmarkEnd w:id="65"/>
      <w:bookmarkEnd w:id="66"/>
      <w:bookmarkEnd w:id="67"/>
      <w:bookmarkEnd w:id="68"/>
      <w:bookmarkEnd w:id="69"/>
      <w:bookmarkEnd w:id="70"/>
    </w:p>
    <w:p w14:paraId="3E756E20" w14:textId="77777777" w:rsidR="00CC392A" w:rsidRDefault="003323E7" w:rsidP="00CC392A">
      <w:pPr>
        <w:spacing w:after="120"/>
      </w:pPr>
      <w:r w:rsidRPr="007C4F3A">
        <w:rPr>
          <w:rFonts w:eastAsia="Calibri" w:cs="Arial"/>
          <w:color w:val="auto"/>
        </w:rPr>
        <w:t>Ši Investicinio projekto (toliau – IP) dalis skirta projekto išorinei ir vidinei aplinkai išanalizuoti, projekto riboms apibrėžti, projekto organizacijai pristatyti. Detaliai atskleistas projekto kontekstas būtinas įvertinti projekto tikslų, uždavinių ir veiklų įgyvendinimo prielaidų ir rezultatų optimalumą, realumą bei pagrįstumą. Taip pat aprašomas juridinis ar fizinis subjektas ar jų grupė, prisiimanti atsakomybę už projekto įgyvendinimą ir vykdanti pagrindines projekto veiklas, vadinama projekto organizacija.</w:t>
      </w:r>
      <w:bookmarkStart w:id="73" w:name="_Hlk174951618"/>
    </w:p>
    <w:p w14:paraId="7509ABDA" w14:textId="4DF8AC48" w:rsidR="003323E7" w:rsidRDefault="00CC392A" w:rsidP="00CC392A">
      <w:pPr>
        <w:spacing w:after="120"/>
        <w:rPr>
          <w:rFonts w:eastAsia="Calibri" w:cs="Arial"/>
          <w:color w:val="auto"/>
        </w:rPr>
      </w:pPr>
      <w:r w:rsidRPr="007C4F3A">
        <w:t>Šio projekto apimtyje yra nagrinėjam</w:t>
      </w:r>
      <w:r w:rsidR="00FE1949">
        <w:t>os viešosios erdvės</w:t>
      </w:r>
      <w:r>
        <w:t>.</w:t>
      </w:r>
      <w:bookmarkEnd w:id="73"/>
    </w:p>
    <w:p w14:paraId="0FB5910F" w14:textId="77777777" w:rsidR="00CC58B4" w:rsidRPr="007C4F3A" w:rsidRDefault="00CC58B4" w:rsidP="00CC392A">
      <w:pPr>
        <w:spacing w:after="120"/>
        <w:rPr>
          <w:rFonts w:eastAsia="Calibri" w:cs="Arial"/>
          <w:color w:val="auto"/>
        </w:rPr>
      </w:pPr>
    </w:p>
    <w:p w14:paraId="5E5D339B" w14:textId="49C54E8B" w:rsidR="0070296C" w:rsidRPr="00D67B2F" w:rsidRDefault="003323E7" w:rsidP="00D67B2F">
      <w:pPr>
        <w:pStyle w:val="Poskyris"/>
      </w:pPr>
      <w:bookmarkStart w:id="74" w:name="_Toc179180655"/>
      <w:bookmarkStart w:id="75" w:name="_Hlk178829555"/>
      <w:bookmarkEnd w:id="71"/>
      <w:bookmarkEnd w:id="72"/>
      <w:r w:rsidRPr="007C4F3A">
        <w:tab/>
      </w:r>
      <w:bookmarkStart w:id="76" w:name="_Toc197939611"/>
      <w:r w:rsidR="0070296C" w:rsidRPr="00D67B2F">
        <w:t>1.</w:t>
      </w:r>
      <w:r w:rsidR="00FC5FEC" w:rsidRPr="00D67B2F">
        <w:t>1</w:t>
      </w:r>
      <w:r w:rsidR="0070296C" w:rsidRPr="00D67B2F">
        <w:t>. Paslaugos pasiūla</w:t>
      </w:r>
      <w:bookmarkEnd w:id="74"/>
      <w:bookmarkEnd w:id="76"/>
    </w:p>
    <w:p w14:paraId="2A3AA55F" w14:textId="1E7B5B90" w:rsidR="00CB541A" w:rsidRPr="00AB4E0F" w:rsidRDefault="00CB541A" w:rsidP="00462FE5">
      <w:pPr>
        <w:spacing w:after="120" w:line="22" w:lineRule="atLeast"/>
        <w:rPr>
          <w:rFonts w:cs="Arial"/>
          <w:bCs/>
        </w:rPr>
      </w:pPr>
      <w:r w:rsidRPr="00AB4E0F">
        <w:rPr>
          <w:rFonts w:cs="Arial"/>
          <w:bCs/>
        </w:rPr>
        <w:t>Utenos rajono savivaldybė yra Lietuvos šiaurės rytų dalyje, Utenos apskrityje. Utenos rajonas vakaruose ribojasi su Anykščių, šiaurėje – Rokiškio, šiaurės rytuose – Zarasų, pietryčiuose – Ignalinos, pietuose – Švenčionių, pietvakariuose – Molėtų rajonais. Utenos rajono savivaldybės plotas yra 1230 km</w:t>
      </w:r>
      <w:r w:rsidRPr="00AB4E0F">
        <w:rPr>
          <w:rFonts w:cs="Arial"/>
          <w:bCs/>
          <w:vertAlign w:val="superscript"/>
        </w:rPr>
        <w:t>2</w:t>
      </w:r>
      <w:r w:rsidRPr="00AB4E0F">
        <w:rPr>
          <w:rFonts w:cs="Arial"/>
          <w:bCs/>
        </w:rPr>
        <w:t xml:space="preserve">. Tai yra dvidešimt devintas pagal dydį rajonas Lietuvoje. Utenos rajono savivaldybės gyventojų tankis </w:t>
      </w:r>
      <w:r w:rsidRPr="00047221">
        <w:rPr>
          <w:rFonts w:cs="Arial"/>
          <w:bCs/>
        </w:rPr>
        <w:t>siekia 3</w:t>
      </w:r>
      <w:r w:rsidR="00047221" w:rsidRPr="00047221">
        <w:rPr>
          <w:rFonts w:cs="Arial"/>
          <w:bCs/>
        </w:rPr>
        <w:t>2</w:t>
      </w:r>
      <w:r w:rsidRPr="00047221">
        <w:rPr>
          <w:rFonts w:cs="Arial"/>
          <w:bCs/>
        </w:rPr>
        <w:t>,</w:t>
      </w:r>
      <w:r w:rsidR="00047221" w:rsidRPr="00047221">
        <w:rPr>
          <w:rFonts w:cs="Arial"/>
          <w:bCs/>
        </w:rPr>
        <w:t>1</w:t>
      </w:r>
      <w:r w:rsidRPr="00047221">
        <w:rPr>
          <w:rFonts w:cs="Arial"/>
          <w:bCs/>
        </w:rPr>
        <w:t xml:space="preserve"> asmenys</w:t>
      </w:r>
      <w:r w:rsidRPr="00AB4E0F">
        <w:rPr>
          <w:rFonts w:cs="Arial"/>
          <w:bCs/>
        </w:rPr>
        <w:t>/km².</w:t>
      </w:r>
    </w:p>
    <w:p w14:paraId="26E6E6FC" w14:textId="77777777" w:rsidR="00CB541A" w:rsidRPr="00AB4E0F" w:rsidRDefault="00CB541A" w:rsidP="00462FE5">
      <w:pPr>
        <w:spacing w:after="120" w:line="22" w:lineRule="atLeast"/>
        <w:rPr>
          <w:rFonts w:cs="Arial"/>
          <w:bCs/>
        </w:rPr>
      </w:pPr>
      <w:r w:rsidRPr="00AB4E0F">
        <w:rPr>
          <w:rFonts w:cs="Arial"/>
          <w:bCs/>
        </w:rPr>
        <w:t xml:space="preserve">Utenos rajono savivaldybė yra nutolusi nuo Vilniaus 95 km atstumu, nuo Kauno – 132 km, nuo Klaipėdos – 329 km ir Rygos – 207 km. Utenos rajoną kerta svarbi geležinkelio linija: Vilnius–Utena. Per Utenos rajono savivaldybę eina Kauno–Daugpilio (Latvija), Vilniaus–Utenos, Utenos–Kupiškio plentai. Utenos rajono savivaldybės teritorijoje yra valstybinės ir vietinės reikšmės keliai, E kategorijos (E262) ir automagistralė (A14). Kelių ilgis Utenos rajono </w:t>
      </w:r>
      <w:r w:rsidRPr="00AB4E0F">
        <w:rPr>
          <w:rFonts w:cs="Arial"/>
          <w:bCs/>
          <w:color w:val="auto"/>
        </w:rPr>
        <w:t>savivaldybėje 2023 m. – 1430 km. Valstybinės reikšmės kelių ilgis 2023 m. buvo 436 km, o vietinės reikšmės – 995 km.</w:t>
      </w:r>
    </w:p>
    <w:p w14:paraId="0338113D" w14:textId="77777777" w:rsidR="00CB541A" w:rsidRPr="00AB4E0F" w:rsidRDefault="00CB541A" w:rsidP="00462FE5">
      <w:pPr>
        <w:spacing w:after="120" w:line="22" w:lineRule="atLeast"/>
        <w:ind w:firstLine="0"/>
        <w:jc w:val="center"/>
        <w:rPr>
          <w:rFonts w:cs="Arial"/>
          <w:bCs/>
        </w:rPr>
      </w:pPr>
      <w:r w:rsidRPr="00AB4E0F">
        <w:rPr>
          <w:rFonts w:cs="Arial"/>
          <w:noProof/>
        </w:rPr>
        <w:drawing>
          <wp:inline distT="0" distB="0" distL="0" distR="0" wp14:anchorId="1DF2D1A6" wp14:editId="07618A86">
            <wp:extent cx="4587760" cy="2800350"/>
            <wp:effectExtent l="0" t="0" r="3810" b="0"/>
            <wp:docPr id="1" name="Paveikslėlis 1" descr="Paveikslėlis, kuriame yra žemėlapis, atlasas, dia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 atlasas, diagrama, tekstas&#10;&#10;Automatiškai sugeneruotas aprašymas"/>
                    <pic:cNvPicPr>
                      <a:picLocks noChangeAspect="1"/>
                    </pic:cNvPicPr>
                  </pic:nvPicPr>
                  <pic:blipFill rotWithShape="1">
                    <a:blip r:embed="rId12"/>
                    <a:srcRect l="822" t="1559" r="1"/>
                    <a:stretch/>
                  </pic:blipFill>
                  <pic:spPr bwMode="auto">
                    <a:xfrm>
                      <a:off x="0" y="0"/>
                      <a:ext cx="4591323" cy="28025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8FA13C6" w14:textId="77777777" w:rsidR="00CB541A" w:rsidRPr="00AB4E0F" w:rsidRDefault="00CB541A" w:rsidP="00462FE5">
      <w:pPr>
        <w:pStyle w:val="PaveikslasL"/>
        <w:spacing w:line="22" w:lineRule="atLeast"/>
        <w:rPr>
          <w:rFonts w:cs="Arial"/>
        </w:rPr>
      </w:pPr>
      <w:bookmarkStart w:id="77" w:name="_Toc70321345"/>
      <w:bookmarkStart w:id="78" w:name="_Toc70675042"/>
      <w:bookmarkStart w:id="79" w:name="_Toc80951414"/>
      <w:bookmarkStart w:id="80" w:name="_Toc182496441"/>
      <w:bookmarkStart w:id="81" w:name="_Toc198807829"/>
      <w:r w:rsidRPr="00AB4E0F">
        <w:rPr>
          <w:rFonts w:cs="Arial"/>
        </w:rPr>
        <w:t>1.1.1. pav. Utenos rajono savivaldybės geografinė padėtis</w:t>
      </w:r>
      <w:bookmarkEnd w:id="77"/>
      <w:bookmarkEnd w:id="78"/>
      <w:bookmarkEnd w:id="79"/>
      <w:bookmarkEnd w:id="80"/>
      <w:bookmarkEnd w:id="81"/>
    </w:p>
    <w:p w14:paraId="4CD558C4" w14:textId="77777777" w:rsidR="00CB541A" w:rsidRPr="00AB4E0F" w:rsidRDefault="00CB541A" w:rsidP="00462FE5">
      <w:pPr>
        <w:spacing w:after="120" w:line="22" w:lineRule="atLeast"/>
        <w:jc w:val="center"/>
        <w:rPr>
          <w:rFonts w:cs="Arial"/>
          <w:i/>
          <w:iCs/>
          <w:sz w:val="20"/>
          <w:szCs w:val="20"/>
        </w:rPr>
      </w:pPr>
      <w:r w:rsidRPr="00AB4E0F">
        <w:rPr>
          <w:rFonts w:cs="Arial"/>
          <w:i/>
          <w:iCs/>
          <w:sz w:val="20"/>
          <w:szCs w:val="20"/>
        </w:rPr>
        <w:t>Šaltinis: sudaryta darbo autorių</w:t>
      </w:r>
    </w:p>
    <w:p w14:paraId="2FBB2CC6" w14:textId="77777777" w:rsidR="00CB541A" w:rsidRPr="00AB4E0F" w:rsidRDefault="00CB541A" w:rsidP="00462FE5">
      <w:pPr>
        <w:spacing w:after="120" w:line="22" w:lineRule="atLeast"/>
        <w:rPr>
          <w:rFonts w:cs="Arial"/>
        </w:rPr>
      </w:pPr>
      <w:r w:rsidRPr="00AB4E0F">
        <w:rPr>
          <w:rFonts w:cs="Arial"/>
        </w:rPr>
        <w:t>Utenos rajono savivaldybės teritorijoje yra 1 miestas (Utena), 8 miesteliai (Daugailiai, Kuktiškės, Leliūnai, Saldutiškis, Sudeikiai, Tauragnai, Užpaliai, Vyžuonos) ir 592 kaimai. Savivaldybės centras Utena yra įsikūręs Utenos aukštumoje (Aukštaičių aukštumos dalyje), 95 km į šiaurę nuo Vilniaus. Utenos rajono savivaldybės teritorijoje yra 10 seniūnijų (Daugailių, Kuktiškių, Leliūnų, Saldutiškio, Sudeikių, Tauragnų, Utenos, Utenos miesto, Užpalių ir Vyžuonų seniūnijos). Pagal seniūnijų plotą didžiausia yra Tauragnų seniūnija (186 km</w:t>
      </w:r>
      <w:r w:rsidRPr="00AB4E0F">
        <w:rPr>
          <w:rFonts w:cs="Arial"/>
          <w:vertAlign w:val="superscript"/>
        </w:rPr>
        <w:t>2</w:t>
      </w:r>
      <w:r w:rsidRPr="00AB4E0F">
        <w:rPr>
          <w:rFonts w:cs="Arial"/>
        </w:rPr>
        <w:t>), mažiausia – Vyžuonų seniūnija (73,0 km</w:t>
      </w:r>
      <w:r w:rsidRPr="00AB4E0F">
        <w:rPr>
          <w:rFonts w:cs="Arial"/>
          <w:vertAlign w:val="superscript"/>
        </w:rPr>
        <w:t>2</w:t>
      </w:r>
      <w:r w:rsidRPr="00AB4E0F">
        <w:rPr>
          <w:rFonts w:cs="Arial"/>
        </w:rPr>
        <w:t>).</w:t>
      </w:r>
      <w:r w:rsidRPr="00AB4E0F">
        <w:rPr>
          <w:rFonts w:cs="Arial"/>
          <w:vertAlign w:val="superscript"/>
        </w:rPr>
        <w:footnoteReference w:id="1"/>
      </w:r>
    </w:p>
    <w:p w14:paraId="3AB16C0A" w14:textId="77777777" w:rsidR="00CB541A" w:rsidRPr="00AB4E0F" w:rsidRDefault="00CB541A" w:rsidP="00462FE5">
      <w:pPr>
        <w:spacing w:after="120" w:line="22" w:lineRule="atLeast"/>
        <w:rPr>
          <w:rFonts w:cs="Arial"/>
        </w:rPr>
      </w:pPr>
      <w:r w:rsidRPr="00AB4E0F">
        <w:rPr>
          <w:rFonts w:cs="Arial"/>
        </w:rPr>
        <w:t xml:space="preserve">Utenos rajonas išsidėstęs Aukštaičių aukštumos šiaurrytinėje dalyje. Utenos rajono reljefui, kuris formavosi vėlyvuoju ledynmečiu paskutinio ledyno pakraštyje, būdingos mažos kalvos ir daubos. Jos </w:t>
      </w:r>
      <w:r w:rsidRPr="00AB4E0F">
        <w:rPr>
          <w:rFonts w:cs="Arial"/>
        </w:rPr>
        <w:lastRenderedPageBreak/>
        <w:t xml:space="preserve">nevienodos savo forma: vienos apskritos, kitos pailgos, vienur pavienės, kitur sudaro kalvų ir dubumų grandines. Diduma Utenos rajono savivaldybės teritorijos yra Aukštaičių aukštumoje (joje 4 km į pietus nuo Tauragnų yra savivaldybės aukščiausia vieta – 247 m </w:t>
      </w:r>
      <w:proofErr w:type="spellStart"/>
      <w:r w:rsidRPr="00AB4E0F">
        <w:rPr>
          <w:rFonts w:cs="Arial"/>
        </w:rPr>
        <w:t>Papiliakalnio</w:t>
      </w:r>
      <w:proofErr w:type="spellEnd"/>
      <w:r w:rsidRPr="00AB4E0F">
        <w:rPr>
          <w:rFonts w:cs="Arial"/>
        </w:rPr>
        <w:t xml:space="preserve"> kalnas), vakarinė dalis – Vakarų Aukštaičių plynaukštėje (joje prie Šventosios yra žemiausia savivaldybės vieta – 88 m).</w:t>
      </w:r>
    </w:p>
    <w:p w14:paraId="08673A42" w14:textId="350A14E7" w:rsidR="00280734" w:rsidRPr="00280734" w:rsidRDefault="00280734" w:rsidP="00462FE5">
      <w:pPr>
        <w:pStyle w:val="Pagrindinis"/>
        <w:rPr>
          <w:rFonts w:cs="Arial"/>
          <w:bCs w:val="0"/>
        </w:rPr>
      </w:pPr>
      <w:r w:rsidRPr="00280734">
        <w:rPr>
          <w:rFonts w:cs="Arial"/>
          <w:bCs w:val="0"/>
        </w:rPr>
        <w:t xml:space="preserve">Per rajoną teka Šventoji ir jos kairysis intakas Vyžuona. Telkšo 185 ežerai, didžiausi – Alaušas, Tauragnas, </w:t>
      </w:r>
      <w:proofErr w:type="spellStart"/>
      <w:r w:rsidRPr="00280734">
        <w:rPr>
          <w:rFonts w:cs="Arial"/>
          <w:bCs w:val="0"/>
        </w:rPr>
        <w:t>Indrajai</w:t>
      </w:r>
      <w:proofErr w:type="spellEnd"/>
      <w:r w:rsidRPr="00280734">
        <w:rPr>
          <w:rFonts w:cs="Arial"/>
          <w:bCs w:val="0"/>
        </w:rPr>
        <w:t xml:space="preserve">, </w:t>
      </w:r>
      <w:proofErr w:type="spellStart"/>
      <w:r w:rsidRPr="00280734">
        <w:rPr>
          <w:rFonts w:cs="Arial"/>
          <w:bCs w:val="0"/>
        </w:rPr>
        <w:t>Utenas</w:t>
      </w:r>
      <w:proofErr w:type="spellEnd"/>
      <w:r w:rsidRPr="00280734">
        <w:rPr>
          <w:rFonts w:cs="Arial"/>
          <w:bCs w:val="0"/>
        </w:rPr>
        <w:t xml:space="preserve">, 4 tvenkiniai. Daugelis ežerų ir pelkių sujungti mažais vingiuotais upeliais, smarkiai patvinstančiais pavasarį ir beveik išdžiūstančiais vasarą. Pastovesnio vandeningumo tik </w:t>
      </w:r>
      <w:proofErr w:type="spellStart"/>
      <w:r w:rsidRPr="00280734">
        <w:rPr>
          <w:rFonts w:cs="Arial"/>
          <w:bCs w:val="0"/>
        </w:rPr>
        <w:t>Alauša</w:t>
      </w:r>
      <w:proofErr w:type="spellEnd"/>
      <w:r w:rsidRPr="00280734">
        <w:rPr>
          <w:rFonts w:cs="Arial"/>
          <w:bCs w:val="0"/>
        </w:rPr>
        <w:t>, Tauragna, Vyžuona ir Šventoji.</w:t>
      </w:r>
    </w:p>
    <w:p w14:paraId="11D48279" w14:textId="08B06A58" w:rsidR="00841545" w:rsidRDefault="00280734" w:rsidP="00462FE5">
      <w:pPr>
        <w:pStyle w:val="Pagrindinis"/>
        <w:rPr>
          <w:rFonts w:cs="Arial"/>
          <w:bCs w:val="0"/>
        </w:rPr>
      </w:pPr>
      <w:r w:rsidRPr="00280734">
        <w:rPr>
          <w:rFonts w:cs="Arial"/>
          <w:bCs w:val="0"/>
        </w:rPr>
        <w:t>Valstybės duomenų agentūros duomenimis, miškai 202</w:t>
      </w:r>
      <w:r w:rsidR="009A2618">
        <w:rPr>
          <w:rFonts w:cs="Arial"/>
          <w:bCs w:val="0"/>
        </w:rPr>
        <w:t>4</w:t>
      </w:r>
      <w:r w:rsidRPr="00280734">
        <w:rPr>
          <w:rFonts w:cs="Arial"/>
          <w:bCs w:val="0"/>
        </w:rPr>
        <w:t xml:space="preserve"> m. užėmė 34,</w:t>
      </w:r>
      <w:r w:rsidR="009A2618">
        <w:rPr>
          <w:rFonts w:cs="Arial"/>
          <w:bCs w:val="0"/>
        </w:rPr>
        <w:t>3</w:t>
      </w:r>
      <w:r w:rsidRPr="00280734">
        <w:rPr>
          <w:rFonts w:cs="Arial"/>
          <w:bCs w:val="0"/>
        </w:rPr>
        <w:t xml:space="preserve"> proc. viso rajono ploto (tai šiek tiek didesnis nei bendras šalies rodiklis, kuris yra 33,8 proc.). Prie pat Utenos ošia </w:t>
      </w:r>
      <w:proofErr w:type="spellStart"/>
      <w:r w:rsidRPr="00280734">
        <w:rPr>
          <w:rFonts w:cs="Arial"/>
          <w:bCs w:val="0"/>
        </w:rPr>
        <w:t>Rašės</w:t>
      </w:r>
      <w:proofErr w:type="spellEnd"/>
      <w:r w:rsidRPr="00280734">
        <w:rPr>
          <w:rFonts w:cs="Arial"/>
          <w:bCs w:val="0"/>
        </w:rPr>
        <w:t xml:space="preserve"> ir </w:t>
      </w:r>
      <w:proofErr w:type="spellStart"/>
      <w:r w:rsidRPr="00280734">
        <w:rPr>
          <w:rFonts w:cs="Arial"/>
          <w:bCs w:val="0"/>
        </w:rPr>
        <w:t>Skaistašilio</w:t>
      </w:r>
      <w:proofErr w:type="spellEnd"/>
      <w:r w:rsidRPr="00280734">
        <w:rPr>
          <w:rFonts w:cs="Arial"/>
          <w:bCs w:val="0"/>
        </w:rPr>
        <w:t xml:space="preserve"> miškai. Didžiausi miškai – Minčios, Vyžuonų. Medžių rūšinė sudėtis labai įvairi.</w:t>
      </w:r>
    </w:p>
    <w:p w14:paraId="0B0113E2" w14:textId="03ECFB1F" w:rsidR="00841545" w:rsidRPr="00BC440D" w:rsidRDefault="00841545" w:rsidP="00462FE5">
      <w:pPr>
        <w:rPr>
          <w:szCs w:val="24"/>
        </w:rPr>
      </w:pPr>
      <w:r w:rsidRPr="00BC440D">
        <w:rPr>
          <w:szCs w:val="24"/>
        </w:rPr>
        <w:t>Utenos mieste yra įrengta apie  80  ha  parkų teritorijų</w:t>
      </w:r>
      <w:r w:rsidR="00810F05">
        <w:rPr>
          <w:szCs w:val="24"/>
        </w:rPr>
        <w:t xml:space="preserve">: </w:t>
      </w:r>
      <w:r w:rsidRPr="00BC440D">
        <w:rPr>
          <w:szCs w:val="24"/>
        </w:rPr>
        <w:t xml:space="preserve">Utenos miesto sodas,  Dauniškio parkas, Vyžuonos parkas, Krašuonos parkas, </w:t>
      </w:r>
      <w:proofErr w:type="spellStart"/>
      <w:r w:rsidRPr="00BC440D">
        <w:rPr>
          <w:szCs w:val="24"/>
        </w:rPr>
        <w:t>Vyžuonaičio</w:t>
      </w:r>
      <w:proofErr w:type="spellEnd"/>
      <w:r w:rsidRPr="00BC440D">
        <w:rPr>
          <w:szCs w:val="24"/>
        </w:rPr>
        <w:t xml:space="preserve"> parkas, </w:t>
      </w:r>
      <w:proofErr w:type="spellStart"/>
      <w:r w:rsidRPr="00BC440D">
        <w:rPr>
          <w:szCs w:val="24"/>
        </w:rPr>
        <w:t>Rašės</w:t>
      </w:r>
      <w:proofErr w:type="spellEnd"/>
      <w:r w:rsidRPr="00BC440D">
        <w:rPr>
          <w:szCs w:val="24"/>
        </w:rPr>
        <w:t xml:space="preserve"> parko dalis, Aukštakalnio pušynas. Utenos mieste taip pat yra 55 ha dydžio miškas (Senasis miesto parkas)</w:t>
      </w:r>
      <w:r w:rsidR="00462FE5">
        <w:rPr>
          <w:szCs w:val="24"/>
        </w:rPr>
        <w:t>.</w:t>
      </w:r>
      <w:r w:rsidRPr="00BC440D">
        <w:rPr>
          <w:szCs w:val="24"/>
        </w:rPr>
        <w:t xml:space="preserve"> </w:t>
      </w:r>
    </w:p>
    <w:p w14:paraId="3E9B573E" w14:textId="031AB7D5" w:rsidR="0030549B" w:rsidRDefault="0046153D" w:rsidP="0000149F">
      <w:pPr>
        <w:pStyle w:val="Pagrindinis"/>
        <w:ind w:firstLine="0"/>
        <w:jc w:val="center"/>
      </w:pPr>
      <w:bookmarkStart w:id="82" w:name="_Toc179180656"/>
      <w:bookmarkStart w:id="83" w:name="_Hlk178828928"/>
      <w:bookmarkEnd w:id="75"/>
      <w:r w:rsidRPr="0046153D">
        <w:rPr>
          <w:noProof/>
        </w:rPr>
        <w:drawing>
          <wp:inline distT="0" distB="0" distL="0" distR="0" wp14:anchorId="096A423C" wp14:editId="330B0C4B">
            <wp:extent cx="6480175" cy="4088765"/>
            <wp:effectExtent l="0" t="0" r="0" b="6985"/>
            <wp:docPr id="678293966" name="Paveikslėlis 1" descr="Paveikslėlis, kuriame yra žemėlapis, atlas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3966" name="Paveikslėlis 1" descr="Paveikslėlis, kuriame yra žemėlapis, atlasas, tekstas&#10;&#10;Dirbtinio intelekto sugeneruotas turinys gali būti neteisingas."/>
                    <pic:cNvPicPr/>
                  </pic:nvPicPr>
                  <pic:blipFill>
                    <a:blip r:embed="rId13"/>
                    <a:stretch>
                      <a:fillRect/>
                    </a:stretch>
                  </pic:blipFill>
                  <pic:spPr>
                    <a:xfrm>
                      <a:off x="0" y="0"/>
                      <a:ext cx="6480175" cy="4088765"/>
                    </a:xfrm>
                    <a:prstGeom prst="rect">
                      <a:avLst/>
                    </a:prstGeom>
                  </pic:spPr>
                </pic:pic>
              </a:graphicData>
            </a:graphic>
          </wp:inline>
        </w:drawing>
      </w:r>
      <w:r w:rsidR="0005026F" w:rsidRPr="0005026F">
        <w:rPr>
          <w:noProof/>
        </w:rPr>
        <w:t xml:space="preserve"> </w:t>
      </w:r>
    </w:p>
    <w:p w14:paraId="1C91F913" w14:textId="1BB0F3B9" w:rsidR="0046153D" w:rsidRDefault="00D1237E" w:rsidP="00D1237E">
      <w:pPr>
        <w:pStyle w:val="PaveikslasL"/>
      </w:pPr>
      <w:bookmarkStart w:id="84" w:name="_Toc198807830"/>
      <w:r>
        <w:t xml:space="preserve">1.1.2. pav. </w:t>
      </w:r>
      <w:r w:rsidR="0046153D">
        <w:t>Utenos miesto schema</w:t>
      </w:r>
      <w:bookmarkEnd w:id="84"/>
    </w:p>
    <w:p w14:paraId="0F70195F" w14:textId="275D323F" w:rsidR="00766EFC" w:rsidRPr="00D1237E" w:rsidRDefault="00D1237E" w:rsidP="005C0F24">
      <w:pPr>
        <w:pStyle w:val="Pagrindinis"/>
        <w:ind w:firstLine="0"/>
        <w:jc w:val="center"/>
        <w:rPr>
          <w:i/>
          <w:iCs/>
          <w:sz w:val="20"/>
          <w:szCs w:val="20"/>
        </w:rPr>
      </w:pPr>
      <w:r w:rsidRPr="00D1237E">
        <w:rPr>
          <w:i/>
          <w:iCs/>
          <w:sz w:val="20"/>
          <w:szCs w:val="20"/>
        </w:rPr>
        <w:t>Šaltinis: Utenos miesto tvarios plėtros strategija</w:t>
      </w:r>
    </w:p>
    <w:p w14:paraId="354EA982" w14:textId="77777777" w:rsidR="007218AC" w:rsidRPr="00EE21EB" w:rsidRDefault="007218AC" w:rsidP="007218AC">
      <w:pPr>
        <w:rPr>
          <w:rFonts w:eastAsia="Calibri" w:cs="Arial"/>
          <w:iCs/>
          <w:color w:val="auto"/>
          <w:lang w:eastAsia="lt-LT"/>
        </w:rPr>
      </w:pPr>
      <w:r w:rsidRPr="00EE21EB">
        <w:rPr>
          <w:rFonts w:eastAsia="Calibri" w:cs="Arial"/>
          <w:iCs/>
          <w:color w:val="auto"/>
          <w:lang w:eastAsia="lt-LT"/>
        </w:rPr>
        <w:t>Utenos miesto užstatymo ypatumai lemia ir tai, kad miesto centrinė dalis yra santykinai mažiau užstatyta (čia išsidėsčiusios pagrindinės miesto žaliosios erdvės), pietinė miesto dalis – rečiau gyvenama (vyrauja sodybinio tipo užstatymas), vakarinės miesto tankiai gyvenamų teritorijose (1500+ gyv.) nepralaidžių (antropogeninių) dangų ir žaliosios infrastruktūros santykis (2/8 ir 4/6) yra palankus dėl greta esančių gamtinių teritorijų. Tačiau tankiausiai gyvenamose miesto dalyse, kuriose išsidėstę Aukštakalnio, Statybininkų ir Vyturių daugiabučių gyvenamųjų namų kvartalai (gyventojų tankumas 4121-4929 gyv./km</w:t>
      </w:r>
      <w:r w:rsidRPr="00EE21EB">
        <w:rPr>
          <w:rFonts w:eastAsia="Calibri" w:cs="Arial"/>
          <w:iCs/>
          <w:color w:val="auto"/>
          <w:vertAlign w:val="superscript"/>
          <w:lang w:eastAsia="lt-LT"/>
        </w:rPr>
        <w:t>2</w:t>
      </w:r>
      <w:r w:rsidRPr="00EE21EB">
        <w:rPr>
          <w:rFonts w:eastAsia="Calibri" w:cs="Arial"/>
          <w:iCs/>
          <w:color w:val="auto"/>
          <w:lang w:eastAsia="lt-LT"/>
        </w:rPr>
        <w:t xml:space="preserve">), nepralaidžių dangų ir žaliosios infrastruktūros santykis (5/5-7/3) nesiekia Lietuvos Respublikos teritorijos </w:t>
      </w:r>
      <w:r w:rsidRPr="00EE21EB">
        <w:rPr>
          <w:rFonts w:eastAsia="Calibri" w:cs="Arial"/>
          <w:iCs/>
          <w:color w:val="auto"/>
          <w:lang w:eastAsia="lt-LT"/>
        </w:rPr>
        <w:lastRenderedPageBreak/>
        <w:t>bendrajame plane rekomenduojamo santykio (4/6) ir (2 iš 3 nagrinėtų gardelių atveju) viršija vidutinį šalies tankiai gyvenamų teritorijų nepralaidžių (antropogeninių) dangų ir žaliosios infrastruktūros santykį (5/5).</w:t>
      </w:r>
    </w:p>
    <w:p w14:paraId="25C9C1C9" w14:textId="77777777" w:rsidR="007218AC" w:rsidRPr="00EB3630" w:rsidRDefault="007218AC" w:rsidP="007218AC">
      <w:pPr>
        <w:ind w:firstLine="0"/>
        <w:jc w:val="center"/>
        <w:rPr>
          <w:rFonts w:eastAsia="Calibri" w:cs="Arial"/>
          <w:iCs/>
          <w:color w:val="auto"/>
          <w:highlight w:val="lightGray"/>
          <w:lang w:eastAsia="lt-LT"/>
        </w:rPr>
      </w:pPr>
      <w:r w:rsidRPr="00EB3630">
        <w:rPr>
          <w:rFonts w:eastAsia="Calibri" w:cs="Arial"/>
          <w:iCs/>
          <w:noProof/>
          <w:color w:val="auto"/>
          <w:highlight w:val="lightGray"/>
          <w:lang w:eastAsia="lt-LT"/>
        </w:rPr>
        <w:drawing>
          <wp:inline distT="0" distB="0" distL="0" distR="0" wp14:anchorId="28326AD2" wp14:editId="3138B4A9">
            <wp:extent cx="4959928" cy="2788350"/>
            <wp:effectExtent l="0" t="0" r="0" b="0"/>
            <wp:docPr id="151020383" name="Paveikslėlis 1" descr="Paveikslėlis, kuriame yra žemėlapi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0383" name="Paveikslėlis 1" descr="Paveikslėlis, kuriame yra žemėlapis, ekrano kopija&#10;&#10;Dirbtinio intelekto sugeneruotas turinys gali būti neteisingas."/>
                    <pic:cNvPicPr/>
                  </pic:nvPicPr>
                  <pic:blipFill>
                    <a:blip r:embed="rId14"/>
                    <a:stretch>
                      <a:fillRect/>
                    </a:stretch>
                  </pic:blipFill>
                  <pic:spPr>
                    <a:xfrm>
                      <a:off x="0" y="0"/>
                      <a:ext cx="4987123" cy="2803638"/>
                    </a:xfrm>
                    <a:prstGeom prst="rect">
                      <a:avLst/>
                    </a:prstGeom>
                  </pic:spPr>
                </pic:pic>
              </a:graphicData>
            </a:graphic>
          </wp:inline>
        </w:drawing>
      </w:r>
    </w:p>
    <w:p w14:paraId="481C0287" w14:textId="2CAD17A2" w:rsidR="007218AC" w:rsidRPr="00D12DD4" w:rsidRDefault="00D12DD4" w:rsidP="007218AC">
      <w:pPr>
        <w:pStyle w:val="PaveikslasL"/>
        <w:rPr>
          <w:rFonts w:eastAsia="Calibri"/>
          <w:lang w:eastAsia="lt-LT"/>
        </w:rPr>
      </w:pPr>
      <w:bookmarkStart w:id="85" w:name="_Toc198807831"/>
      <w:r w:rsidRPr="00D12DD4">
        <w:rPr>
          <w:rFonts w:eastAsia="Calibri"/>
          <w:lang w:eastAsia="lt-LT"/>
        </w:rPr>
        <w:t>1.1.3. p</w:t>
      </w:r>
      <w:r w:rsidR="007218AC" w:rsidRPr="00D12DD4">
        <w:rPr>
          <w:rFonts w:eastAsia="Calibri"/>
          <w:lang w:eastAsia="lt-LT"/>
        </w:rPr>
        <w:t>av. Nepralaidžių dangų ir žaliosios infrastruktūros santykis Utenos miesto dalyse (1 km</w:t>
      </w:r>
      <w:r w:rsidR="007218AC" w:rsidRPr="00D12DD4">
        <w:rPr>
          <w:rFonts w:eastAsia="Calibri"/>
          <w:vertAlign w:val="superscript"/>
          <w:lang w:eastAsia="lt-LT"/>
        </w:rPr>
        <w:t>2</w:t>
      </w:r>
      <w:r w:rsidR="007218AC" w:rsidRPr="00D12DD4">
        <w:rPr>
          <w:rFonts w:eastAsia="Calibri"/>
          <w:lang w:eastAsia="lt-LT"/>
        </w:rPr>
        <w:t xml:space="preserve"> dydžio gardelės), kuriose gyvena virš 1,5 tūkst. </w:t>
      </w:r>
      <w:r w:rsidR="009B3A5C">
        <w:rPr>
          <w:rFonts w:eastAsia="Calibri"/>
          <w:lang w:eastAsia="lt-LT"/>
        </w:rPr>
        <w:t>g</w:t>
      </w:r>
      <w:r w:rsidR="007218AC" w:rsidRPr="00D12DD4">
        <w:rPr>
          <w:rFonts w:eastAsia="Calibri"/>
          <w:lang w:eastAsia="lt-LT"/>
        </w:rPr>
        <w:t>yventojų</w:t>
      </w:r>
      <w:bookmarkEnd w:id="85"/>
    </w:p>
    <w:p w14:paraId="7599CBF5" w14:textId="77777777" w:rsidR="007218AC" w:rsidRPr="00D12DD4" w:rsidRDefault="007218AC" w:rsidP="007218AC">
      <w:pPr>
        <w:ind w:firstLine="0"/>
        <w:jc w:val="center"/>
        <w:rPr>
          <w:rFonts w:eastAsia="Calibri" w:cs="Arial"/>
          <w:i/>
          <w:color w:val="auto"/>
          <w:sz w:val="20"/>
          <w:szCs w:val="20"/>
          <w:lang w:eastAsia="lt-LT"/>
        </w:rPr>
      </w:pPr>
      <w:r w:rsidRPr="00D12DD4">
        <w:rPr>
          <w:rFonts w:eastAsia="Calibri" w:cs="Arial"/>
          <w:i/>
          <w:color w:val="auto"/>
          <w:sz w:val="20"/>
          <w:szCs w:val="20"/>
          <w:lang w:eastAsia="lt-LT"/>
        </w:rPr>
        <w:t>Šaltinis: 2024-2029 m. Utenos miesto tvarios plėtros strategija</w:t>
      </w:r>
    </w:p>
    <w:p w14:paraId="7A214D61" w14:textId="0ECAFF4D" w:rsidR="0046153D" w:rsidRPr="00375A61" w:rsidRDefault="00375A61" w:rsidP="005475F4">
      <w:pPr>
        <w:pStyle w:val="Pagrindinis"/>
        <w:rPr>
          <w:i/>
          <w:iCs/>
        </w:rPr>
      </w:pPr>
      <w:r w:rsidRPr="00375A61">
        <w:rPr>
          <w:i/>
          <w:iCs/>
        </w:rPr>
        <w:t>Apibendrinant,</w:t>
      </w:r>
      <w:r>
        <w:rPr>
          <w:i/>
          <w:iCs/>
        </w:rPr>
        <w:t xml:space="preserve"> </w:t>
      </w:r>
      <w:r w:rsidR="00E627A4" w:rsidRPr="00E627A4">
        <w:rPr>
          <w:i/>
          <w:iCs/>
        </w:rPr>
        <w:t xml:space="preserve">Aukštakalnio daugiabučių namų kvartaluose Utenos mieste susiduriama su aiškiai išreikšta problema – dideliu gyventojų tankumu ir nepakankamu žaliosios infrastruktūros prieinamumu. Šioje teritorijoje vyrauja intensyvus užstatymas ir didelė nepralaidžių dangų dalis, o esamos viešosios erdvės nebeatitinka gyventojų poreikių. Dėl riboto erdvinio potencialo viešųjų erdvių plėtra yra apsunkinta, o intensyvus naudojimas mažina jų kokybę ir funkcionalumą. Toks disbalansas daro neigiamą poveikį gyvenamosios aplinkos kokybei ir kelia ilgalaikių iššūkių siekiant socialinio </w:t>
      </w:r>
      <w:proofErr w:type="spellStart"/>
      <w:r w:rsidR="00E627A4" w:rsidRPr="00E627A4">
        <w:rPr>
          <w:i/>
          <w:iCs/>
        </w:rPr>
        <w:t>įtraukties</w:t>
      </w:r>
      <w:proofErr w:type="spellEnd"/>
      <w:r w:rsidR="00E627A4" w:rsidRPr="00E627A4">
        <w:rPr>
          <w:i/>
          <w:iCs/>
        </w:rPr>
        <w:t>, bendruomeniškumo ir tvarios miesto plėtros.</w:t>
      </w:r>
    </w:p>
    <w:p w14:paraId="795E59D4" w14:textId="77777777" w:rsidR="005475F4" w:rsidRDefault="005475F4" w:rsidP="005475F4">
      <w:pPr>
        <w:pStyle w:val="Pagrindinis"/>
        <w:ind w:firstLine="0"/>
      </w:pPr>
    </w:p>
    <w:p w14:paraId="48D3B5D3" w14:textId="156E2C04" w:rsidR="00366686" w:rsidRPr="007C4F3A" w:rsidRDefault="00D83C8F" w:rsidP="00D67B2F">
      <w:pPr>
        <w:pStyle w:val="Poskyris"/>
      </w:pPr>
      <w:r w:rsidRPr="00D67B2F">
        <w:tab/>
      </w:r>
      <w:bookmarkStart w:id="86" w:name="_Toc197939612"/>
      <w:r w:rsidR="00366686" w:rsidRPr="00D67B2F">
        <w:t>1.</w:t>
      </w:r>
      <w:r w:rsidR="00E4414D" w:rsidRPr="00D67B2F">
        <w:t>2</w:t>
      </w:r>
      <w:r w:rsidR="00366686" w:rsidRPr="00D67B2F">
        <w:t>.</w:t>
      </w:r>
      <w:bookmarkStart w:id="87" w:name="_Toc171355441"/>
      <w:r w:rsidR="00366686" w:rsidRPr="00D67B2F">
        <w:t xml:space="preserve"> Paslaugos paklausa</w:t>
      </w:r>
      <w:bookmarkEnd w:id="82"/>
      <w:bookmarkEnd w:id="86"/>
      <w:bookmarkEnd w:id="87"/>
    </w:p>
    <w:p w14:paraId="3878FA90" w14:textId="0B215B7C" w:rsidR="001048D6" w:rsidRDefault="001F3C88" w:rsidP="001048D6">
      <w:pPr>
        <w:spacing w:after="120"/>
        <w:rPr>
          <w:rFonts w:eastAsia="Calibri" w:cs="Times New Roman"/>
          <w:color w:val="000000"/>
          <w:szCs w:val="20"/>
          <w:lang w:eastAsia="lt-LT"/>
        </w:rPr>
      </w:pPr>
      <w:bookmarkStart w:id="88" w:name="_Toc488310791"/>
      <w:bookmarkStart w:id="89" w:name="_Toc519153342"/>
      <w:bookmarkStart w:id="90" w:name="_Toc468570402"/>
      <w:bookmarkEnd w:id="83"/>
      <w:r w:rsidRPr="00EC1C77">
        <w:rPr>
          <w:rFonts w:eastAsia="Calibri" w:cs="Times New Roman"/>
          <w:color w:val="000000"/>
          <w:szCs w:val="20"/>
          <w:lang w:eastAsia="lt-LT"/>
        </w:rPr>
        <w:t>Utenos rajono savivaldybėje nuolatinių gyventojų skaičius 2021–2025 m. sumažėjo 0,26 proc., kas rodo nežymų gyventojų skaičiaus mažėjimą, gerokai lėtesnį nei Utenos apskrities vidurkis (−3,82 proc.), tačiau atitinkantį bendrą demografinį stabilumą. Palyginimui, visos Lietuvos mastu gyventojų skaičius augo 2,83 proc., tačiau Utenos rajonas išlieka vienas iš stabilesnių regionų apskrityje. Akivaizdu, kad Utenos rajonas išlaiko svarbų regioninės plėtros potencialą, reikalaujantį tvarių sprendimų, siekiant užtikrinti infrastruktūros, paslaugų ir bendruomenės poreikių suderinamumą su gyventojų dinamika.</w:t>
      </w:r>
    </w:p>
    <w:p w14:paraId="19F2DCAB" w14:textId="19FFB41B" w:rsidR="0029368E" w:rsidRPr="00DF21FD" w:rsidRDefault="0029368E" w:rsidP="0029368E">
      <w:pPr>
        <w:spacing w:after="120"/>
        <w:ind w:firstLine="0"/>
        <w:jc w:val="center"/>
        <w:rPr>
          <w:rFonts w:eastAsia="Calibri" w:cs="Times New Roman"/>
          <w:color w:val="000000"/>
          <w:szCs w:val="20"/>
          <w:lang w:eastAsia="lt-LT"/>
        </w:rPr>
      </w:pPr>
      <w:r w:rsidRPr="0029368E">
        <w:rPr>
          <w:rFonts w:eastAsia="Calibri" w:cs="Times New Roman"/>
          <w:noProof/>
          <w:color w:val="000000"/>
          <w:szCs w:val="20"/>
          <w:lang w:eastAsia="lt-LT"/>
        </w:rPr>
        <w:drawing>
          <wp:inline distT="0" distB="0" distL="0" distR="0" wp14:anchorId="01AD2A68" wp14:editId="1D47E91B">
            <wp:extent cx="4021667" cy="1530315"/>
            <wp:effectExtent l="0" t="0" r="0" b="0"/>
            <wp:docPr id="338684158" name="Paveikslėlis 1" descr="Paveikslėlis, kuriame yra tekstas, Šriftas, ekrano kopij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4158" name="Paveikslėlis 1" descr="Paveikslėlis, kuriame yra tekstas, Šriftas, ekrano kopija, linija&#10;&#10;Dirbtinio intelekto sugeneruotas turinys gali būti neteisingas."/>
                    <pic:cNvPicPr/>
                  </pic:nvPicPr>
                  <pic:blipFill>
                    <a:blip r:embed="rId15"/>
                    <a:stretch>
                      <a:fillRect/>
                    </a:stretch>
                  </pic:blipFill>
                  <pic:spPr>
                    <a:xfrm>
                      <a:off x="0" y="0"/>
                      <a:ext cx="4054180" cy="1542687"/>
                    </a:xfrm>
                    <a:prstGeom prst="rect">
                      <a:avLst/>
                    </a:prstGeom>
                  </pic:spPr>
                </pic:pic>
              </a:graphicData>
            </a:graphic>
          </wp:inline>
        </w:drawing>
      </w:r>
    </w:p>
    <w:p w14:paraId="25D272E6" w14:textId="3E5F0974" w:rsidR="00F33E6C" w:rsidRDefault="00F33E6C" w:rsidP="00BD036E">
      <w:pPr>
        <w:pStyle w:val="Pavadinimas"/>
      </w:pPr>
      <w:bookmarkStart w:id="91" w:name="_Toc178324700"/>
      <w:bookmarkStart w:id="92" w:name="_Toc180654869"/>
      <w:r w:rsidRPr="007C4F3A">
        <w:t xml:space="preserve">1.2.1. </w:t>
      </w:r>
      <w:r>
        <w:t>pav</w:t>
      </w:r>
      <w:r w:rsidRPr="007C4F3A">
        <w:t>. Gyventojų skaičiaus dinamika 202</w:t>
      </w:r>
      <w:r w:rsidR="00812F46">
        <w:t>1</w:t>
      </w:r>
      <w:r w:rsidRPr="007C4F3A">
        <w:t>–202</w:t>
      </w:r>
      <w:r>
        <w:t>5</w:t>
      </w:r>
      <w:r w:rsidRPr="007C4F3A">
        <w:t xml:space="preserve"> m.</w:t>
      </w:r>
      <w:bookmarkEnd w:id="91"/>
      <w:bookmarkEnd w:id="92"/>
    </w:p>
    <w:p w14:paraId="1B68626C" w14:textId="77777777" w:rsidR="004D4D65" w:rsidRDefault="004D4D65" w:rsidP="004D4D65">
      <w:pPr>
        <w:spacing w:after="120" w:line="22" w:lineRule="atLeast"/>
        <w:jc w:val="left"/>
        <w:rPr>
          <w:rFonts w:cs="Arial"/>
          <w:i/>
          <w:iCs/>
          <w:color w:val="000000"/>
          <w:sz w:val="20"/>
          <w:szCs w:val="20"/>
        </w:rPr>
      </w:pPr>
      <w:r>
        <w:rPr>
          <w:rFonts w:cs="Arial"/>
          <w:i/>
          <w:iCs/>
          <w:color w:val="000000"/>
          <w:sz w:val="20"/>
          <w:szCs w:val="20"/>
        </w:rPr>
        <w:lastRenderedPageBreak/>
        <w:t>*išankstinai duomenys</w:t>
      </w:r>
    </w:p>
    <w:p w14:paraId="17E70056" w14:textId="02BD1075" w:rsidR="003F39D7" w:rsidRPr="006815CF" w:rsidRDefault="003F39D7" w:rsidP="00BD036E">
      <w:pPr>
        <w:pStyle w:val="Pavadinimas"/>
        <w:rPr>
          <w:rFonts w:eastAsiaTheme="minorHAnsi" w:cs="Arial"/>
          <w:b w:val="0"/>
          <w:i/>
          <w:iCs/>
          <w:color w:val="000000"/>
          <w:kern w:val="0"/>
          <w:sz w:val="20"/>
          <w:szCs w:val="20"/>
        </w:rPr>
      </w:pPr>
      <w:r w:rsidRPr="006815CF">
        <w:rPr>
          <w:rFonts w:eastAsiaTheme="minorHAnsi" w:cs="Arial"/>
          <w:b w:val="0"/>
          <w:i/>
          <w:iCs/>
          <w:color w:val="000000"/>
          <w:kern w:val="0"/>
          <w:sz w:val="20"/>
          <w:szCs w:val="20"/>
        </w:rPr>
        <w:t>Šaltinis: Valstybės duomenų agentūros duomenys, 202</w:t>
      </w:r>
      <w:r w:rsidR="00FB5203" w:rsidRPr="006815CF">
        <w:rPr>
          <w:rFonts w:eastAsiaTheme="minorHAnsi" w:cs="Arial"/>
          <w:b w:val="0"/>
          <w:i/>
          <w:iCs/>
          <w:color w:val="000000"/>
          <w:kern w:val="0"/>
          <w:sz w:val="20"/>
          <w:szCs w:val="20"/>
        </w:rPr>
        <w:t>5</w:t>
      </w:r>
      <w:r w:rsidRPr="006815CF">
        <w:rPr>
          <w:rFonts w:eastAsiaTheme="minorHAnsi" w:cs="Arial"/>
          <w:b w:val="0"/>
          <w:i/>
          <w:iCs/>
          <w:color w:val="000000"/>
          <w:kern w:val="0"/>
          <w:sz w:val="20"/>
          <w:szCs w:val="20"/>
        </w:rPr>
        <w:t xml:space="preserve"> m.</w:t>
      </w:r>
    </w:p>
    <w:p w14:paraId="0763FF50" w14:textId="44EEB75D" w:rsidR="006815CF" w:rsidRDefault="006815CF" w:rsidP="006815CF">
      <w:pPr>
        <w:pStyle w:val="Pagrindinis"/>
        <w:rPr>
          <w:b/>
          <w:lang w:eastAsia="lt-LT"/>
        </w:rPr>
      </w:pPr>
      <w:bookmarkStart w:id="93" w:name="_Toc96920470"/>
      <w:bookmarkStart w:id="94" w:name="_Toc128051626"/>
      <w:bookmarkStart w:id="95" w:name="_Toc136607060"/>
      <w:bookmarkStart w:id="96" w:name="_Toc163542531"/>
      <w:bookmarkStart w:id="97" w:name="_Toc180654871"/>
      <w:bookmarkStart w:id="98" w:name="_Hlk178828863"/>
      <w:bookmarkEnd w:id="88"/>
      <w:bookmarkEnd w:id="89"/>
      <w:bookmarkEnd w:id="90"/>
      <w:r w:rsidRPr="006815CF">
        <w:rPr>
          <w:lang w:eastAsia="lt-LT"/>
        </w:rPr>
        <w:t>Natūrali gyventojų kaita ir migracijos rodikliai yra pagrindiniai demografiniai rodikliai, nurodantys gyventojų skaičiaus pokytį (t. y., jų dviejų suma apsprendžia populiacijos augimą ar mažėjimą). Natūrali gyventojų kaita Utenos apskrityje 2020–2024 m. laikotarpiu buvo neigiama, kaip ir Utenos rajono savivaldybėje. Nors per šį laikotarpį Utenos rajone gimstamumas sumažėjo 12,96 proc., kartu mažėjo ir mirtingumas – 5,29 proc., kas rodo teigiamą tendenciją ir palaipsniui gerėjančią natūralią gyventojų kaitą. Nepaisant to, mirtingumo rodikliai vis dar viršija gimstamumą, o tai apsunkina demografinės pusiausvyros atkūrimą regione. Mirtingumui viršijant gimstamumo rodiklius, gresia demografinės pusiausvyros praradimas, sukelsiantis negrįžtamas socialines, ekonomines pasekmes – vietos ekonominio aktyvumo mažėjimą, darbo rinkos stagnaciją.</w:t>
      </w:r>
    </w:p>
    <w:p w14:paraId="050842E3" w14:textId="73D682C7" w:rsidR="00847AA6" w:rsidRPr="007C4F3A" w:rsidRDefault="00847AA6" w:rsidP="00847AA6">
      <w:pPr>
        <w:pStyle w:val="LentelsL"/>
        <w:spacing w:after="120"/>
      </w:pPr>
      <w:bookmarkStart w:id="99" w:name="_Toc198807810"/>
      <w:r w:rsidRPr="007C4F3A">
        <w:t>1.2.</w:t>
      </w:r>
      <w:r w:rsidR="0090280D">
        <w:t>1</w:t>
      </w:r>
      <w:r w:rsidRPr="007C4F3A">
        <w:t>. lentelė. Gimstamumas, mirtingumas ir natūrali gyventojų kaita, 20</w:t>
      </w:r>
      <w:r w:rsidR="00A91F62">
        <w:t>20</w:t>
      </w:r>
      <w:r w:rsidRPr="007C4F3A">
        <w:t>–202</w:t>
      </w:r>
      <w:r w:rsidR="00A91F62">
        <w:t>4</w:t>
      </w:r>
      <w:r w:rsidRPr="007C4F3A">
        <w:t xml:space="preserve"> m.</w:t>
      </w:r>
      <w:bookmarkEnd w:id="93"/>
      <w:bookmarkEnd w:id="94"/>
      <w:bookmarkEnd w:id="95"/>
      <w:bookmarkEnd w:id="96"/>
      <w:bookmarkEnd w:id="97"/>
      <w:bookmarkEnd w:id="99"/>
    </w:p>
    <w:tbl>
      <w:tblPr>
        <w:tblStyle w:val="3sraolentel1parykinimas1111"/>
        <w:tblW w:w="0" w:type="auto"/>
        <w:jc w:val="center"/>
        <w:tblLook w:val="04A0" w:firstRow="1" w:lastRow="0" w:firstColumn="1" w:lastColumn="0" w:noHBand="0" w:noVBand="1"/>
      </w:tblPr>
      <w:tblGrid>
        <w:gridCol w:w="2473"/>
        <w:gridCol w:w="1066"/>
        <w:gridCol w:w="992"/>
        <w:gridCol w:w="993"/>
        <w:gridCol w:w="992"/>
        <w:gridCol w:w="1134"/>
      </w:tblGrid>
      <w:tr w:rsidR="00847AA6" w:rsidRPr="00AB4E0F" w14:paraId="66721D78" w14:textId="77777777" w:rsidTr="002B27A7">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28FAB3BE" w14:textId="77777777" w:rsidR="00847AA6" w:rsidRPr="00AB4E0F" w:rsidRDefault="00847AA6" w:rsidP="00706EB1">
            <w:pPr>
              <w:ind w:firstLine="0"/>
              <w:jc w:val="center"/>
              <w:rPr>
                <w:rFonts w:eastAsia="Calibri" w:cs="Arial"/>
                <w:color w:val="FFFFFF" w:themeColor="background1"/>
                <w:sz w:val="20"/>
                <w:szCs w:val="20"/>
              </w:rPr>
            </w:pPr>
            <w:r w:rsidRPr="00AB4E0F">
              <w:rPr>
                <w:rFonts w:eastAsia="Calibri" w:cs="Arial"/>
                <w:color w:val="FFFFFF" w:themeColor="background1"/>
                <w:sz w:val="20"/>
                <w:szCs w:val="20"/>
              </w:rPr>
              <w:t>Rodiklis</w:t>
            </w:r>
          </w:p>
        </w:tc>
        <w:tc>
          <w:tcPr>
            <w:tcW w:w="5177" w:type="dxa"/>
            <w:gridSpan w:val="5"/>
            <w:tcBorders>
              <w:bottom w:val="single" w:sz="4" w:space="0" w:color="4472C4" w:themeColor="accent1"/>
            </w:tcBorders>
          </w:tcPr>
          <w:p w14:paraId="34CE391F" w14:textId="77777777" w:rsidR="00847AA6" w:rsidRPr="00AB4E0F" w:rsidRDefault="00847AA6"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0"/>
                <w:szCs w:val="20"/>
              </w:rPr>
            </w:pPr>
            <w:r w:rsidRPr="00AB4E0F">
              <w:rPr>
                <w:rFonts w:eastAsia="Calibri" w:cs="Arial"/>
                <w:color w:val="FFFFFF" w:themeColor="background1"/>
                <w:sz w:val="20"/>
                <w:szCs w:val="20"/>
              </w:rPr>
              <w:t>Metai</w:t>
            </w:r>
          </w:p>
        </w:tc>
      </w:tr>
      <w:tr w:rsidR="004B4291" w:rsidRPr="00AB4E0F" w14:paraId="29E47AC3" w14:textId="77777777" w:rsidTr="002B27A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tcPr>
          <w:p w14:paraId="42E1822C" w14:textId="77777777" w:rsidR="004B4291" w:rsidRPr="00AB4E0F" w:rsidRDefault="004B4291" w:rsidP="004B4291">
            <w:pPr>
              <w:ind w:firstLine="0"/>
              <w:jc w:val="center"/>
              <w:rPr>
                <w:rFonts w:eastAsia="Calibri" w:cs="Arial"/>
                <w:color w:val="FFFFFF" w:themeColor="background1"/>
                <w:sz w:val="20"/>
                <w:szCs w:val="20"/>
              </w:rPr>
            </w:pPr>
          </w:p>
        </w:tc>
        <w:tc>
          <w:tcPr>
            <w:tcW w:w="1066" w:type="dxa"/>
          </w:tcPr>
          <w:p w14:paraId="604BBC4E" w14:textId="5B3BA8FF"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sidRPr="00AB4E0F">
              <w:rPr>
                <w:rFonts w:eastAsia="Calibri" w:cs="Arial"/>
                <w:b/>
                <w:bCs/>
                <w:color w:val="auto"/>
                <w:sz w:val="20"/>
                <w:szCs w:val="20"/>
              </w:rPr>
              <w:t>2020</w:t>
            </w:r>
          </w:p>
        </w:tc>
        <w:tc>
          <w:tcPr>
            <w:tcW w:w="992" w:type="dxa"/>
          </w:tcPr>
          <w:p w14:paraId="5483F2DF" w14:textId="1ACF339A"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sidRPr="00AB4E0F">
              <w:rPr>
                <w:rFonts w:eastAsia="Calibri" w:cs="Arial"/>
                <w:b/>
                <w:bCs/>
                <w:color w:val="auto"/>
                <w:sz w:val="20"/>
                <w:szCs w:val="20"/>
              </w:rPr>
              <w:t>2021</w:t>
            </w:r>
          </w:p>
        </w:tc>
        <w:tc>
          <w:tcPr>
            <w:tcW w:w="993" w:type="dxa"/>
          </w:tcPr>
          <w:p w14:paraId="65093C7C" w14:textId="19FB632E"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sidRPr="00AB4E0F">
              <w:rPr>
                <w:rFonts w:eastAsia="Calibri" w:cs="Arial"/>
                <w:b/>
                <w:bCs/>
                <w:color w:val="auto"/>
                <w:sz w:val="20"/>
                <w:szCs w:val="20"/>
              </w:rPr>
              <w:t>2022</w:t>
            </w:r>
          </w:p>
        </w:tc>
        <w:tc>
          <w:tcPr>
            <w:tcW w:w="992" w:type="dxa"/>
          </w:tcPr>
          <w:p w14:paraId="2E625B55" w14:textId="5C189315"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sidRPr="00AB4E0F">
              <w:rPr>
                <w:rFonts w:eastAsia="Calibri" w:cs="Arial"/>
                <w:b/>
                <w:bCs/>
                <w:color w:val="auto"/>
                <w:sz w:val="20"/>
                <w:szCs w:val="20"/>
              </w:rPr>
              <w:t>2023</w:t>
            </w:r>
          </w:p>
        </w:tc>
        <w:tc>
          <w:tcPr>
            <w:tcW w:w="1134" w:type="dxa"/>
          </w:tcPr>
          <w:p w14:paraId="0E569024" w14:textId="65965C16"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Pr>
                <w:rFonts w:eastAsia="Calibri" w:cs="Arial"/>
                <w:b/>
                <w:bCs/>
                <w:color w:val="auto"/>
                <w:sz w:val="20"/>
                <w:szCs w:val="20"/>
              </w:rPr>
              <w:t>2024</w:t>
            </w:r>
          </w:p>
        </w:tc>
      </w:tr>
      <w:tr w:rsidR="004B4291" w:rsidRPr="00AB4E0F" w14:paraId="5023FDCC" w14:textId="77777777" w:rsidTr="00706EB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7650" w:type="dxa"/>
            <w:gridSpan w:val="6"/>
            <w:tcBorders>
              <w:top w:val="nil"/>
              <w:right w:val="single" w:sz="4" w:space="0" w:color="4472C4" w:themeColor="accent1"/>
            </w:tcBorders>
          </w:tcPr>
          <w:p w14:paraId="3D4661D5" w14:textId="77777777" w:rsidR="004B4291" w:rsidRPr="00AB4E0F" w:rsidRDefault="004B4291" w:rsidP="004B4291">
            <w:pPr>
              <w:ind w:firstLine="0"/>
              <w:jc w:val="center"/>
              <w:rPr>
                <w:rFonts w:eastAsia="Calibri" w:cs="Arial"/>
                <w:sz w:val="20"/>
                <w:szCs w:val="20"/>
              </w:rPr>
            </w:pPr>
            <w:r w:rsidRPr="00AB4E0F">
              <w:rPr>
                <w:rFonts w:eastAsia="Calibri" w:cs="Arial"/>
                <w:sz w:val="20"/>
                <w:szCs w:val="20"/>
              </w:rPr>
              <w:t>Lietuvos Respublika</w:t>
            </w:r>
          </w:p>
        </w:tc>
      </w:tr>
      <w:tr w:rsidR="004B4291" w:rsidRPr="000817D7" w14:paraId="50F6C989" w14:textId="77777777" w:rsidTr="00706EB1">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CC57A6"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Gimstamumas</w:t>
            </w:r>
          </w:p>
        </w:tc>
        <w:tc>
          <w:tcPr>
            <w:tcW w:w="1066" w:type="dxa"/>
            <w:vAlign w:val="center"/>
          </w:tcPr>
          <w:p w14:paraId="2D4B3B4B" w14:textId="0F484F5B"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cs="Arial"/>
                <w:sz w:val="20"/>
                <w:szCs w:val="20"/>
              </w:rPr>
              <w:t>23 556</w:t>
            </w:r>
          </w:p>
        </w:tc>
        <w:tc>
          <w:tcPr>
            <w:tcW w:w="992" w:type="dxa"/>
            <w:vAlign w:val="center"/>
          </w:tcPr>
          <w:p w14:paraId="3A2E8ABB" w14:textId="6419228F"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cs="Arial"/>
                <w:sz w:val="20"/>
                <w:szCs w:val="20"/>
              </w:rPr>
              <w:t>23 330</w:t>
            </w:r>
          </w:p>
        </w:tc>
        <w:tc>
          <w:tcPr>
            <w:tcW w:w="993" w:type="dxa"/>
            <w:vAlign w:val="center"/>
          </w:tcPr>
          <w:p w14:paraId="268D03A6" w14:textId="334FB33F"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cs="Arial"/>
                <w:sz w:val="20"/>
                <w:szCs w:val="20"/>
              </w:rPr>
              <w:t>22 068</w:t>
            </w:r>
          </w:p>
        </w:tc>
        <w:tc>
          <w:tcPr>
            <w:tcW w:w="992" w:type="dxa"/>
            <w:vAlign w:val="center"/>
          </w:tcPr>
          <w:p w14:paraId="0AD1B75F" w14:textId="139C55ED"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cs="Arial"/>
                <w:sz w:val="20"/>
                <w:szCs w:val="20"/>
              </w:rPr>
              <w:t>20 623</w:t>
            </w:r>
          </w:p>
        </w:tc>
        <w:tc>
          <w:tcPr>
            <w:tcW w:w="1134" w:type="dxa"/>
            <w:vAlign w:val="center"/>
          </w:tcPr>
          <w:p w14:paraId="2A74769A" w14:textId="5F679243" w:rsidR="004B4291" w:rsidRPr="000817D7" w:rsidRDefault="00583CDE"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 w:val="20"/>
                <w:szCs w:val="20"/>
              </w:rPr>
            </w:pPr>
            <w:r w:rsidRPr="000817D7">
              <w:rPr>
                <w:rFonts w:eastAsia="Calibri" w:cs="Arial"/>
                <w:color w:val="auto"/>
                <w:sz w:val="20"/>
                <w:szCs w:val="20"/>
              </w:rPr>
              <w:t>18</w:t>
            </w:r>
            <w:r w:rsidR="00A91F62" w:rsidRPr="000817D7">
              <w:rPr>
                <w:rFonts w:eastAsia="Calibri" w:cs="Arial"/>
                <w:color w:val="auto"/>
                <w:sz w:val="20"/>
                <w:szCs w:val="20"/>
              </w:rPr>
              <w:t> </w:t>
            </w:r>
            <w:r w:rsidRPr="000817D7">
              <w:rPr>
                <w:rFonts w:eastAsia="Calibri" w:cs="Arial"/>
                <w:color w:val="auto"/>
                <w:sz w:val="20"/>
                <w:szCs w:val="20"/>
              </w:rPr>
              <w:t>673</w:t>
            </w:r>
            <w:r w:rsidR="00A91F62" w:rsidRPr="000817D7">
              <w:rPr>
                <w:rFonts w:eastAsia="Calibri" w:cs="Arial"/>
                <w:color w:val="auto"/>
                <w:sz w:val="20"/>
                <w:szCs w:val="20"/>
              </w:rPr>
              <w:t>*</w:t>
            </w:r>
          </w:p>
        </w:tc>
      </w:tr>
      <w:tr w:rsidR="004B4291" w:rsidRPr="00AB4E0F" w14:paraId="70BBA833" w14:textId="77777777" w:rsidTr="00706EB1">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9E7393"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Mirtingumas</w:t>
            </w:r>
          </w:p>
        </w:tc>
        <w:tc>
          <w:tcPr>
            <w:tcW w:w="1066" w:type="dxa"/>
            <w:vAlign w:val="center"/>
          </w:tcPr>
          <w:p w14:paraId="27C489F9" w14:textId="5F1433CA"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cs="Arial"/>
                <w:sz w:val="20"/>
                <w:szCs w:val="20"/>
              </w:rPr>
              <w:t>43 547</w:t>
            </w:r>
          </w:p>
        </w:tc>
        <w:tc>
          <w:tcPr>
            <w:tcW w:w="992" w:type="dxa"/>
            <w:vAlign w:val="center"/>
          </w:tcPr>
          <w:p w14:paraId="39EDD872" w14:textId="2513AFAA"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cs="Arial"/>
                <w:sz w:val="20"/>
                <w:szCs w:val="20"/>
              </w:rPr>
              <w:t>47 746</w:t>
            </w:r>
          </w:p>
        </w:tc>
        <w:tc>
          <w:tcPr>
            <w:tcW w:w="993" w:type="dxa"/>
            <w:vAlign w:val="center"/>
          </w:tcPr>
          <w:p w14:paraId="74954FB9" w14:textId="7F46DA15"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cs="Arial"/>
                <w:sz w:val="20"/>
                <w:szCs w:val="20"/>
              </w:rPr>
              <w:t>42 884</w:t>
            </w:r>
          </w:p>
        </w:tc>
        <w:tc>
          <w:tcPr>
            <w:tcW w:w="992" w:type="dxa"/>
            <w:vAlign w:val="center"/>
          </w:tcPr>
          <w:p w14:paraId="1F2062E5" w14:textId="5C2942DA"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cs="Arial"/>
                <w:sz w:val="20"/>
                <w:szCs w:val="20"/>
              </w:rPr>
              <w:t>37 005</w:t>
            </w:r>
          </w:p>
        </w:tc>
        <w:tc>
          <w:tcPr>
            <w:tcW w:w="1134" w:type="dxa"/>
            <w:vAlign w:val="center"/>
          </w:tcPr>
          <w:p w14:paraId="387EBA3E" w14:textId="77B92A36" w:rsidR="004B4291" w:rsidRPr="00AB4E0F" w:rsidRDefault="00E76707"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 w:val="20"/>
                <w:szCs w:val="20"/>
              </w:rPr>
            </w:pPr>
            <w:r>
              <w:rPr>
                <w:rFonts w:eastAsia="Calibri" w:cs="Arial"/>
                <w:color w:val="auto"/>
                <w:sz w:val="20"/>
                <w:szCs w:val="20"/>
              </w:rPr>
              <w:t>37</w:t>
            </w:r>
            <w:r w:rsidR="00A91F62">
              <w:rPr>
                <w:rFonts w:eastAsia="Calibri" w:cs="Arial"/>
                <w:color w:val="auto"/>
                <w:sz w:val="20"/>
                <w:szCs w:val="20"/>
              </w:rPr>
              <w:t> </w:t>
            </w:r>
            <w:r>
              <w:rPr>
                <w:rFonts w:eastAsia="Calibri" w:cs="Arial"/>
                <w:color w:val="auto"/>
                <w:sz w:val="20"/>
                <w:szCs w:val="20"/>
              </w:rPr>
              <w:t>444</w:t>
            </w:r>
            <w:r w:rsidR="00A91F62">
              <w:rPr>
                <w:rFonts w:eastAsia="Calibri" w:cs="Arial"/>
                <w:color w:val="auto"/>
                <w:sz w:val="20"/>
                <w:szCs w:val="20"/>
              </w:rPr>
              <w:t>*</w:t>
            </w:r>
          </w:p>
        </w:tc>
      </w:tr>
      <w:tr w:rsidR="004B4291" w:rsidRPr="00AB4E0F" w14:paraId="6639B83C" w14:textId="77777777" w:rsidTr="00706EB1">
        <w:trPr>
          <w:cnfStyle w:val="000000100000" w:firstRow="0" w:lastRow="0" w:firstColumn="0" w:lastColumn="0" w:oddVBand="0" w:evenVBand="0" w:oddHBand="1" w:evenHBand="0" w:firstRowFirstColumn="0" w:firstRowLastColumn="0" w:lastRowFirstColumn="0" w:lastRowLastColumn="0"/>
          <w:trHeight w:hRule="exact" w:val="2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3097E6"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Natūrali gyventojų kaita</w:t>
            </w:r>
          </w:p>
        </w:tc>
        <w:tc>
          <w:tcPr>
            <w:tcW w:w="1066" w:type="dxa"/>
            <w:vAlign w:val="center"/>
          </w:tcPr>
          <w:p w14:paraId="654037A2" w14:textId="4C0CD299"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cs="Arial"/>
                <w:b/>
                <w:bCs/>
                <w:sz w:val="20"/>
                <w:szCs w:val="20"/>
              </w:rPr>
              <w:t>-19 991</w:t>
            </w:r>
          </w:p>
        </w:tc>
        <w:tc>
          <w:tcPr>
            <w:tcW w:w="992" w:type="dxa"/>
            <w:vAlign w:val="center"/>
          </w:tcPr>
          <w:p w14:paraId="6BA31CF6" w14:textId="22F80BE1"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cs="Arial"/>
                <w:b/>
                <w:bCs/>
                <w:sz w:val="20"/>
                <w:szCs w:val="20"/>
              </w:rPr>
              <w:t>-24 416</w:t>
            </w:r>
          </w:p>
        </w:tc>
        <w:tc>
          <w:tcPr>
            <w:tcW w:w="993" w:type="dxa"/>
            <w:vAlign w:val="center"/>
          </w:tcPr>
          <w:p w14:paraId="6B9B04C6" w14:textId="20EC777B"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cs="Arial"/>
                <w:b/>
                <w:bCs/>
                <w:sz w:val="20"/>
                <w:szCs w:val="20"/>
              </w:rPr>
              <w:t>-20 816</w:t>
            </w:r>
          </w:p>
        </w:tc>
        <w:tc>
          <w:tcPr>
            <w:tcW w:w="992" w:type="dxa"/>
            <w:vAlign w:val="center"/>
          </w:tcPr>
          <w:p w14:paraId="35130010" w14:textId="2AB05AC3"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cs="Arial"/>
                <w:b/>
                <w:bCs/>
                <w:sz w:val="20"/>
                <w:szCs w:val="20"/>
              </w:rPr>
              <w:t>-16 328</w:t>
            </w:r>
          </w:p>
        </w:tc>
        <w:tc>
          <w:tcPr>
            <w:tcW w:w="1134" w:type="dxa"/>
            <w:vAlign w:val="center"/>
          </w:tcPr>
          <w:p w14:paraId="34F64173" w14:textId="60EA3188" w:rsidR="004B4291" w:rsidRPr="00AB4E0F" w:rsidRDefault="00E76707"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color w:val="auto"/>
                <w:sz w:val="20"/>
                <w:szCs w:val="20"/>
              </w:rPr>
            </w:pPr>
            <w:r>
              <w:rPr>
                <w:rFonts w:eastAsia="Calibri" w:cs="Arial"/>
                <w:b/>
                <w:bCs/>
                <w:color w:val="auto"/>
                <w:sz w:val="20"/>
                <w:szCs w:val="20"/>
              </w:rPr>
              <w:t>-18</w:t>
            </w:r>
            <w:r w:rsidR="00A91F62">
              <w:rPr>
                <w:rFonts w:eastAsia="Calibri" w:cs="Arial"/>
                <w:b/>
                <w:bCs/>
                <w:color w:val="auto"/>
                <w:sz w:val="20"/>
                <w:szCs w:val="20"/>
              </w:rPr>
              <w:t> </w:t>
            </w:r>
            <w:r>
              <w:rPr>
                <w:rFonts w:eastAsia="Calibri" w:cs="Arial"/>
                <w:b/>
                <w:bCs/>
                <w:color w:val="auto"/>
                <w:sz w:val="20"/>
                <w:szCs w:val="20"/>
              </w:rPr>
              <w:t>771</w:t>
            </w:r>
            <w:r w:rsidR="00A91F62">
              <w:rPr>
                <w:rFonts w:eastAsia="Calibri" w:cs="Arial"/>
                <w:b/>
                <w:bCs/>
                <w:color w:val="auto"/>
                <w:sz w:val="20"/>
                <w:szCs w:val="20"/>
              </w:rPr>
              <w:t>*</w:t>
            </w:r>
          </w:p>
        </w:tc>
      </w:tr>
      <w:tr w:rsidR="004B4291" w:rsidRPr="00AB4E0F" w14:paraId="5A8376BA" w14:textId="77777777" w:rsidTr="00706EB1">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7650" w:type="dxa"/>
            <w:gridSpan w:val="6"/>
            <w:tcBorders>
              <w:right w:val="single" w:sz="4" w:space="0" w:color="4472C4" w:themeColor="accent1"/>
            </w:tcBorders>
          </w:tcPr>
          <w:p w14:paraId="4F5DBF5F"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Utenos apskritis</w:t>
            </w:r>
          </w:p>
        </w:tc>
      </w:tr>
      <w:tr w:rsidR="004B4291" w:rsidRPr="00AB4E0F" w14:paraId="674ACA8A" w14:textId="77777777" w:rsidTr="00706EB1">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006EA7E6"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Gimstamumas</w:t>
            </w:r>
          </w:p>
        </w:tc>
        <w:tc>
          <w:tcPr>
            <w:tcW w:w="1066" w:type="dxa"/>
          </w:tcPr>
          <w:p w14:paraId="302BCC5E" w14:textId="5CD034C2"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809</w:t>
            </w:r>
          </w:p>
        </w:tc>
        <w:tc>
          <w:tcPr>
            <w:tcW w:w="992" w:type="dxa"/>
          </w:tcPr>
          <w:p w14:paraId="1B4BF344" w14:textId="3A84D556"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744</w:t>
            </w:r>
          </w:p>
        </w:tc>
        <w:tc>
          <w:tcPr>
            <w:tcW w:w="993" w:type="dxa"/>
          </w:tcPr>
          <w:p w14:paraId="4BC030C3" w14:textId="14F91C70"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680</w:t>
            </w:r>
          </w:p>
        </w:tc>
        <w:tc>
          <w:tcPr>
            <w:tcW w:w="992" w:type="dxa"/>
          </w:tcPr>
          <w:p w14:paraId="271B7BC0" w14:textId="33C4A026"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color w:val="auto"/>
                <w:sz w:val="20"/>
                <w:szCs w:val="20"/>
              </w:rPr>
              <w:t>637</w:t>
            </w:r>
          </w:p>
        </w:tc>
        <w:tc>
          <w:tcPr>
            <w:tcW w:w="1134" w:type="dxa"/>
          </w:tcPr>
          <w:p w14:paraId="64673AE2" w14:textId="137B0819" w:rsidR="004B4291" w:rsidRPr="00AB4E0F" w:rsidRDefault="00E76707"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 w:val="20"/>
                <w:szCs w:val="20"/>
              </w:rPr>
            </w:pPr>
            <w:r>
              <w:rPr>
                <w:rFonts w:eastAsia="Calibri" w:cs="Arial"/>
                <w:color w:val="auto"/>
                <w:sz w:val="20"/>
                <w:szCs w:val="20"/>
              </w:rPr>
              <w:t>568</w:t>
            </w:r>
            <w:r w:rsidR="00A91F62">
              <w:rPr>
                <w:rFonts w:eastAsia="Calibri" w:cs="Arial"/>
                <w:color w:val="auto"/>
                <w:sz w:val="20"/>
                <w:szCs w:val="20"/>
              </w:rPr>
              <w:t>*</w:t>
            </w:r>
          </w:p>
        </w:tc>
      </w:tr>
      <w:tr w:rsidR="004B4291" w:rsidRPr="00AB4E0F" w14:paraId="5161848F" w14:textId="77777777" w:rsidTr="00706EB1">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3B48F330"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Mirtingumas</w:t>
            </w:r>
          </w:p>
        </w:tc>
        <w:tc>
          <w:tcPr>
            <w:tcW w:w="1066" w:type="dxa"/>
          </w:tcPr>
          <w:p w14:paraId="78A65738" w14:textId="5D4B558C"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2 569</w:t>
            </w:r>
          </w:p>
        </w:tc>
        <w:tc>
          <w:tcPr>
            <w:tcW w:w="992" w:type="dxa"/>
          </w:tcPr>
          <w:p w14:paraId="206CF6EE" w14:textId="2E1DCEBA"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2 840</w:t>
            </w:r>
          </w:p>
        </w:tc>
        <w:tc>
          <w:tcPr>
            <w:tcW w:w="993" w:type="dxa"/>
          </w:tcPr>
          <w:p w14:paraId="0F49DE68" w14:textId="48907A81"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2 592</w:t>
            </w:r>
          </w:p>
        </w:tc>
        <w:tc>
          <w:tcPr>
            <w:tcW w:w="992" w:type="dxa"/>
          </w:tcPr>
          <w:p w14:paraId="1FE5FC5F" w14:textId="69B884E5"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color w:val="auto"/>
                <w:sz w:val="20"/>
                <w:szCs w:val="20"/>
              </w:rPr>
              <w:t>2 208</w:t>
            </w:r>
          </w:p>
        </w:tc>
        <w:tc>
          <w:tcPr>
            <w:tcW w:w="1134" w:type="dxa"/>
          </w:tcPr>
          <w:p w14:paraId="550F9204" w14:textId="0F59FC81" w:rsidR="004B4291" w:rsidRPr="00AB4E0F" w:rsidRDefault="00E76707"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 w:val="20"/>
                <w:szCs w:val="20"/>
              </w:rPr>
            </w:pPr>
            <w:r>
              <w:rPr>
                <w:rFonts w:eastAsia="Calibri" w:cs="Arial"/>
                <w:color w:val="auto"/>
                <w:sz w:val="20"/>
                <w:szCs w:val="20"/>
              </w:rPr>
              <w:t>2</w:t>
            </w:r>
            <w:r w:rsidR="00A91F62">
              <w:rPr>
                <w:rFonts w:eastAsia="Calibri" w:cs="Arial"/>
                <w:color w:val="auto"/>
                <w:sz w:val="20"/>
                <w:szCs w:val="20"/>
              </w:rPr>
              <w:t> </w:t>
            </w:r>
            <w:r>
              <w:rPr>
                <w:rFonts w:eastAsia="Calibri" w:cs="Arial"/>
                <w:color w:val="auto"/>
                <w:sz w:val="20"/>
                <w:szCs w:val="20"/>
              </w:rPr>
              <w:t>298</w:t>
            </w:r>
            <w:r w:rsidR="00A91F62">
              <w:rPr>
                <w:rFonts w:eastAsia="Calibri" w:cs="Arial"/>
                <w:color w:val="auto"/>
                <w:sz w:val="20"/>
                <w:szCs w:val="20"/>
              </w:rPr>
              <w:t>*</w:t>
            </w:r>
          </w:p>
        </w:tc>
      </w:tr>
      <w:tr w:rsidR="004B4291" w:rsidRPr="00AB4E0F" w14:paraId="39566F61" w14:textId="77777777" w:rsidTr="00706EB1">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25274B60"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Natūrali gyventojų kaita</w:t>
            </w:r>
          </w:p>
        </w:tc>
        <w:tc>
          <w:tcPr>
            <w:tcW w:w="1066" w:type="dxa"/>
          </w:tcPr>
          <w:p w14:paraId="6F836B27" w14:textId="3869A814"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cs="Arial"/>
                <w:b/>
                <w:bCs/>
                <w:sz w:val="20"/>
                <w:szCs w:val="20"/>
              </w:rPr>
              <w:t>-1 760</w:t>
            </w:r>
          </w:p>
        </w:tc>
        <w:tc>
          <w:tcPr>
            <w:tcW w:w="992" w:type="dxa"/>
          </w:tcPr>
          <w:p w14:paraId="1FB2A9BC" w14:textId="4861EA78"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20"/>
                <w:lang w:eastAsia="lt-LT"/>
              </w:rPr>
            </w:pPr>
            <w:r w:rsidRPr="00AB4E0F">
              <w:rPr>
                <w:rFonts w:eastAsia="Calibri" w:cs="Arial"/>
                <w:b/>
                <w:sz w:val="20"/>
                <w:szCs w:val="20"/>
                <w:lang w:eastAsia="lt-LT"/>
              </w:rPr>
              <w:t>-2 096</w:t>
            </w:r>
          </w:p>
        </w:tc>
        <w:tc>
          <w:tcPr>
            <w:tcW w:w="993" w:type="dxa"/>
          </w:tcPr>
          <w:p w14:paraId="242660CC" w14:textId="6F6CEA50"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sz w:val="20"/>
                <w:szCs w:val="20"/>
                <w:lang w:eastAsia="lt-LT"/>
              </w:rPr>
              <w:t>-1 912</w:t>
            </w:r>
          </w:p>
        </w:tc>
        <w:tc>
          <w:tcPr>
            <w:tcW w:w="992" w:type="dxa"/>
          </w:tcPr>
          <w:p w14:paraId="6F5C413B" w14:textId="4065EE68"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color w:val="auto"/>
                <w:sz w:val="20"/>
                <w:szCs w:val="20"/>
              </w:rPr>
              <w:t>-1 571</w:t>
            </w:r>
          </w:p>
        </w:tc>
        <w:tc>
          <w:tcPr>
            <w:tcW w:w="1134" w:type="dxa"/>
          </w:tcPr>
          <w:p w14:paraId="413F6D71" w14:textId="01AE4030" w:rsidR="004B4291" w:rsidRPr="00AB4E0F" w:rsidRDefault="00A91F62"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color w:val="auto"/>
                <w:sz w:val="20"/>
                <w:szCs w:val="20"/>
              </w:rPr>
            </w:pPr>
            <w:r>
              <w:rPr>
                <w:rFonts w:eastAsia="Calibri" w:cs="Arial"/>
                <w:b/>
                <w:color w:val="auto"/>
                <w:sz w:val="20"/>
                <w:szCs w:val="20"/>
              </w:rPr>
              <w:t>-1 730*</w:t>
            </w:r>
          </w:p>
        </w:tc>
      </w:tr>
      <w:tr w:rsidR="004B4291" w:rsidRPr="00AB4E0F" w14:paraId="278B3136" w14:textId="77777777" w:rsidTr="00706EB1">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7650" w:type="dxa"/>
            <w:gridSpan w:val="6"/>
            <w:tcBorders>
              <w:right w:val="single" w:sz="4" w:space="0" w:color="4472C4" w:themeColor="accent1"/>
            </w:tcBorders>
          </w:tcPr>
          <w:p w14:paraId="43FBA239"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Utenos rajono savivaldybė</w:t>
            </w:r>
          </w:p>
        </w:tc>
      </w:tr>
      <w:tr w:rsidR="004B4291" w:rsidRPr="00AB4E0F" w14:paraId="11C346A8" w14:textId="77777777" w:rsidTr="00706EB1">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21EBA98E"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Gimstamumas</w:t>
            </w:r>
          </w:p>
        </w:tc>
        <w:tc>
          <w:tcPr>
            <w:tcW w:w="1066" w:type="dxa"/>
          </w:tcPr>
          <w:p w14:paraId="68D46441" w14:textId="0D59A8DC"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247</w:t>
            </w:r>
          </w:p>
        </w:tc>
        <w:tc>
          <w:tcPr>
            <w:tcW w:w="992" w:type="dxa"/>
          </w:tcPr>
          <w:p w14:paraId="3717103E" w14:textId="43AFA875"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269</w:t>
            </w:r>
          </w:p>
        </w:tc>
        <w:tc>
          <w:tcPr>
            <w:tcW w:w="993" w:type="dxa"/>
          </w:tcPr>
          <w:p w14:paraId="0AD6F351" w14:textId="44DE749C"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225</w:t>
            </w:r>
          </w:p>
        </w:tc>
        <w:tc>
          <w:tcPr>
            <w:tcW w:w="992" w:type="dxa"/>
          </w:tcPr>
          <w:p w14:paraId="73412744" w14:textId="252C51ED"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lt-LT"/>
              </w:rPr>
            </w:pPr>
            <w:r w:rsidRPr="00AB4E0F">
              <w:rPr>
                <w:rFonts w:eastAsia="Calibri" w:cs="Arial"/>
                <w:color w:val="000000"/>
                <w:sz w:val="20"/>
                <w:szCs w:val="20"/>
              </w:rPr>
              <w:t>212</w:t>
            </w:r>
          </w:p>
        </w:tc>
        <w:tc>
          <w:tcPr>
            <w:tcW w:w="1134" w:type="dxa"/>
          </w:tcPr>
          <w:p w14:paraId="258C486D" w14:textId="4ACF448D" w:rsidR="004B4291" w:rsidRPr="00AB4E0F" w:rsidRDefault="00A91F62"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rPr>
            </w:pPr>
            <w:r>
              <w:rPr>
                <w:rFonts w:eastAsia="Calibri" w:cs="Arial"/>
                <w:color w:val="000000"/>
                <w:sz w:val="20"/>
                <w:szCs w:val="20"/>
              </w:rPr>
              <w:t>176</w:t>
            </w:r>
          </w:p>
        </w:tc>
      </w:tr>
      <w:tr w:rsidR="004B4291" w:rsidRPr="00AB4E0F" w14:paraId="113A9AD2" w14:textId="77777777" w:rsidTr="00706EB1">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0B7A5255"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Mirtingumas</w:t>
            </w:r>
          </w:p>
        </w:tc>
        <w:tc>
          <w:tcPr>
            <w:tcW w:w="1066" w:type="dxa"/>
          </w:tcPr>
          <w:p w14:paraId="6EB53C4D" w14:textId="7BF8FB18"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662</w:t>
            </w:r>
          </w:p>
        </w:tc>
        <w:tc>
          <w:tcPr>
            <w:tcW w:w="992" w:type="dxa"/>
          </w:tcPr>
          <w:p w14:paraId="39D7435E" w14:textId="19C5CA19"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715</w:t>
            </w:r>
          </w:p>
        </w:tc>
        <w:tc>
          <w:tcPr>
            <w:tcW w:w="993" w:type="dxa"/>
          </w:tcPr>
          <w:p w14:paraId="12404E7C" w14:textId="53E6D6A8"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sz w:val="20"/>
                <w:szCs w:val="20"/>
                <w:lang w:eastAsia="lt-LT"/>
              </w:rPr>
              <w:t>681</w:t>
            </w:r>
          </w:p>
        </w:tc>
        <w:tc>
          <w:tcPr>
            <w:tcW w:w="992" w:type="dxa"/>
          </w:tcPr>
          <w:p w14:paraId="480F9CA6" w14:textId="59C5C000" w:rsidR="004B4291" w:rsidRPr="00AB4E0F" w:rsidRDefault="004B4291"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lt-LT"/>
              </w:rPr>
            </w:pPr>
            <w:r w:rsidRPr="00AB4E0F">
              <w:rPr>
                <w:rFonts w:eastAsia="Calibri" w:cs="Arial"/>
                <w:color w:val="auto"/>
                <w:sz w:val="20"/>
                <w:szCs w:val="20"/>
              </w:rPr>
              <w:t>618</w:t>
            </w:r>
          </w:p>
        </w:tc>
        <w:tc>
          <w:tcPr>
            <w:tcW w:w="1134" w:type="dxa"/>
          </w:tcPr>
          <w:p w14:paraId="19F96F96" w14:textId="288CA564" w:rsidR="004B4291" w:rsidRPr="00AB4E0F" w:rsidRDefault="00A91F62" w:rsidP="004B4291">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 w:val="20"/>
                <w:szCs w:val="20"/>
              </w:rPr>
            </w:pPr>
            <w:r>
              <w:rPr>
                <w:rFonts w:eastAsia="Calibri" w:cs="Arial"/>
                <w:color w:val="auto"/>
                <w:sz w:val="20"/>
                <w:szCs w:val="20"/>
              </w:rPr>
              <w:t>627</w:t>
            </w:r>
          </w:p>
        </w:tc>
      </w:tr>
      <w:tr w:rsidR="004B4291" w:rsidRPr="00AB4E0F" w14:paraId="2DA9545F" w14:textId="77777777" w:rsidTr="00706EB1">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Pr>
          <w:p w14:paraId="10522F27" w14:textId="77777777" w:rsidR="004B4291" w:rsidRPr="00AB4E0F" w:rsidRDefault="004B4291" w:rsidP="004B4291">
            <w:pPr>
              <w:ind w:firstLine="0"/>
              <w:jc w:val="center"/>
              <w:rPr>
                <w:rFonts w:eastAsia="Calibri" w:cs="Arial"/>
                <w:iCs/>
                <w:sz w:val="20"/>
                <w:szCs w:val="20"/>
              </w:rPr>
            </w:pPr>
            <w:r w:rsidRPr="00AB4E0F">
              <w:rPr>
                <w:rFonts w:eastAsia="Calibri" w:cs="Arial"/>
                <w:iCs/>
                <w:sz w:val="20"/>
                <w:szCs w:val="20"/>
              </w:rPr>
              <w:t>Natūrali gyventojų kaita</w:t>
            </w:r>
          </w:p>
        </w:tc>
        <w:tc>
          <w:tcPr>
            <w:tcW w:w="1066" w:type="dxa"/>
          </w:tcPr>
          <w:p w14:paraId="3BE79BDF" w14:textId="11F4E013"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sz w:val="20"/>
                <w:szCs w:val="20"/>
                <w:lang w:eastAsia="lt-LT"/>
              </w:rPr>
              <w:t>-415</w:t>
            </w:r>
          </w:p>
        </w:tc>
        <w:tc>
          <w:tcPr>
            <w:tcW w:w="992" w:type="dxa"/>
          </w:tcPr>
          <w:p w14:paraId="3F539666" w14:textId="7A44EEC6"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sz w:val="20"/>
                <w:szCs w:val="20"/>
                <w:lang w:eastAsia="lt-LT"/>
              </w:rPr>
              <w:t>-446</w:t>
            </w:r>
          </w:p>
        </w:tc>
        <w:tc>
          <w:tcPr>
            <w:tcW w:w="993" w:type="dxa"/>
          </w:tcPr>
          <w:p w14:paraId="04BD9F79" w14:textId="418912C6"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sz w:val="20"/>
                <w:szCs w:val="20"/>
                <w:lang w:eastAsia="lt-LT"/>
              </w:rPr>
              <w:t>-456</w:t>
            </w:r>
          </w:p>
        </w:tc>
        <w:tc>
          <w:tcPr>
            <w:tcW w:w="992" w:type="dxa"/>
          </w:tcPr>
          <w:p w14:paraId="799BA551" w14:textId="42A1FEAF" w:rsidR="004B4291" w:rsidRPr="00AB4E0F" w:rsidRDefault="004B4291"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lang w:eastAsia="lt-LT"/>
              </w:rPr>
            </w:pPr>
            <w:r w:rsidRPr="00AB4E0F">
              <w:rPr>
                <w:rFonts w:eastAsia="Calibri" w:cs="Arial"/>
                <w:b/>
                <w:color w:val="auto"/>
                <w:sz w:val="20"/>
                <w:szCs w:val="20"/>
              </w:rPr>
              <w:t>-406</w:t>
            </w:r>
          </w:p>
        </w:tc>
        <w:tc>
          <w:tcPr>
            <w:tcW w:w="1134" w:type="dxa"/>
          </w:tcPr>
          <w:p w14:paraId="632215C0" w14:textId="41D67D0B" w:rsidR="004B4291" w:rsidRPr="00AB4E0F" w:rsidRDefault="00A91F62" w:rsidP="004B4291">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b/>
                <w:color w:val="auto"/>
                <w:sz w:val="20"/>
                <w:szCs w:val="20"/>
              </w:rPr>
            </w:pPr>
            <w:r>
              <w:rPr>
                <w:rFonts w:eastAsia="Calibri" w:cs="Arial"/>
                <w:b/>
                <w:color w:val="auto"/>
                <w:sz w:val="20"/>
                <w:szCs w:val="20"/>
              </w:rPr>
              <w:t>-451</w:t>
            </w:r>
          </w:p>
        </w:tc>
      </w:tr>
    </w:tbl>
    <w:p w14:paraId="2124A232" w14:textId="0289F5BF" w:rsidR="00A91F62" w:rsidRDefault="004D4D65" w:rsidP="004D4D65">
      <w:pPr>
        <w:spacing w:after="120" w:line="22" w:lineRule="atLeast"/>
        <w:jc w:val="left"/>
        <w:rPr>
          <w:rFonts w:cs="Arial"/>
          <w:i/>
          <w:iCs/>
          <w:color w:val="000000"/>
          <w:sz w:val="20"/>
          <w:szCs w:val="20"/>
        </w:rPr>
      </w:pPr>
      <w:r>
        <w:rPr>
          <w:rFonts w:cs="Arial"/>
          <w:i/>
          <w:iCs/>
          <w:color w:val="000000"/>
          <w:sz w:val="20"/>
          <w:szCs w:val="20"/>
        </w:rPr>
        <w:t>*išankstinai duomenys</w:t>
      </w:r>
    </w:p>
    <w:p w14:paraId="54169062" w14:textId="705FAAB4" w:rsidR="00847AA6" w:rsidRPr="007C4F3A" w:rsidRDefault="00847AA6" w:rsidP="00847AA6">
      <w:pPr>
        <w:spacing w:after="120" w:line="22" w:lineRule="atLeast"/>
        <w:jc w:val="center"/>
        <w:rPr>
          <w:rFonts w:cs="Arial"/>
          <w:i/>
          <w:iCs/>
          <w:color w:val="000000"/>
          <w:sz w:val="20"/>
          <w:szCs w:val="20"/>
        </w:rPr>
      </w:pPr>
      <w:r w:rsidRPr="007C4F3A">
        <w:rPr>
          <w:rFonts w:cs="Arial"/>
          <w:i/>
          <w:iCs/>
          <w:color w:val="000000"/>
          <w:sz w:val="20"/>
          <w:szCs w:val="20"/>
        </w:rPr>
        <w:t>Šaltinis: Valstybės duomenų agentūra, 202</w:t>
      </w:r>
      <w:r>
        <w:rPr>
          <w:rFonts w:cs="Arial"/>
          <w:i/>
          <w:iCs/>
          <w:color w:val="000000"/>
          <w:sz w:val="20"/>
          <w:szCs w:val="20"/>
        </w:rPr>
        <w:t>5</w:t>
      </w:r>
      <w:r w:rsidRPr="007C4F3A">
        <w:rPr>
          <w:rFonts w:cs="Arial"/>
          <w:i/>
          <w:iCs/>
          <w:color w:val="000000"/>
          <w:sz w:val="20"/>
          <w:szCs w:val="20"/>
        </w:rPr>
        <w:t xml:space="preserve"> m.</w:t>
      </w:r>
    </w:p>
    <w:p w14:paraId="66FAC4D9" w14:textId="77777777" w:rsidR="002514BA" w:rsidRDefault="002514BA" w:rsidP="002514BA">
      <w:pPr>
        <w:pStyle w:val="Pagrindinis"/>
        <w:rPr>
          <w:b/>
          <w:lang w:eastAsia="lt-LT"/>
        </w:rPr>
      </w:pPr>
      <w:bookmarkStart w:id="100" w:name="_Toc70006422"/>
      <w:bookmarkStart w:id="101" w:name="_Toc71031092"/>
      <w:bookmarkStart w:id="102" w:name="_Toc80900572"/>
      <w:bookmarkStart w:id="103" w:name="_Toc94166608"/>
      <w:bookmarkStart w:id="104" w:name="_Toc120712184"/>
      <w:bookmarkStart w:id="105" w:name="_Toc178773655"/>
      <w:bookmarkStart w:id="106" w:name="_Toc182496433"/>
      <w:bookmarkEnd w:id="98"/>
      <w:r w:rsidRPr="002514BA">
        <w:rPr>
          <w:lang w:eastAsia="lt-LT"/>
        </w:rPr>
        <w:t xml:space="preserve">Dar vienas iš pagrindinių gyventojų skaičiaus augimą lemiančių rodiklių yra gyventojų vidinė ir tarptautinė migracija, kuri tampa svarbiu demografiniu veiksniu Utenos rajono savivaldybėje. Šalyje ir Utenos apskrityje 2020–2023 m. laikotarpiu fiksuota teigiama </w:t>
      </w:r>
      <w:proofErr w:type="spellStart"/>
      <w:r w:rsidRPr="002514BA">
        <w:rPr>
          <w:lang w:eastAsia="lt-LT"/>
        </w:rPr>
        <w:t>neto</w:t>
      </w:r>
      <w:proofErr w:type="spellEnd"/>
      <w:r w:rsidRPr="002514BA">
        <w:rPr>
          <w:lang w:eastAsia="lt-LT"/>
        </w:rPr>
        <w:t xml:space="preserve"> migracija, o augimas ypač išryškėjo 2022 m., prasidėjus karui Ukrainoje. Utenos rajono savivaldybėje stebimos analogiškos tendencijos – čia </w:t>
      </w:r>
      <w:proofErr w:type="spellStart"/>
      <w:r w:rsidRPr="002514BA">
        <w:rPr>
          <w:lang w:eastAsia="lt-LT"/>
        </w:rPr>
        <w:t>neto</w:t>
      </w:r>
      <w:proofErr w:type="spellEnd"/>
      <w:r w:rsidRPr="002514BA">
        <w:rPr>
          <w:lang w:eastAsia="lt-LT"/>
        </w:rPr>
        <w:t xml:space="preserve"> migracija 2020–2022 m. taip pat buvo teigiama ir augo, tačiau 2023 m. tapo neigiama (−1 677), o tai rodo didėjantį gyventojų išvykimą iš teritorijos. Nors mastai mažesni nei didžiųjų miestų savivaldybėse, net ir nedideli migracijos svyravimai daro reikšmingą įtaką bendram demografiniam balansui mažesniuose regionuose. Detalūs vidaus ir tarptautinės migracijos duomenys pateikiami </w:t>
      </w:r>
      <w:r w:rsidRPr="0029368E">
        <w:rPr>
          <w:lang w:eastAsia="lt-LT"/>
        </w:rPr>
        <w:t>1.2.2. lentelėje</w:t>
      </w:r>
      <w:r w:rsidRPr="002514BA">
        <w:rPr>
          <w:lang w:eastAsia="lt-LT"/>
        </w:rPr>
        <w:t>.</w:t>
      </w:r>
    </w:p>
    <w:p w14:paraId="0E2949B9" w14:textId="58D46385" w:rsidR="007C6808" w:rsidRPr="00AB4E0F" w:rsidRDefault="007C6808" w:rsidP="007C6808">
      <w:pPr>
        <w:pStyle w:val="LentelsL"/>
        <w:spacing w:after="120" w:line="22" w:lineRule="atLeast"/>
        <w:rPr>
          <w:rFonts w:cs="Arial"/>
        </w:rPr>
      </w:pPr>
      <w:bookmarkStart w:id="107" w:name="_Toc198807811"/>
      <w:r w:rsidRPr="00AB4E0F">
        <w:rPr>
          <w:rFonts w:cs="Arial"/>
        </w:rPr>
        <w:t xml:space="preserve">1.2.2. lentelė. Vidaus ir tarptautinė </w:t>
      </w:r>
      <w:proofErr w:type="spellStart"/>
      <w:r w:rsidRPr="00AB4E0F">
        <w:rPr>
          <w:rFonts w:cs="Arial"/>
          <w:i/>
          <w:iCs/>
        </w:rPr>
        <w:t>neto</w:t>
      </w:r>
      <w:proofErr w:type="spellEnd"/>
      <w:r w:rsidRPr="00AB4E0F">
        <w:rPr>
          <w:rFonts w:cs="Arial"/>
        </w:rPr>
        <w:t xml:space="preserve"> migracija 2019–2023 m.</w:t>
      </w:r>
      <w:bookmarkEnd w:id="100"/>
      <w:bookmarkEnd w:id="101"/>
      <w:bookmarkEnd w:id="102"/>
      <w:bookmarkEnd w:id="103"/>
      <w:bookmarkEnd w:id="104"/>
      <w:bookmarkEnd w:id="105"/>
      <w:bookmarkEnd w:id="106"/>
      <w:bookmarkEnd w:id="107"/>
    </w:p>
    <w:tbl>
      <w:tblPr>
        <w:tblStyle w:val="3sraolentel1parykinimas"/>
        <w:tblW w:w="0" w:type="auto"/>
        <w:jc w:val="center"/>
        <w:tblLook w:val="04A0" w:firstRow="1" w:lastRow="0" w:firstColumn="1" w:lastColumn="0" w:noHBand="0" w:noVBand="1"/>
      </w:tblPr>
      <w:tblGrid>
        <w:gridCol w:w="2484"/>
        <w:gridCol w:w="939"/>
        <w:gridCol w:w="939"/>
        <w:gridCol w:w="939"/>
        <w:gridCol w:w="939"/>
        <w:gridCol w:w="1017"/>
      </w:tblGrid>
      <w:tr w:rsidR="007C6808" w:rsidRPr="00AB4E0F" w14:paraId="60C1B32D" w14:textId="77777777" w:rsidTr="00706EB1">
        <w:trPr>
          <w:cnfStyle w:val="100000000000" w:firstRow="1" w:lastRow="0" w:firstColumn="0" w:lastColumn="0" w:oddVBand="0" w:evenVBand="0" w:oddHBand="0" w:evenHBand="0" w:firstRowFirstColumn="0" w:firstRowLastColumn="0" w:lastRowFirstColumn="0" w:lastRowLastColumn="0"/>
          <w:trHeight w:hRule="exact" w:val="284"/>
          <w:tblHeader/>
          <w:jc w:val="center"/>
        </w:trPr>
        <w:tc>
          <w:tcPr>
            <w:cnfStyle w:val="001000000100" w:firstRow="0" w:lastRow="0" w:firstColumn="1" w:lastColumn="0" w:oddVBand="0" w:evenVBand="0" w:oddHBand="0" w:evenHBand="0" w:firstRowFirstColumn="1" w:firstRowLastColumn="0" w:lastRowFirstColumn="0" w:lastRowLastColumn="0"/>
            <w:tcW w:w="0" w:type="auto"/>
            <w:vMerge w:val="restart"/>
            <w:noWrap/>
            <w:vAlign w:val="center"/>
          </w:tcPr>
          <w:p w14:paraId="60FDE8D7" w14:textId="77777777" w:rsidR="007C6808" w:rsidRPr="00AB4E0F" w:rsidRDefault="007C6808" w:rsidP="00706EB1">
            <w:pPr>
              <w:ind w:firstLine="0"/>
              <w:jc w:val="center"/>
              <w:rPr>
                <w:rFonts w:eastAsia="Times New Roman" w:cs="Arial"/>
                <w:color w:val="auto"/>
                <w:sz w:val="20"/>
                <w:szCs w:val="20"/>
                <w:lang w:val="lt-LT" w:eastAsia="lt-LT"/>
              </w:rPr>
            </w:pPr>
            <w:r w:rsidRPr="00AB4E0F">
              <w:rPr>
                <w:rFonts w:eastAsia="Times New Roman" w:cs="Arial"/>
                <w:color w:val="FFFFFF"/>
                <w:sz w:val="20"/>
                <w:szCs w:val="20"/>
                <w:lang w:val="lt-LT" w:eastAsia="lt-LT"/>
              </w:rPr>
              <w:t>Rodiklis</w:t>
            </w:r>
          </w:p>
        </w:tc>
        <w:tc>
          <w:tcPr>
            <w:tcW w:w="4741" w:type="dxa"/>
            <w:gridSpan w:val="5"/>
          </w:tcPr>
          <w:p w14:paraId="07DA6783" w14:textId="77777777" w:rsidR="007C6808" w:rsidRPr="00AB4E0F" w:rsidRDefault="007C6808"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Times New Roman" w:cs="Arial"/>
                <w:color w:val="FFFFFF"/>
                <w:sz w:val="20"/>
                <w:szCs w:val="20"/>
                <w:lang w:val="lt-LT" w:eastAsia="lt-LT"/>
              </w:rPr>
              <w:t>Metai</w:t>
            </w:r>
          </w:p>
        </w:tc>
      </w:tr>
      <w:tr w:rsidR="006472EF" w:rsidRPr="00AB4E0F" w14:paraId="38230135" w14:textId="77777777" w:rsidTr="00706EB1">
        <w:trPr>
          <w:cnfStyle w:val="100000000000" w:firstRow="1" w:lastRow="0" w:firstColumn="0" w:lastColumn="0" w:oddVBand="0" w:evenVBand="0" w:oddHBand="0" w:evenHBand="0" w:firstRowFirstColumn="0" w:firstRowLastColumn="0" w:lastRowFirstColumn="0" w:lastRowLastColumn="0"/>
          <w:trHeight w:hRule="exact" w:val="284"/>
          <w:tblHeader/>
          <w:jc w:val="center"/>
        </w:trPr>
        <w:tc>
          <w:tcPr>
            <w:cnfStyle w:val="001000000100" w:firstRow="0" w:lastRow="0" w:firstColumn="1" w:lastColumn="0" w:oddVBand="0" w:evenVBand="0" w:oddHBand="0" w:evenHBand="0" w:firstRowFirstColumn="1" w:firstRowLastColumn="0" w:lastRowFirstColumn="0" w:lastRowLastColumn="0"/>
            <w:tcW w:w="0" w:type="auto"/>
            <w:vMerge/>
            <w:noWrap/>
            <w:hideMark/>
          </w:tcPr>
          <w:p w14:paraId="0203B419" w14:textId="77777777" w:rsidR="006472EF" w:rsidRPr="00AB4E0F" w:rsidRDefault="006472EF" w:rsidP="006472EF">
            <w:pPr>
              <w:spacing w:line="259" w:lineRule="auto"/>
              <w:ind w:firstLine="0"/>
              <w:jc w:val="center"/>
              <w:rPr>
                <w:rFonts w:eastAsia="Times New Roman" w:cs="Arial"/>
                <w:color w:val="auto"/>
                <w:sz w:val="20"/>
                <w:szCs w:val="20"/>
                <w:lang w:val="lt-LT" w:eastAsia="lt-LT"/>
              </w:rPr>
            </w:pPr>
          </w:p>
        </w:tc>
        <w:tc>
          <w:tcPr>
            <w:tcW w:w="0" w:type="auto"/>
            <w:shd w:val="clear" w:color="auto" w:fill="auto"/>
          </w:tcPr>
          <w:p w14:paraId="6320C207" w14:textId="2F11D87D" w:rsidR="006472EF" w:rsidRPr="00AB4E0F" w:rsidRDefault="006472EF" w:rsidP="006472EF">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2020</w:t>
            </w:r>
          </w:p>
        </w:tc>
        <w:tc>
          <w:tcPr>
            <w:tcW w:w="0" w:type="auto"/>
            <w:shd w:val="clear" w:color="auto" w:fill="auto"/>
          </w:tcPr>
          <w:p w14:paraId="7AC0610E" w14:textId="5AAAF99E" w:rsidR="006472EF" w:rsidRPr="00AB4E0F" w:rsidRDefault="006472EF" w:rsidP="006472EF">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Calibri" w:cs="Arial"/>
                <w:color w:val="000000"/>
                <w:sz w:val="20"/>
                <w:szCs w:val="20"/>
                <w:lang w:val="lt-LT" w:eastAsia="lt-LT"/>
              </w:rPr>
              <w:t>2021</w:t>
            </w:r>
          </w:p>
        </w:tc>
        <w:tc>
          <w:tcPr>
            <w:tcW w:w="0" w:type="auto"/>
            <w:shd w:val="clear" w:color="auto" w:fill="auto"/>
          </w:tcPr>
          <w:p w14:paraId="4158571D" w14:textId="6C3703CE" w:rsidR="006472EF" w:rsidRPr="00AB4E0F" w:rsidRDefault="006472EF" w:rsidP="006472EF">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2022</w:t>
            </w:r>
          </w:p>
        </w:tc>
        <w:tc>
          <w:tcPr>
            <w:tcW w:w="0" w:type="auto"/>
            <w:shd w:val="clear" w:color="auto" w:fill="auto"/>
          </w:tcPr>
          <w:p w14:paraId="7512C547" w14:textId="1599D4C6" w:rsidR="006472EF" w:rsidRPr="00AB4E0F" w:rsidRDefault="006472EF" w:rsidP="006472EF">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Calibri" w:cs="Arial"/>
                <w:color w:val="000000"/>
                <w:sz w:val="20"/>
                <w:szCs w:val="20"/>
                <w:lang w:val="lt-LT" w:eastAsia="lt-LT"/>
              </w:rPr>
              <w:t>2023</w:t>
            </w:r>
          </w:p>
        </w:tc>
        <w:tc>
          <w:tcPr>
            <w:tcW w:w="985" w:type="dxa"/>
            <w:shd w:val="clear" w:color="auto" w:fill="auto"/>
          </w:tcPr>
          <w:p w14:paraId="6C273B83" w14:textId="53CE50B4" w:rsidR="006472EF" w:rsidRPr="00AB4E0F" w:rsidRDefault="006472EF" w:rsidP="006472EF">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sz w:val="20"/>
                <w:szCs w:val="20"/>
                <w:lang w:val="lt-LT" w:eastAsia="lt-LT"/>
              </w:rPr>
            </w:pPr>
            <w:r>
              <w:rPr>
                <w:rFonts w:eastAsia="SegoeUI" w:cs="Arial"/>
                <w:sz w:val="20"/>
                <w:szCs w:val="20"/>
                <w:lang w:val="lt-LT" w:eastAsia="lt-LT"/>
              </w:rPr>
              <w:t>2024</w:t>
            </w:r>
          </w:p>
        </w:tc>
      </w:tr>
      <w:tr w:rsidR="006472EF" w:rsidRPr="00AB4E0F" w14:paraId="320471E0" w14:textId="77777777" w:rsidTr="00706EB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tcBorders>
              <w:right w:val="single" w:sz="4" w:space="0" w:color="4472C4" w:themeColor="accent1"/>
            </w:tcBorders>
            <w:vAlign w:val="center"/>
          </w:tcPr>
          <w:p w14:paraId="31F22865" w14:textId="77777777" w:rsidR="006472EF" w:rsidRPr="00AB4E0F" w:rsidRDefault="006472EF" w:rsidP="006472EF">
            <w:pPr>
              <w:ind w:firstLine="0"/>
              <w:jc w:val="center"/>
              <w:rPr>
                <w:rFonts w:cs="Arial"/>
                <w:sz w:val="20"/>
                <w:szCs w:val="20"/>
                <w:lang w:val="lt-LT"/>
              </w:rPr>
            </w:pPr>
            <w:r w:rsidRPr="00AB4E0F">
              <w:rPr>
                <w:rFonts w:cs="Arial"/>
                <w:sz w:val="20"/>
                <w:szCs w:val="20"/>
                <w:lang w:val="lt-LT"/>
              </w:rPr>
              <w:t>Lietuvos Respublika</w:t>
            </w:r>
          </w:p>
        </w:tc>
      </w:tr>
      <w:tr w:rsidR="006472EF" w:rsidRPr="00AB4E0F" w14:paraId="62F5D2B5" w14:textId="77777777" w:rsidTr="00035C3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916747"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t>Atvykusieji ir imigrantai</w:t>
            </w:r>
          </w:p>
        </w:tc>
        <w:tc>
          <w:tcPr>
            <w:tcW w:w="0" w:type="auto"/>
            <w:vAlign w:val="center"/>
          </w:tcPr>
          <w:p w14:paraId="383404E1" w14:textId="05D2EC41"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113 691</w:t>
            </w:r>
          </w:p>
        </w:tc>
        <w:tc>
          <w:tcPr>
            <w:tcW w:w="0" w:type="auto"/>
            <w:vAlign w:val="center"/>
          </w:tcPr>
          <w:p w14:paraId="3EAC0FC5" w14:textId="07BE3376"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109 601</w:t>
            </w:r>
          </w:p>
        </w:tc>
        <w:tc>
          <w:tcPr>
            <w:tcW w:w="0" w:type="auto"/>
            <w:vAlign w:val="center"/>
          </w:tcPr>
          <w:p w14:paraId="69E5BED9" w14:textId="26C8F209"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179 296</w:t>
            </w:r>
          </w:p>
        </w:tc>
        <w:tc>
          <w:tcPr>
            <w:tcW w:w="0" w:type="auto"/>
          </w:tcPr>
          <w:p w14:paraId="2DD77335" w14:textId="05FA17A5"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Times New Roman" w:cs="Arial"/>
                <w:color w:val="auto"/>
                <w:sz w:val="20"/>
                <w:szCs w:val="20"/>
                <w:lang w:val="lt-LT" w:eastAsia="lt-LT"/>
              </w:rPr>
              <w:t>142 815</w:t>
            </w:r>
          </w:p>
        </w:tc>
        <w:tc>
          <w:tcPr>
            <w:tcW w:w="985" w:type="dxa"/>
          </w:tcPr>
          <w:p w14:paraId="3D6B9311" w14:textId="20B0AA08" w:rsidR="006472EF" w:rsidRPr="00AB4E0F" w:rsidRDefault="00FE7D13" w:rsidP="006472EF">
            <w:pPr>
              <w:ind w:firstLine="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lt-LT"/>
              </w:rPr>
            </w:pPr>
            <w:r>
              <w:rPr>
                <w:rFonts w:cs="Arial"/>
                <w:color w:val="auto"/>
                <w:sz w:val="20"/>
                <w:szCs w:val="20"/>
                <w:lang w:val="lt-LT"/>
              </w:rPr>
              <w:t>129</w:t>
            </w:r>
            <w:r w:rsidR="00D33170">
              <w:rPr>
                <w:rFonts w:cs="Arial"/>
                <w:color w:val="auto"/>
                <w:sz w:val="20"/>
                <w:szCs w:val="20"/>
                <w:lang w:val="lt-LT"/>
              </w:rPr>
              <w:t> 029*</w:t>
            </w:r>
          </w:p>
        </w:tc>
      </w:tr>
      <w:tr w:rsidR="006472EF" w:rsidRPr="00AB4E0F" w14:paraId="2F4BFAC8" w14:textId="77777777" w:rsidTr="00035C3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A15A4D"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t>Išvykusieji ir emigrantai</w:t>
            </w:r>
          </w:p>
        </w:tc>
        <w:tc>
          <w:tcPr>
            <w:tcW w:w="0" w:type="auto"/>
            <w:vAlign w:val="center"/>
          </w:tcPr>
          <w:p w14:paraId="4811E8B4" w14:textId="0082E1D8"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93 698</w:t>
            </w:r>
          </w:p>
        </w:tc>
        <w:tc>
          <w:tcPr>
            <w:tcW w:w="0" w:type="auto"/>
            <w:vAlign w:val="center"/>
          </w:tcPr>
          <w:p w14:paraId="72192C16" w14:textId="381ECE59"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89 948</w:t>
            </w:r>
          </w:p>
        </w:tc>
        <w:tc>
          <w:tcPr>
            <w:tcW w:w="0" w:type="auto"/>
            <w:vAlign w:val="center"/>
          </w:tcPr>
          <w:p w14:paraId="4ABD3B02" w14:textId="10DEECA0"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107 199</w:t>
            </w:r>
          </w:p>
        </w:tc>
        <w:tc>
          <w:tcPr>
            <w:tcW w:w="0" w:type="auto"/>
          </w:tcPr>
          <w:p w14:paraId="588D8EAC" w14:textId="53286F38"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eastAsia="Times New Roman" w:cs="Arial"/>
                <w:color w:val="auto"/>
                <w:sz w:val="20"/>
                <w:szCs w:val="20"/>
                <w:lang w:val="lt-LT" w:eastAsia="lt-LT"/>
              </w:rPr>
              <w:t>97 821</w:t>
            </w:r>
          </w:p>
        </w:tc>
        <w:tc>
          <w:tcPr>
            <w:tcW w:w="985" w:type="dxa"/>
          </w:tcPr>
          <w:p w14:paraId="49A7393F" w14:textId="7E9F80B3" w:rsidR="006472EF" w:rsidRPr="00AB4E0F" w:rsidRDefault="00D33170" w:rsidP="006472EF">
            <w:pPr>
              <w:ind w:firstLine="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val="lt-LT"/>
              </w:rPr>
            </w:pPr>
            <w:r>
              <w:rPr>
                <w:rFonts w:cs="Arial"/>
                <w:color w:val="auto"/>
                <w:sz w:val="20"/>
                <w:szCs w:val="20"/>
                <w:lang w:val="lt-LT"/>
              </w:rPr>
              <w:t>105 930*</w:t>
            </w:r>
          </w:p>
        </w:tc>
      </w:tr>
      <w:tr w:rsidR="006472EF" w:rsidRPr="00AB4E0F" w14:paraId="7C0BF8BC" w14:textId="77777777" w:rsidTr="00035C3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E09CC8" w14:textId="77777777" w:rsidR="006472EF" w:rsidRPr="00AB4E0F" w:rsidRDefault="006472EF" w:rsidP="006472EF">
            <w:pPr>
              <w:spacing w:line="259" w:lineRule="auto"/>
              <w:ind w:firstLine="0"/>
              <w:jc w:val="center"/>
              <w:rPr>
                <w:rFonts w:eastAsia="Times New Roman" w:cs="Arial"/>
                <w:sz w:val="20"/>
                <w:szCs w:val="20"/>
                <w:lang w:val="lt-LT" w:eastAsia="lt-LT"/>
              </w:rPr>
            </w:pPr>
            <w:proofErr w:type="spellStart"/>
            <w:r w:rsidRPr="00AB4E0F">
              <w:rPr>
                <w:rFonts w:eastAsia="Times New Roman" w:cs="Arial"/>
                <w:i/>
                <w:iCs/>
                <w:color w:val="000000"/>
                <w:sz w:val="20"/>
                <w:szCs w:val="20"/>
                <w:lang w:val="lt-LT" w:eastAsia="lt-LT"/>
              </w:rPr>
              <w:t>Neto</w:t>
            </w:r>
            <w:proofErr w:type="spellEnd"/>
            <w:r w:rsidRPr="00AB4E0F">
              <w:rPr>
                <w:rFonts w:eastAsia="Times New Roman" w:cs="Arial"/>
                <w:color w:val="000000"/>
                <w:sz w:val="20"/>
                <w:szCs w:val="20"/>
                <w:lang w:val="lt-LT" w:eastAsia="lt-LT"/>
              </w:rPr>
              <w:t xml:space="preserve"> migracija</w:t>
            </w:r>
          </w:p>
        </w:tc>
        <w:tc>
          <w:tcPr>
            <w:tcW w:w="0" w:type="auto"/>
            <w:vAlign w:val="center"/>
          </w:tcPr>
          <w:p w14:paraId="13EB5B22" w14:textId="110D2E97"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cs="Arial"/>
                <w:b/>
                <w:bCs/>
                <w:sz w:val="20"/>
                <w:szCs w:val="20"/>
                <w:lang w:val="lt-LT"/>
              </w:rPr>
              <w:t>19 993</w:t>
            </w:r>
          </w:p>
        </w:tc>
        <w:tc>
          <w:tcPr>
            <w:tcW w:w="0" w:type="auto"/>
            <w:vAlign w:val="center"/>
          </w:tcPr>
          <w:p w14:paraId="4713DCDA" w14:textId="41C11AD1"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cs="Arial"/>
                <w:b/>
                <w:bCs/>
                <w:sz w:val="20"/>
                <w:szCs w:val="20"/>
                <w:lang w:val="lt-LT"/>
              </w:rPr>
              <w:t>19 653</w:t>
            </w:r>
          </w:p>
        </w:tc>
        <w:tc>
          <w:tcPr>
            <w:tcW w:w="0" w:type="auto"/>
            <w:vAlign w:val="center"/>
          </w:tcPr>
          <w:p w14:paraId="600C6532" w14:textId="282E941A"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cs="Arial"/>
                <w:b/>
                <w:bCs/>
                <w:sz w:val="20"/>
                <w:szCs w:val="20"/>
                <w:lang w:val="lt-LT"/>
              </w:rPr>
              <w:t>72 097</w:t>
            </w:r>
          </w:p>
        </w:tc>
        <w:tc>
          <w:tcPr>
            <w:tcW w:w="0" w:type="auto"/>
          </w:tcPr>
          <w:p w14:paraId="56930C60" w14:textId="1DF46A8F"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Times New Roman" w:cs="Arial"/>
                <w:b/>
                <w:bCs/>
                <w:color w:val="auto"/>
                <w:sz w:val="20"/>
                <w:szCs w:val="20"/>
                <w:lang w:val="lt-LT" w:eastAsia="lt-LT"/>
              </w:rPr>
              <w:t>44 994</w:t>
            </w:r>
          </w:p>
        </w:tc>
        <w:tc>
          <w:tcPr>
            <w:tcW w:w="985" w:type="dxa"/>
          </w:tcPr>
          <w:p w14:paraId="624E9737" w14:textId="4DB035C5" w:rsidR="006472EF" w:rsidRPr="00AB4E0F" w:rsidRDefault="00D33170" w:rsidP="006472EF">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val="lt-LT"/>
              </w:rPr>
            </w:pPr>
            <w:r>
              <w:rPr>
                <w:rFonts w:cs="Arial"/>
                <w:b/>
                <w:bCs/>
                <w:color w:val="auto"/>
                <w:sz w:val="20"/>
                <w:szCs w:val="20"/>
                <w:lang w:val="lt-LT"/>
              </w:rPr>
              <w:t>23 099*</w:t>
            </w:r>
          </w:p>
        </w:tc>
      </w:tr>
      <w:tr w:rsidR="006472EF" w:rsidRPr="00AB4E0F" w14:paraId="59E3EB31" w14:textId="77777777" w:rsidTr="00706EB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tcBorders>
              <w:right w:val="single" w:sz="4" w:space="0" w:color="4472C4" w:themeColor="accent1"/>
            </w:tcBorders>
            <w:vAlign w:val="center"/>
          </w:tcPr>
          <w:p w14:paraId="725249BE" w14:textId="77777777" w:rsidR="006472EF" w:rsidRPr="00AB4E0F" w:rsidRDefault="006472EF" w:rsidP="006472EF">
            <w:pPr>
              <w:ind w:firstLine="0"/>
              <w:jc w:val="center"/>
              <w:rPr>
                <w:rFonts w:cs="Arial"/>
                <w:sz w:val="20"/>
                <w:szCs w:val="20"/>
                <w:lang w:val="lt-LT"/>
              </w:rPr>
            </w:pPr>
            <w:r w:rsidRPr="00AB4E0F">
              <w:rPr>
                <w:rFonts w:cs="Arial"/>
                <w:sz w:val="20"/>
                <w:szCs w:val="20"/>
                <w:lang w:val="lt-LT"/>
              </w:rPr>
              <w:t>Utenos apskritis</w:t>
            </w:r>
          </w:p>
        </w:tc>
      </w:tr>
      <w:tr w:rsidR="006472EF" w:rsidRPr="00AB4E0F" w14:paraId="7D9F32D9" w14:textId="77777777" w:rsidTr="009D325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C2A9AB"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t>Atvykusieji ir imigrantai</w:t>
            </w:r>
          </w:p>
        </w:tc>
        <w:tc>
          <w:tcPr>
            <w:tcW w:w="0" w:type="auto"/>
          </w:tcPr>
          <w:p w14:paraId="21F3CA0F" w14:textId="4A4E73DE"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color w:val="1C1C1C"/>
                <w:sz w:val="20"/>
                <w:szCs w:val="20"/>
                <w:lang w:val="lt-LT"/>
              </w:rPr>
              <w:t>4 372</w:t>
            </w:r>
          </w:p>
        </w:tc>
        <w:tc>
          <w:tcPr>
            <w:tcW w:w="0" w:type="auto"/>
            <w:vAlign w:val="center"/>
          </w:tcPr>
          <w:p w14:paraId="209B5920" w14:textId="3EBFDF45"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4 279</w:t>
            </w:r>
          </w:p>
        </w:tc>
        <w:tc>
          <w:tcPr>
            <w:tcW w:w="0" w:type="auto"/>
            <w:vAlign w:val="center"/>
          </w:tcPr>
          <w:p w14:paraId="02B6D288" w14:textId="61E528D0" w:rsidR="006472EF" w:rsidRPr="00AB4E0F" w:rsidRDefault="006472EF" w:rsidP="006472EF">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6 386</w:t>
            </w:r>
          </w:p>
        </w:tc>
        <w:tc>
          <w:tcPr>
            <w:tcW w:w="0" w:type="auto"/>
            <w:vAlign w:val="center"/>
          </w:tcPr>
          <w:p w14:paraId="3AB75DD5" w14:textId="2F5BB018"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6 371</w:t>
            </w:r>
          </w:p>
        </w:tc>
        <w:tc>
          <w:tcPr>
            <w:tcW w:w="985" w:type="dxa"/>
            <w:vAlign w:val="center"/>
          </w:tcPr>
          <w:p w14:paraId="27979797" w14:textId="56085F06" w:rsidR="006472EF" w:rsidRPr="00AB4E0F" w:rsidRDefault="00112B84" w:rsidP="00112B84">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Pr>
                <w:rFonts w:cs="Arial"/>
                <w:sz w:val="20"/>
                <w:szCs w:val="20"/>
                <w:lang w:val="lt-LT"/>
              </w:rPr>
              <w:t>3 997*</w:t>
            </w:r>
          </w:p>
        </w:tc>
      </w:tr>
      <w:tr w:rsidR="006472EF" w:rsidRPr="00AB4E0F" w14:paraId="1F670C6A" w14:textId="77777777" w:rsidTr="009D325B">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6EBB79"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t>Išvykusieji ir emigrantai</w:t>
            </w:r>
          </w:p>
        </w:tc>
        <w:tc>
          <w:tcPr>
            <w:tcW w:w="0" w:type="auto"/>
          </w:tcPr>
          <w:p w14:paraId="361AE88D" w14:textId="104E2120"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color w:val="1C1C1C"/>
                <w:sz w:val="20"/>
                <w:szCs w:val="20"/>
                <w:lang w:val="lt-LT"/>
              </w:rPr>
              <w:t>3 792</w:t>
            </w:r>
          </w:p>
        </w:tc>
        <w:tc>
          <w:tcPr>
            <w:tcW w:w="0" w:type="auto"/>
            <w:vAlign w:val="center"/>
          </w:tcPr>
          <w:p w14:paraId="415829A9" w14:textId="2059847F"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4 120</w:t>
            </w:r>
          </w:p>
        </w:tc>
        <w:tc>
          <w:tcPr>
            <w:tcW w:w="0" w:type="auto"/>
            <w:vAlign w:val="center"/>
          </w:tcPr>
          <w:p w14:paraId="6E431A53" w14:textId="253CB4A2" w:rsidR="006472EF" w:rsidRPr="00AB4E0F" w:rsidRDefault="006472EF" w:rsidP="006472EF">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4 712</w:t>
            </w:r>
          </w:p>
        </w:tc>
        <w:tc>
          <w:tcPr>
            <w:tcW w:w="0" w:type="auto"/>
            <w:vAlign w:val="center"/>
          </w:tcPr>
          <w:p w14:paraId="1F55CB81" w14:textId="24EA830B"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4 069</w:t>
            </w:r>
          </w:p>
        </w:tc>
        <w:tc>
          <w:tcPr>
            <w:tcW w:w="985" w:type="dxa"/>
            <w:vAlign w:val="center"/>
          </w:tcPr>
          <w:p w14:paraId="396CD653" w14:textId="067CEA21" w:rsidR="006472EF" w:rsidRPr="00AB4E0F" w:rsidRDefault="00D33170" w:rsidP="006472EF">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Pr>
                <w:rFonts w:cs="Arial"/>
                <w:sz w:val="20"/>
                <w:szCs w:val="20"/>
                <w:lang w:val="lt-LT"/>
              </w:rPr>
              <w:t>5 743*</w:t>
            </w:r>
          </w:p>
        </w:tc>
      </w:tr>
      <w:tr w:rsidR="006472EF" w:rsidRPr="00AB4E0F" w14:paraId="327811B5" w14:textId="77777777" w:rsidTr="009D325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540550" w14:textId="77777777" w:rsidR="006472EF" w:rsidRPr="00AB4E0F" w:rsidRDefault="006472EF" w:rsidP="006472EF">
            <w:pPr>
              <w:spacing w:line="259" w:lineRule="auto"/>
              <w:ind w:firstLine="0"/>
              <w:jc w:val="center"/>
              <w:rPr>
                <w:rFonts w:eastAsia="Times New Roman" w:cs="Arial"/>
                <w:sz w:val="20"/>
                <w:szCs w:val="20"/>
                <w:lang w:val="lt-LT" w:eastAsia="lt-LT"/>
              </w:rPr>
            </w:pPr>
            <w:proofErr w:type="spellStart"/>
            <w:r w:rsidRPr="00AB4E0F">
              <w:rPr>
                <w:rFonts w:eastAsia="Times New Roman" w:cs="Arial"/>
                <w:i/>
                <w:iCs/>
                <w:color w:val="000000"/>
                <w:sz w:val="20"/>
                <w:szCs w:val="20"/>
                <w:lang w:val="lt-LT" w:eastAsia="lt-LT"/>
              </w:rPr>
              <w:t>Neto</w:t>
            </w:r>
            <w:proofErr w:type="spellEnd"/>
            <w:r w:rsidRPr="00AB4E0F">
              <w:rPr>
                <w:rFonts w:eastAsia="Times New Roman" w:cs="Arial"/>
                <w:color w:val="000000"/>
                <w:sz w:val="20"/>
                <w:szCs w:val="20"/>
                <w:lang w:val="lt-LT" w:eastAsia="lt-LT"/>
              </w:rPr>
              <w:t xml:space="preserve"> migracija</w:t>
            </w:r>
          </w:p>
        </w:tc>
        <w:tc>
          <w:tcPr>
            <w:tcW w:w="0" w:type="auto"/>
          </w:tcPr>
          <w:p w14:paraId="655CC0DA" w14:textId="70EF4F40"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580</w:t>
            </w:r>
          </w:p>
        </w:tc>
        <w:tc>
          <w:tcPr>
            <w:tcW w:w="0" w:type="auto"/>
            <w:vAlign w:val="center"/>
          </w:tcPr>
          <w:p w14:paraId="325F4F87" w14:textId="27C03699"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159</w:t>
            </w:r>
          </w:p>
        </w:tc>
        <w:tc>
          <w:tcPr>
            <w:tcW w:w="0" w:type="auto"/>
            <w:vAlign w:val="center"/>
          </w:tcPr>
          <w:p w14:paraId="0D7AA9D7" w14:textId="13FB583D"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1 674</w:t>
            </w:r>
          </w:p>
        </w:tc>
        <w:tc>
          <w:tcPr>
            <w:tcW w:w="0" w:type="auto"/>
            <w:vAlign w:val="center"/>
          </w:tcPr>
          <w:p w14:paraId="35D24EA2" w14:textId="2C74C8AB"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cs="Arial"/>
                <w:b/>
                <w:bCs/>
                <w:sz w:val="20"/>
                <w:szCs w:val="20"/>
                <w:lang w:val="lt-LT"/>
              </w:rPr>
              <w:t>2 302</w:t>
            </w:r>
          </w:p>
        </w:tc>
        <w:tc>
          <w:tcPr>
            <w:tcW w:w="985" w:type="dxa"/>
            <w:vAlign w:val="center"/>
          </w:tcPr>
          <w:p w14:paraId="601F7929" w14:textId="12F77210" w:rsidR="006472EF" w:rsidRPr="00AB4E0F" w:rsidRDefault="00D33170" w:rsidP="006472EF">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Pr>
                <w:rFonts w:cs="Arial"/>
                <w:b/>
                <w:bCs/>
                <w:sz w:val="20"/>
                <w:szCs w:val="20"/>
                <w:lang w:val="lt-LT"/>
              </w:rPr>
              <w:t>-1</w:t>
            </w:r>
            <w:r w:rsidR="00870F8C">
              <w:rPr>
                <w:rFonts w:cs="Arial"/>
                <w:b/>
                <w:bCs/>
                <w:sz w:val="20"/>
                <w:szCs w:val="20"/>
                <w:lang w:val="lt-LT"/>
              </w:rPr>
              <w:t> </w:t>
            </w:r>
            <w:r>
              <w:rPr>
                <w:rFonts w:cs="Arial"/>
                <w:b/>
                <w:bCs/>
                <w:sz w:val="20"/>
                <w:szCs w:val="20"/>
                <w:lang w:val="lt-LT"/>
              </w:rPr>
              <w:t>746*</w:t>
            </w:r>
          </w:p>
        </w:tc>
      </w:tr>
      <w:tr w:rsidR="006472EF" w:rsidRPr="00AB4E0F" w14:paraId="583E2BBF" w14:textId="77777777" w:rsidTr="00706EB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7225" w:type="dxa"/>
            <w:gridSpan w:val="6"/>
            <w:tcBorders>
              <w:right w:val="single" w:sz="4" w:space="0" w:color="4472C4" w:themeColor="accent1"/>
            </w:tcBorders>
            <w:vAlign w:val="center"/>
          </w:tcPr>
          <w:p w14:paraId="434C113D" w14:textId="77777777" w:rsidR="006472EF" w:rsidRPr="00AB4E0F" w:rsidRDefault="006472EF" w:rsidP="006472EF">
            <w:pPr>
              <w:ind w:firstLine="0"/>
              <w:jc w:val="center"/>
              <w:rPr>
                <w:rFonts w:cs="Arial"/>
                <w:sz w:val="20"/>
                <w:szCs w:val="20"/>
                <w:lang w:val="lt-LT"/>
              </w:rPr>
            </w:pPr>
            <w:r w:rsidRPr="00AB4E0F">
              <w:rPr>
                <w:rFonts w:cs="Arial"/>
                <w:sz w:val="20"/>
                <w:szCs w:val="20"/>
                <w:lang w:val="lt-LT"/>
              </w:rPr>
              <w:t>Utenos rajono savivaldybė</w:t>
            </w:r>
          </w:p>
        </w:tc>
      </w:tr>
      <w:tr w:rsidR="006472EF" w:rsidRPr="00AB4E0F" w14:paraId="34EB75A3" w14:textId="77777777" w:rsidTr="006C0476">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212F60"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lastRenderedPageBreak/>
              <w:t>Atvykusieji ir imigrantai</w:t>
            </w:r>
          </w:p>
        </w:tc>
        <w:tc>
          <w:tcPr>
            <w:tcW w:w="0" w:type="auto"/>
          </w:tcPr>
          <w:p w14:paraId="682372C7" w14:textId="0E4094CA"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color w:val="1C1C1C"/>
                <w:sz w:val="20"/>
                <w:szCs w:val="20"/>
                <w:lang w:val="lt-LT"/>
              </w:rPr>
              <w:t>1 412</w:t>
            </w:r>
          </w:p>
        </w:tc>
        <w:tc>
          <w:tcPr>
            <w:tcW w:w="0" w:type="auto"/>
            <w:vAlign w:val="center"/>
          </w:tcPr>
          <w:p w14:paraId="32F734A1" w14:textId="22FCC7D5"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1 376</w:t>
            </w:r>
          </w:p>
        </w:tc>
        <w:tc>
          <w:tcPr>
            <w:tcW w:w="0" w:type="auto"/>
            <w:vAlign w:val="center"/>
          </w:tcPr>
          <w:p w14:paraId="50AAD363" w14:textId="2B009F4F"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2 140</w:t>
            </w:r>
          </w:p>
        </w:tc>
        <w:tc>
          <w:tcPr>
            <w:tcW w:w="0" w:type="auto"/>
            <w:vAlign w:val="center"/>
          </w:tcPr>
          <w:p w14:paraId="447C6112" w14:textId="69A75ACC" w:rsidR="006472EF" w:rsidRPr="001D0FC4"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sz w:val="20"/>
                <w:szCs w:val="20"/>
                <w:lang w:val="lt-LT" w:eastAsia="lt-LT"/>
              </w:rPr>
            </w:pPr>
            <w:r w:rsidRPr="001D0FC4">
              <w:rPr>
                <w:rFonts w:cs="Arial"/>
                <w:sz w:val="20"/>
                <w:szCs w:val="20"/>
                <w:lang w:val="lt-LT"/>
              </w:rPr>
              <w:t>3</w:t>
            </w:r>
            <w:r w:rsidR="0077732C" w:rsidRPr="001D0FC4">
              <w:rPr>
                <w:rFonts w:cs="Arial"/>
                <w:sz w:val="20"/>
                <w:szCs w:val="20"/>
                <w:lang w:val="lt-LT"/>
              </w:rPr>
              <w:t> </w:t>
            </w:r>
            <w:r w:rsidRPr="001D0FC4">
              <w:rPr>
                <w:rFonts w:cs="Arial"/>
                <w:sz w:val="20"/>
                <w:szCs w:val="20"/>
                <w:lang w:val="lt-LT"/>
              </w:rPr>
              <w:t>490</w:t>
            </w:r>
          </w:p>
        </w:tc>
        <w:tc>
          <w:tcPr>
            <w:tcW w:w="985" w:type="dxa"/>
            <w:vAlign w:val="center"/>
          </w:tcPr>
          <w:p w14:paraId="72A4BCCA" w14:textId="7A083C55" w:rsidR="006472EF" w:rsidRPr="001D0FC4" w:rsidRDefault="0077732C" w:rsidP="006472EF">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rPr>
            </w:pPr>
            <w:r w:rsidRPr="001D0FC4">
              <w:rPr>
                <w:rFonts w:cs="Arial"/>
                <w:sz w:val="20"/>
                <w:szCs w:val="20"/>
                <w:lang w:val="lt-LT"/>
              </w:rPr>
              <w:t>1 408*</w:t>
            </w:r>
          </w:p>
        </w:tc>
      </w:tr>
      <w:tr w:rsidR="006472EF" w:rsidRPr="00AB4E0F" w14:paraId="4C82F4DA" w14:textId="77777777" w:rsidTr="006C0476">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0CC98D" w14:textId="77777777" w:rsidR="006472EF" w:rsidRPr="00AB4E0F" w:rsidRDefault="006472EF" w:rsidP="006472EF">
            <w:pPr>
              <w:spacing w:line="259" w:lineRule="auto"/>
              <w:ind w:firstLine="0"/>
              <w:jc w:val="center"/>
              <w:rPr>
                <w:rFonts w:eastAsia="Times New Roman" w:cs="Arial"/>
                <w:sz w:val="20"/>
                <w:szCs w:val="20"/>
                <w:lang w:val="lt-LT" w:eastAsia="lt-LT"/>
              </w:rPr>
            </w:pPr>
            <w:r w:rsidRPr="00AB4E0F">
              <w:rPr>
                <w:rFonts w:eastAsia="Calibri" w:cs="Arial"/>
                <w:sz w:val="20"/>
                <w:szCs w:val="20"/>
                <w:lang w:val="lt-LT" w:eastAsia="lt-LT"/>
              </w:rPr>
              <w:t>Išvykusieji ir emigrantai</w:t>
            </w:r>
          </w:p>
        </w:tc>
        <w:tc>
          <w:tcPr>
            <w:tcW w:w="0" w:type="auto"/>
          </w:tcPr>
          <w:p w14:paraId="2D9D102C" w14:textId="111D514C"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color w:val="1C1C1C"/>
                <w:sz w:val="20"/>
                <w:szCs w:val="20"/>
                <w:lang w:val="lt-LT"/>
              </w:rPr>
              <w:t>1 122</w:t>
            </w:r>
          </w:p>
        </w:tc>
        <w:tc>
          <w:tcPr>
            <w:tcW w:w="0" w:type="auto"/>
            <w:vAlign w:val="center"/>
          </w:tcPr>
          <w:p w14:paraId="7D823BAD" w14:textId="0D398D11"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1 173</w:t>
            </w:r>
          </w:p>
        </w:tc>
        <w:tc>
          <w:tcPr>
            <w:tcW w:w="0" w:type="auto"/>
            <w:vAlign w:val="center"/>
          </w:tcPr>
          <w:p w14:paraId="083857EF" w14:textId="48B3A96A"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eastAsia="SegoeUI" w:cs="Arial"/>
                <w:sz w:val="20"/>
                <w:szCs w:val="20"/>
                <w:lang w:val="lt-LT" w:eastAsia="lt-LT"/>
              </w:rPr>
              <w:t>1 257</w:t>
            </w:r>
          </w:p>
        </w:tc>
        <w:tc>
          <w:tcPr>
            <w:tcW w:w="0" w:type="auto"/>
            <w:vAlign w:val="center"/>
          </w:tcPr>
          <w:p w14:paraId="74921781" w14:textId="567FC4C3" w:rsidR="006472EF" w:rsidRPr="00AB4E0F" w:rsidRDefault="006472EF" w:rsidP="006472EF">
            <w:pPr>
              <w:spacing w:line="259" w:lineRule="auto"/>
              <w:ind w:firstLine="0"/>
              <w:jc w:val="center"/>
              <w:cnfStyle w:val="000000100000" w:firstRow="0" w:lastRow="0" w:firstColumn="0" w:lastColumn="0" w:oddVBand="0" w:evenVBand="0" w:oddHBand="1" w:evenHBand="0" w:firstRowFirstColumn="0" w:firstRowLastColumn="0" w:lastRowFirstColumn="0" w:lastRowLastColumn="0"/>
              <w:rPr>
                <w:rFonts w:eastAsia="SegoeUI" w:cs="Arial"/>
                <w:sz w:val="20"/>
                <w:szCs w:val="20"/>
                <w:lang w:val="lt-LT" w:eastAsia="lt-LT"/>
              </w:rPr>
            </w:pPr>
            <w:r w:rsidRPr="00AB4E0F">
              <w:rPr>
                <w:rFonts w:cs="Arial"/>
                <w:sz w:val="20"/>
                <w:szCs w:val="20"/>
                <w:lang w:val="lt-LT"/>
              </w:rPr>
              <w:t>1</w:t>
            </w:r>
            <w:r w:rsidR="0077732C">
              <w:rPr>
                <w:rFonts w:cs="Arial"/>
                <w:sz w:val="20"/>
                <w:szCs w:val="20"/>
                <w:lang w:val="lt-LT"/>
              </w:rPr>
              <w:t> </w:t>
            </w:r>
            <w:r w:rsidRPr="00AB4E0F">
              <w:rPr>
                <w:rFonts w:cs="Arial"/>
                <w:sz w:val="20"/>
                <w:szCs w:val="20"/>
                <w:lang w:val="lt-LT"/>
              </w:rPr>
              <w:t>214</w:t>
            </w:r>
          </w:p>
        </w:tc>
        <w:tc>
          <w:tcPr>
            <w:tcW w:w="985" w:type="dxa"/>
            <w:vAlign w:val="center"/>
          </w:tcPr>
          <w:p w14:paraId="239CAC19" w14:textId="28FF8809" w:rsidR="006472EF" w:rsidRPr="00AB4E0F" w:rsidRDefault="0077732C" w:rsidP="006472EF">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Pr>
                <w:rFonts w:cs="Arial"/>
                <w:sz w:val="20"/>
                <w:szCs w:val="20"/>
                <w:lang w:val="lt-LT"/>
              </w:rPr>
              <w:t>3 085*</w:t>
            </w:r>
          </w:p>
        </w:tc>
      </w:tr>
      <w:tr w:rsidR="006472EF" w:rsidRPr="00AB4E0F" w14:paraId="57F65D6B" w14:textId="77777777" w:rsidTr="006C0476">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F82AC2" w14:textId="77777777" w:rsidR="006472EF" w:rsidRPr="00AB4E0F" w:rsidRDefault="006472EF" w:rsidP="006472EF">
            <w:pPr>
              <w:spacing w:line="259" w:lineRule="auto"/>
              <w:ind w:firstLine="0"/>
              <w:jc w:val="center"/>
              <w:rPr>
                <w:rFonts w:eastAsia="Times New Roman" w:cs="Arial"/>
                <w:sz w:val="20"/>
                <w:szCs w:val="20"/>
                <w:lang w:val="lt-LT" w:eastAsia="lt-LT"/>
              </w:rPr>
            </w:pPr>
            <w:proofErr w:type="spellStart"/>
            <w:r w:rsidRPr="00AB4E0F">
              <w:rPr>
                <w:rFonts w:eastAsia="Times New Roman" w:cs="Arial"/>
                <w:i/>
                <w:iCs/>
                <w:color w:val="000000"/>
                <w:sz w:val="20"/>
                <w:szCs w:val="20"/>
                <w:lang w:val="lt-LT" w:eastAsia="lt-LT"/>
              </w:rPr>
              <w:t>Neto</w:t>
            </w:r>
            <w:proofErr w:type="spellEnd"/>
            <w:r w:rsidRPr="00AB4E0F">
              <w:rPr>
                <w:rFonts w:eastAsia="Times New Roman" w:cs="Arial"/>
                <w:color w:val="000000"/>
                <w:sz w:val="20"/>
                <w:szCs w:val="20"/>
                <w:lang w:val="lt-LT" w:eastAsia="lt-LT"/>
              </w:rPr>
              <w:t xml:space="preserve"> migracija</w:t>
            </w:r>
          </w:p>
        </w:tc>
        <w:tc>
          <w:tcPr>
            <w:tcW w:w="0" w:type="auto"/>
          </w:tcPr>
          <w:p w14:paraId="098D2CF8" w14:textId="397246A7"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290</w:t>
            </w:r>
          </w:p>
        </w:tc>
        <w:tc>
          <w:tcPr>
            <w:tcW w:w="0" w:type="auto"/>
            <w:vAlign w:val="center"/>
          </w:tcPr>
          <w:p w14:paraId="0802ED6E" w14:textId="485330DE"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203</w:t>
            </w:r>
          </w:p>
        </w:tc>
        <w:tc>
          <w:tcPr>
            <w:tcW w:w="0" w:type="auto"/>
            <w:vAlign w:val="center"/>
          </w:tcPr>
          <w:p w14:paraId="735B4570" w14:textId="54BF3DFB" w:rsidR="006472EF" w:rsidRPr="00AB4E0F"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AB4E0F">
              <w:rPr>
                <w:rFonts w:eastAsia="SegoeUI" w:cs="Arial"/>
                <w:b/>
                <w:bCs/>
                <w:sz w:val="20"/>
                <w:szCs w:val="20"/>
                <w:lang w:val="lt-LT" w:eastAsia="lt-LT"/>
              </w:rPr>
              <w:t>883</w:t>
            </w:r>
          </w:p>
        </w:tc>
        <w:tc>
          <w:tcPr>
            <w:tcW w:w="0" w:type="auto"/>
            <w:vAlign w:val="center"/>
          </w:tcPr>
          <w:p w14:paraId="0F83C789" w14:textId="15A5B643" w:rsidR="006472EF" w:rsidRPr="001D0FC4" w:rsidRDefault="006472EF" w:rsidP="006472EF">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rFonts w:eastAsia="SegoeUI" w:cs="Arial"/>
                <w:b/>
                <w:bCs/>
                <w:sz w:val="20"/>
                <w:szCs w:val="20"/>
                <w:lang w:val="lt-LT" w:eastAsia="lt-LT"/>
              </w:rPr>
            </w:pPr>
            <w:r w:rsidRPr="001D0FC4">
              <w:rPr>
                <w:rFonts w:cs="Arial"/>
                <w:b/>
                <w:bCs/>
                <w:sz w:val="20"/>
                <w:szCs w:val="20"/>
                <w:lang w:val="lt-LT"/>
              </w:rPr>
              <w:t>2</w:t>
            </w:r>
            <w:r w:rsidR="0077732C" w:rsidRPr="001D0FC4">
              <w:rPr>
                <w:rFonts w:cs="Arial"/>
                <w:b/>
                <w:bCs/>
                <w:sz w:val="20"/>
                <w:szCs w:val="20"/>
                <w:lang w:val="lt-LT"/>
              </w:rPr>
              <w:t> </w:t>
            </w:r>
            <w:r w:rsidRPr="001D0FC4">
              <w:rPr>
                <w:rFonts w:cs="Arial"/>
                <w:b/>
                <w:bCs/>
                <w:sz w:val="20"/>
                <w:szCs w:val="20"/>
                <w:lang w:val="lt-LT"/>
              </w:rPr>
              <w:t>276</w:t>
            </w:r>
          </w:p>
        </w:tc>
        <w:tc>
          <w:tcPr>
            <w:tcW w:w="985" w:type="dxa"/>
            <w:vAlign w:val="center"/>
          </w:tcPr>
          <w:p w14:paraId="4D8A9156" w14:textId="246768FF" w:rsidR="006472EF" w:rsidRPr="001D0FC4" w:rsidRDefault="0077732C" w:rsidP="006472EF">
            <w:pPr>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val="lt-LT"/>
              </w:rPr>
            </w:pPr>
            <w:r w:rsidRPr="001D0FC4">
              <w:rPr>
                <w:rFonts w:cs="Arial"/>
                <w:b/>
                <w:bCs/>
                <w:sz w:val="20"/>
                <w:szCs w:val="20"/>
                <w:lang w:val="lt-LT"/>
              </w:rPr>
              <w:t>-1 677*</w:t>
            </w:r>
          </w:p>
        </w:tc>
      </w:tr>
    </w:tbl>
    <w:p w14:paraId="3EF29549" w14:textId="5DD12EF5" w:rsidR="006F1D33" w:rsidRPr="007C4F3A" w:rsidRDefault="006F1D33" w:rsidP="009D3F14">
      <w:pPr>
        <w:spacing w:after="120"/>
        <w:jc w:val="center"/>
        <w:rPr>
          <w:rFonts w:cs="Arial"/>
          <w:i/>
          <w:iCs/>
          <w:color w:val="auto"/>
          <w:sz w:val="20"/>
          <w:szCs w:val="20"/>
        </w:rPr>
      </w:pPr>
      <w:r w:rsidRPr="007C4F3A">
        <w:rPr>
          <w:rFonts w:cs="Arial"/>
          <w:i/>
          <w:iCs/>
          <w:color w:val="000000"/>
          <w:sz w:val="20"/>
          <w:szCs w:val="20"/>
        </w:rPr>
        <w:t>Šaltinis: Valstybės duomenų agentūra, 202</w:t>
      </w:r>
      <w:r w:rsidR="00FB5203">
        <w:rPr>
          <w:rFonts w:cs="Arial"/>
          <w:i/>
          <w:iCs/>
          <w:color w:val="000000"/>
          <w:sz w:val="20"/>
          <w:szCs w:val="20"/>
        </w:rPr>
        <w:t>5</w:t>
      </w:r>
      <w:r w:rsidRPr="007C4F3A">
        <w:rPr>
          <w:rFonts w:cs="Arial"/>
          <w:i/>
          <w:iCs/>
          <w:color w:val="000000"/>
          <w:sz w:val="20"/>
          <w:szCs w:val="20"/>
        </w:rPr>
        <w:t xml:space="preserve"> m</w:t>
      </w:r>
      <w:r w:rsidRPr="007C4F3A">
        <w:rPr>
          <w:rFonts w:cs="Arial"/>
          <w:i/>
          <w:iCs/>
          <w:color w:val="auto"/>
          <w:sz w:val="20"/>
          <w:szCs w:val="20"/>
        </w:rPr>
        <w:t>.</w:t>
      </w:r>
    </w:p>
    <w:p w14:paraId="5755548A" w14:textId="77777777" w:rsidR="00E63760" w:rsidRDefault="00E63760" w:rsidP="00E63760">
      <w:pPr>
        <w:pStyle w:val="Pagrindinis"/>
        <w:rPr>
          <w:b/>
          <w:lang w:eastAsia="lt-LT"/>
        </w:rPr>
      </w:pPr>
      <w:bookmarkStart w:id="108" w:name="_Toc95404138"/>
      <w:bookmarkStart w:id="109" w:name="_Toc96920471"/>
      <w:bookmarkStart w:id="110" w:name="_Toc128051627"/>
      <w:bookmarkStart w:id="111" w:name="_Toc136607061"/>
      <w:bookmarkStart w:id="112" w:name="_Toc163542532"/>
      <w:bookmarkStart w:id="113" w:name="_Toc180654872"/>
      <w:r w:rsidRPr="00E63760">
        <w:rPr>
          <w:lang w:eastAsia="lt-LT"/>
        </w:rPr>
        <w:t xml:space="preserve">Gyventojų pasiskirstymas pagal amžių yra svarbus veiksnys, analizuojant teritorijos socialinę struktūrą ir planuojant viešąją infrastruktūrą bei paslaugas. Utenos rajono savivaldybėje 2020–2024 m. vaikų (0–15 metų) dalis sudarė vidutiniškai 11,5 proc., darbingo amžiaus gyventojų – 66,4 proc., o pensinio amžiaus gyventojų – 22,1 proc. Lyginant su šalies vidurkiu, rajone fiksuojama mažesnė vaikų dalis ir didesnė senjorų dalis, o tai rodo ryškėjančią gyventojų senėjimo tendenciją. Tokia demografinė struktūra lemia poreikį kurti sprendimus, užtikrinančius visų amžiaus grupių </w:t>
      </w:r>
      <w:proofErr w:type="spellStart"/>
      <w:r w:rsidRPr="00E63760">
        <w:rPr>
          <w:lang w:eastAsia="lt-LT"/>
        </w:rPr>
        <w:t>įtrauktį</w:t>
      </w:r>
      <w:proofErr w:type="spellEnd"/>
      <w:r w:rsidRPr="00E63760">
        <w:rPr>
          <w:lang w:eastAsia="lt-LT"/>
        </w:rPr>
        <w:t xml:space="preserve"> – tiek pritaikytą aplinką vaikams, tiek patogią ir saugią infrastruktūrą darbingo amžiaus gyventojams bei aktyvaus senėjimo galimybes vyresnio amžiaus žmonėms.</w:t>
      </w:r>
    </w:p>
    <w:p w14:paraId="28231066" w14:textId="5DCCA310" w:rsidR="006F1D33" w:rsidRPr="007C4F3A" w:rsidRDefault="006F1D33" w:rsidP="0074621D">
      <w:pPr>
        <w:pStyle w:val="LentelsL"/>
      </w:pPr>
      <w:bookmarkStart w:id="114" w:name="_Toc198807812"/>
      <w:r w:rsidRPr="007C4F3A">
        <w:t>1.</w:t>
      </w:r>
      <w:r w:rsidR="00857D5B" w:rsidRPr="007C4F3A">
        <w:t>2</w:t>
      </w:r>
      <w:r w:rsidR="00296A94" w:rsidRPr="007C4F3A">
        <w:t>.</w:t>
      </w:r>
      <w:r w:rsidR="008F7FA4">
        <w:t>3</w:t>
      </w:r>
      <w:r w:rsidR="00296A94" w:rsidRPr="007C4F3A">
        <w:t>.</w:t>
      </w:r>
      <w:r w:rsidRPr="007C4F3A">
        <w:t xml:space="preserve"> lentelė. Gyventojų sudėtis pagal amžių, 20</w:t>
      </w:r>
      <w:r w:rsidR="00272729" w:rsidRPr="007C4F3A">
        <w:t>20</w:t>
      </w:r>
      <w:r w:rsidRPr="007C4F3A">
        <w:t>–202</w:t>
      </w:r>
      <w:r w:rsidR="00272729" w:rsidRPr="007C4F3A">
        <w:t>4</w:t>
      </w:r>
      <w:r w:rsidRPr="007C4F3A">
        <w:t xml:space="preserve"> m.</w:t>
      </w:r>
      <w:bookmarkEnd w:id="108"/>
      <w:bookmarkEnd w:id="109"/>
      <w:bookmarkEnd w:id="110"/>
      <w:bookmarkEnd w:id="111"/>
      <w:r w:rsidRPr="007C4F3A">
        <w:t xml:space="preserve"> (proc.)</w:t>
      </w:r>
      <w:bookmarkEnd w:id="112"/>
      <w:bookmarkEnd w:id="113"/>
      <w:bookmarkEnd w:id="114"/>
    </w:p>
    <w:tbl>
      <w:tblPr>
        <w:tblStyle w:val="3sraolentel1parykinimas"/>
        <w:tblW w:w="0" w:type="auto"/>
        <w:jc w:val="center"/>
        <w:tblLayout w:type="fixed"/>
        <w:tblLook w:val="04A0" w:firstRow="1" w:lastRow="0" w:firstColumn="1" w:lastColumn="0" w:noHBand="0" w:noVBand="1"/>
      </w:tblPr>
      <w:tblGrid>
        <w:gridCol w:w="2279"/>
        <w:gridCol w:w="935"/>
        <w:gridCol w:w="936"/>
        <w:gridCol w:w="935"/>
        <w:gridCol w:w="936"/>
        <w:gridCol w:w="936"/>
      </w:tblGrid>
      <w:tr w:rsidR="00B11585" w:rsidRPr="00AB4E0F" w14:paraId="187D64E7" w14:textId="77777777" w:rsidTr="00706EB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100" w:firstRow="0" w:lastRow="0" w:firstColumn="1" w:lastColumn="0" w:oddVBand="0" w:evenVBand="0" w:oddHBand="0" w:evenHBand="0" w:firstRowFirstColumn="1" w:firstRowLastColumn="0" w:lastRowFirstColumn="0" w:lastRowLastColumn="0"/>
            <w:tcW w:w="2279" w:type="dxa"/>
            <w:tcBorders>
              <w:bottom w:val="single" w:sz="4" w:space="0" w:color="4472C4" w:themeColor="accent1"/>
            </w:tcBorders>
            <w:noWrap/>
            <w:hideMark/>
          </w:tcPr>
          <w:p w14:paraId="4FC1D55F" w14:textId="77777777" w:rsidR="00B11585" w:rsidRPr="00AB4E0F" w:rsidRDefault="00B11585" w:rsidP="00706EB1">
            <w:pPr>
              <w:ind w:firstLine="0"/>
              <w:jc w:val="left"/>
              <w:rPr>
                <w:rFonts w:eastAsia="Times New Roman" w:cs="Arial"/>
                <w:color w:val="FFFFFF" w:themeColor="background1"/>
                <w:sz w:val="20"/>
                <w:szCs w:val="20"/>
                <w:lang w:val="lt-LT" w:eastAsia="lt-LT"/>
              </w:rPr>
            </w:pPr>
          </w:p>
        </w:tc>
        <w:tc>
          <w:tcPr>
            <w:tcW w:w="935" w:type="dxa"/>
            <w:tcBorders>
              <w:bottom w:val="single" w:sz="4" w:space="0" w:color="4472C4" w:themeColor="accent1"/>
            </w:tcBorders>
            <w:noWrap/>
            <w:hideMark/>
          </w:tcPr>
          <w:p w14:paraId="5A238882" w14:textId="77777777" w:rsidR="00B11585" w:rsidRPr="00AB4E0F" w:rsidRDefault="00B11585"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color w:val="FFFFFF" w:themeColor="background1"/>
                <w:sz w:val="20"/>
                <w:szCs w:val="20"/>
                <w:lang w:val="lt-LT" w:eastAsia="lt-LT"/>
              </w:rPr>
            </w:pPr>
            <w:r w:rsidRPr="00AB4E0F">
              <w:rPr>
                <w:rFonts w:eastAsia="SegoeUI" w:cs="Arial"/>
                <w:color w:val="FFFFFF" w:themeColor="background1"/>
                <w:sz w:val="20"/>
                <w:szCs w:val="20"/>
                <w:lang w:val="lt-LT" w:eastAsia="lt-LT"/>
              </w:rPr>
              <w:t>2020</w:t>
            </w:r>
          </w:p>
        </w:tc>
        <w:tc>
          <w:tcPr>
            <w:tcW w:w="936" w:type="dxa"/>
            <w:tcBorders>
              <w:bottom w:val="single" w:sz="4" w:space="0" w:color="4472C4" w:themeColor="accent1"/>
            </w:tcBorders>
            <w:noWrap/>
            <w:hideMark/>
          </w:tcPr>
          <w:p w14:paraId="2038CBC1" w14:textId="77777777" w:rsidR="00B11585" w:rsidRPr="00AB4E0F" w:rsidRDefault="00B11585"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color w:val="FFFFFF" w:themeColor="background1"/>
                <w:sz w:val="20"/>
                <w:szCs w:val="20"/>
                <w:lang w:val="lt-LT" w:eastAsia="lt-LT"/>
              </w:rPr>
            </w:pPr>
            <w:r w:rsidRPr="00AB4E0F">
              <w:rPr>
                <w:rFonts w:eastAsia="SegoeUI" w:cs="Arial"/>
                <w:color w:val="FFFFFF" w:themeColor="background1"/>
                <w:sz w:val="20"/>
                <w:szCs w:val="20"/>
                <w:lang w:val="lt-LT" w:eastAsia="lt-LT"/>
              </w:rPr>
              <w:t>2021</w:t>
            </w:r>
          </w:p>
        </w:tc>
        <w:tc>
          <w:tcPr>
            <w:tcW w:w="935" w:type="dxa"/>
            <w:tcBorders>
              <w:bottom w:val="single" w:sz="4" w:space="0" w:color="4472C4" w:themeColor="accent1"/>
            </w:tcBorders>
            <w:noWrap/>
            <w:hideMark/>
          </w:tcPr>
          <w:p w14:paraId="3DED6D80" w14:textId="77777777" w:rsidR="00B11585" w:rsidRPr="00AB4E0F" w:rsidRDefault="00B11585"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color w:val="FFFFFF" w:themeColor="background1"/>
                <w:sz w:val="20"/>
                <w:szCs w:val="20"/>
                <w:lang w:val="lt-LT" w:eastAsia="lt-LT"/>
              </w:rPr>
            </w:pPr>
            <w:r w:rsidRPr="00AB4E0F">
              <w:rPr>
                <w:rFonts w:eastAsia="SegoeUI" w:cs="Arial"/>
                <w:color w:val="FFFFFF" w:themeColor="background1"/>
                <w:sz w:val="20"/>
                <w:szCs w:val="20"/>
                <w:lang w:val="lt-LT" w:eastAsia="lt-LT"/>
              </w:rPr>
              <w:t>2022</w:t>
            </w:r>
          </w:p>
        </w:tc>
        <w:tc>
          <w:tcPr>
            <w:tcW w:w="936" w:type="dxa"/>
            <w:tcBorders>
              <w:bottom w:val="single" w:sz="4" w:space="0" w:color="4472C4" w:themeColor="accent1"/>
            </w:tcBorders>
            <w:noWrap/>
            <w:hideMark/>
          </w:tcPr>
          <w:p w14:paraId="588E9ECA" w14:textId="77777777" w:rsidR="00B11585" w:rsidRPr="00AB4E0F" w:rsidRDefault="00B11585"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color w:val="FFFFFF" w:themeColor="background1"/>
                <w:sz w:val="20"/>
                <w:szCs w:val="20"/>
                <w:lang w:val="lt-LT" w:eastAsia="lt-LT"/>
              </w:rPr>
            </w:pPr>
            <w:r w:rsidRPr="00AB4E0F">
              <w:rPr>
                <w:rFonts w:eastAsia="SegoeUI" w:cs="Arial"/>
                <w:color w:val="FFFFFF" w:themeColor="background1"/>
                <w:sz w:val="20"/>
                <w:szCs w:val="20"/>
                <w:lang w:val="lt-LT" w:eastAsia="lt-LT"/>
              </w:rPr>
              <w:t>2023</w:t>
            </w:r>
          </w:p>
        </w:tc>
        <w:tc>
          <w:tcPr>
            <w:tcW w:w="936" w:type="dxa"/>
            <w:tcBorders>
              <w:bottom w:val="single" w:sz="4" w:space="0" w:color="4472C4" w:themeColor="accent1"/>
            </w:tcBorders>
          </w:tcPr>
          <w:p w14:paraId="726E9CAC" w14:textId="77777777" w:rsidR="00B11585" w:rsidRPr="00AB4E0F" w:rsidRDefault="00B11585" w:rsidP="00706EB1">
            <w:pPr>
              <w:ind w:firstLine="0"/>
              <w:jc w:val="center"/>
              <w:cnfStyle w:val="100000000000" w:firstRow="1" w:lastRow="0" w:firstColumn="0" w:lastColumn="0" w:oddVBand="0" w:evenVBand="0" w:oddHBand="0" w:evenHBand="0" w:firstRowFirstColumn="0" w:firstRowLastColumn="0" w:lastRowFirstColumn="0" w:lastRowLastColumn="0"/>
              <w:rPr>
                <w:rFonts w:eastAsia="SegoeUI" w:cs="Arial"/>
                <w:color w:val="FFFFFF" w:themeColor="background1"/>
                <w:sz w:val="20"/>
                <w:szCs w:val="20"/>
                <w:lang w:val="lt-LT" w:eastAsia="lt-LT"/>
              </w:rPr>
            </w:pPr>
            <w:r w:rsidRPr="00AB4E0F">
              <w:rPr>
                <w:rFonts w:eastAsia="SegoeUI" w:cs="Arial"/>
                <w:color w:val="FFFFFF" w:themeColor="background1"/>
                <w:sz w:val="20"/>
                <w:szCs w:val="20"/>
                <w:lang w:val="lt-LT" w:eastAsia="lt-LT"/>
              </w:rPr>
              <w:t>2024</w:t>
            </w:r>
          </w:p>
        </w:tc>
      </w:tr>
      <w:tr w:rsidR="00B11585" w:rsidRPr="00AB4E0F" w14:paraId="6CB64D0C" w14:textId="77777777" w:rsidTr="00706EB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957" w:type="dxa"/>
            <w:gridSpan w:val="6"/>
            <w:tcBorders>
              <w:right w:val="single" w:sz="4" w:space="0" w:color="4472C4" w:themeColor="accent1"/>
            </w:tcBorders>
          </w:tcPr>
          <w:p w14:paraId="1D94B37C" w14:textId="77777777" w:rsidR="00B11585" w:rsidRPr="00AB4E0F" w:rsidRDefault="00B11585" w:rsidP="00706EB1">
            <w:pPr>
              <w:ind w:firstLine="0"/>
              <w:jc w:val="center"/>
              <w:rPr>
                <w:rFonts w:eastAsia="Times New Roman" w:cs="Arial"/>
                <w:sz w:val="20"/>
                <w:szCs w:val="20"/>
                <w:lang w:val="lt-LT" w:eastAsia="lt-LT"/>
              </w:rPr>
            </w:pPr>
            <w:r w:rsidRPr="00AB4E0F">
              <w:rPr>
                <w:rFonts w:eastAsia="Times New Roman" w:cs="Arial"/>
                <w:sz w:val="20"/>
                <w:szCs w:val="20"/>
                <w:lang w:val="lt-LT" w:eastAsia="lt-LT"/>
              </w:rPr>
              <w:t>Lietuvos Respublika</w:t>
            </w:r>
          </w:p>
        </w:tc>
      </w:tr>
      <w:tr w:rsidR="00B11585" w:rsidRPr="00AB4E0F" w14:paraId="5BD005D7" w14:textId="77777777" w:rsidTr="00706EB1">
        <w:trPr>
          <w:trHeight w:val="167"/>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28B6BD9F"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0-15 metų</w:t>
            </w:r>
          </w:p>
        </w:tc>
        <w:tc>
          <w:tcPr>
            <w:tcW w:w="935" w:type="dxa"/>
            <w:noWrap/>
          </w:tcPr>
          <w:p w14:paraId="059544C6"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14,8</w:t>
            </w:r>
          </w:p>
        </w:tc>
        <w:tc>
          <w:tcPr>
            <w:tcW w:w="936" w:type="dxa"/>
            <w:noWrap/>
          </w:tcPr>
          <w:p w14:paraId="4A7C0265"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14,8</w:t>
            </w:r>
          </w:p>
        </w:tc>
        <w:tc>
          <w:tcPr>
            <w:tcW w:w="935" w:type="dxa"/>
            <w:noWrap/>
          </w:tcPr>
          <w:p w14:paraId="1274CBD0"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14,9</w:t>
            </w:r>
          </w:p>
        </w:tc>
        <w:tc>
          <w:tcPr>
            <w:tcW w:w="936" w:type="dxa"/>
            <w:noWrap/>
          </w:tcPr>
          <w:p w14:paraId="25BBAC5A"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15,0</w:t>
            </w:r>
          </w:p>
        </w:tc>
        <w:tc>
          <w:tcPr>
            <w:tcW w:w="936" w:type="dxa"/>
          </w:tcPr>
          <w:p w14:paraId="2BCFBE9B"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14,5</w:t>
            </w:r>
          </w:p>
        </w:tc>
      </w:tr>
      <w:tr w:rsidR="00B11585" w:rsidRPr="00AB4E0F" w14:paraId="4D7BFE83" w14:textId="77777777" w:rsidTr="00706EB1">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567CF886"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Darbingo amžiaus</w:t>
            </w:r>
          </w:p>
        </w:tc>
        <w:tc>
          <w:tcPr>
            <w:tcW w:w="935" w:type="dxa"/>
            <w:noWrap/>
          </w:tcPr>
          <w:p w14:paraId="13570A58"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65,6</w:t>
            </w:r>
          </w:p>
        </w:tc>
        <w:tc>
          <w:tcPr>
            <w:tcW w:w="936" w:type="dxa"/>
            <w:noWrap/>
          </w:tcPr>
          <w:p w14:paraId="0D348765"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65,3</w:t>
            </w:r>
          </w:p>
        </w:tc>
        <w:tc>
          <w:tcPr>
            <w:tcW w:w="935" w:type="dxa"/>
            <w:noWrap/>
          </w:tcPr>
          <w:p w14:paraId="333AF4B9"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65,1</w:t>
            </w:r>
          </w:p>
        </w:tc>
        <w:tc>
          <w:tcPr>
            <w:tcW w:w="936" w:type="dxa"/>
            <w:noWrap/>
          </w:tcPr>
          <w:p w14:paraId="77CB3E89"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65,0</w:t>
            </w:r>
          </w:p>
        </w:tc>
        <w:tc>
          <w:tcPr>
            <w:tcW w:w="936" w:type="dxa"/>
          </w:tcPr>
          <w:p w14:paraId="4B2B0C19"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65,1</w:t>
            </w:r>
          </w:p>
        </w:tc>
      </w:tr>
      <w:tr w:rsidR="00B11585" w:rsidRPr="00AB4E0F" w14:paraId="3F868EEC" w14:textId="77777777" w:rsidTr="00706EB1">
        <w:trPr>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28DFC2DB"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Pensinio amžiaus</w:t>
            </w:r>
          </w:p>
        </w:tc>
        <w:tc>
          <w:tcPr>
            <w:tcW w:w="935" w:type="dxa"/>
            <w:noWrap/>
          </w:tcPr>
          <w:p w14:paraId="2B43082D"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20,3</w:t>
            </w:r>
          </w:p>
        </w:tc>
        <w:tc>
          <w:tcPr>
            <w:tcW w:w="936" w:type="dxa"/>
            <w:noWrap/>
          </w:tcPr>
          <w:p w14:paraId="459D7E2A"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19,9</w:t>
            </w:r>
          </w:p>
        </w:tc>
        <w:tc>
          <w:tcPr>
            <w:tcW w:w="935" w:type="dxa"/>
            <w:noWrap/>
          </w:tcPr>
          <w:p w14:paraId="45FDE69A"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20,0</w:t>
            </w:r>
          </w:p>
        </w:tc>
        <w:tc>
          <w:tcPr>
            <w:tcW w:w="936" w:type="dxa"/>
            <w:noWrap/>
          </w:tcPr>
          <w:p w14:paraId="38847784"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20,0</w:t>
            </w:r>
          </w:p>
        </w:tc>
        <w:tc>
          <w:tcPr>
            <w:tcW w:w="936" w:type="dxa"/>
          </w:tcPr>
          <w:p w14:paraId="4CE9C710"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20,3</w:t>
            </w:r>
          </w:p>
        </w:tc>
      </w:tr>
      <w:tr w:rsidR="00B11585" w:rsidRPr="00AB4E0F" w14:paraId="4E1B48C3" w14:textId="77777777" w:rsidTr="00706EB1">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6957" w:type="dxa"/>
            <w:gridSpan w:val="6"/>
            <w:tcBorders>
              <w:right w:val="single" w:sz="4" w:space="0" w:color="4472C4" w:themeColor="accent1"/>
            </w:tcBorders>
          </w:tcPr>
          <w:p w14:paraId="2825D2F8" w14:textId="77777777" w:rsidR="00B11585" w:rsidRPr="00AB4E0F" w:rsidRDefault="00B11585" w:rsidP="00706EB1">
            <w:pPr>
              <w:ind w:firstLine="0"/>
              <w:jc w:val="center"/>
              <w:rPr>
                <w:rFonts w:cs="Arial"/>
                <w:sz w:val="20"/>
                <w:szCs w:val="20"/>
                <w:lang w:val="lt-LT" w:eastAsia="en-GB"/>
              </w:rPr>
            </w:pPr>
            <w:r w:rsidRPr="00AB4E0F">
              <w:rPr>
                <w:rFonts w:cs="Arial"/>
                <w:sz w:val="20"/>
                <w:szCs w:val="20"/>
                <w:lang w:val="lt-LT" w:eastAsia="en-GB"/>
              </w:rPr>
              <w:t>Utenos apskritis</w:t>
            </w:r>
          </w:p>
        </w:tc>
      </w:tr>
      <w:tr w:rsidR="00B11585" w:rsidRPr="00AB4E0F" w14:paraId="3280B751" w14:textId="77777777" w:rsidTr="00706EB1">
        <w:trPr>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07C3446C"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0-15 metų</w:t>
            </w:r>
          </w:p>
        </w:tc>
        <w:tc>
          <w:tcPr>
            <w:tcW w:w="935" w:type="dxa"/>
            <w:noWrap/>
          </w:tcPr>
          <w:p w14:paraId="6924A611"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11,9</w:t>
            </w:r>
          </w:p>
        </w:tc>
        <w:tc>
          <w:tcPr>
            <w:tcW w:w="936" w:type="dxa"/>
            <w:noWrap/>
          </w:tcPr>
          <w:p w14:paraId="3E03DB47"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11,3</w:t>
            </w:r>
          </w:p>
        </w:tc>
        <w:tc>
          <w:tcPr>
            <w:tcW w:w="935" w:type="dxa"/>
            <w:noWrap/>
          </w:tcPr>
          <w:p w14:paraId="35000B5C"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11,2</w:t>
            </w:r>
          </w:p>
        </w:tc>
        <w:tc>
          <w:tcPr>
            <w:tcW w:w="936" w:type="dxa"/>
            <w:noWrap/>
          </w:tcPr>
          <w:p w14:paraId="5DC096B8"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11,4</w:t>
            </w:r>
          </w:p>
        </w:tc>
        <w:tc>
          <w:tcPr>
            <w:tcW w:w="936" w:type="dxa"/>
          </w:tcPr>
          <w:p w14:paraId="406309EE"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10,8</w:t>
            </w:r>
          </w:p>
        </w:tc>
      </w:tr>
      <w:tr w:rsidR="00B11585" w:rsidRPr="00AB4E0F" w14:paraId="597315EB" w14:textId="77777777" w:rsidTr="00706EB1">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0F057FB0"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Darbingo amžiaus</w:t>
            </w:r>
          </w:p>
        </w:tc>
        <w:tc>
          <w:tcPr>
            <w:tcW w:w="935" w:type="dxa"/>
            <w:noWrap/>
          </w:tcPr>
          <w:p w14:paraId="61002D92"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64,0</w:t>
            </w:r>
          </w:p>
        </w:tc>
        <w:tc>
          <w:tcPr>
            <w:tcW w:w="936" w:type="dxa"/>
            <w:noWrap/>
          </w:tcPr>
          <w:p w14:paraId="5EE12170"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65,0</w:t>
            </w:r>
          </w:p>
        </w:tc>
        <w:tc>
          <w:tcPr>
            <w:tcW w:w="935" w:type="dxa"/>
            <w:noWrap/>
          </w:tcPr>
          <w:p w14:paraId="7DCCB900"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64,8</w:t>
            </w:r>
          </w:p>
        </w:tc>
        <w:tc>
          <w:tcPr>
            <w:tcW w:w="936" w:type="dxa"/>
            <w:noWrap/>
          </w:tcPr>
          <w:p w14:paraId="31E223BF"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64,2</w:t>
            </w:r>
          </w:p>
        </w:tc>
        <w:tc>
          <w:tcPr>
            <w:tcW w:w="936" w:type="dxa"/>
          </w:tcPr>
          <w:p w14:paraId="4B821BD8"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64,4</w:t>
            </w:r>
          </w:p>
        </w:tc>
      </w:tr>
      <w:tr w:rsidR="00B11585" w:rsidRPr="00AB4E0F" w14:paraId="2E63EFD6" w14:textId="77777777" w:rsidTr="00706EB1">
        <w:trPr>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2F1CBA27"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Pensinio amžiaus</w:t>
            </w:r>
          </w:p>
        </w:tc>
        <w:tc>
          <w:tcPr>
            <w:tcW w:w="935" w:type="dxa"/>
            <w:noWrap/>
          </w:tcPr>
          <w:p w14:paraId="7C1E4594"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24,1</w:t>
            </w:r>
          </w:p>
        </w:tc>
        <w:tc>
          <w:tcPr>
            <w:tcW w:w="936" w:type="dxa"/>
            <w:noWrap/>
          </w:tcPr>
          <w:p w14:paraId="30602FAF"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23,7</w:t>
            </w:r>
          </w:p>
        </w:tc>
        <w:tc>
          <w:tcPr>
            <w:tcW w:w="935" w:type="dxa"/>
            <w:noWrap/>
          </w:tcPr>
          <w:p w14:paraId="75121C38"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24,0</w:t>
            </w:r>
          </w:p>
        </w:tc>
        <w:tc>
          <w:tcPr>
            <w:tcW w:w="936" w:type="dxa"/>
            <w:noWrap/>
          </w:tcPr>
          <w:p w14:paraId="52D193C4"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24,4</w:t>
            </w:r>
          </w:p>
        </w:tc>
        <w:tc>
          <w:tcPr>
            <w:tcW w:w="936" w:type="dxa"/>
          </w:tcPr>
          <w:p w14:paraId="4D1EB71F"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24,7</w:t>
            </w:r>
          </w:p>
        </w:tc>
      </w:tr>
      <w:tr w:rsidR="00B11585" w:rsidRPr="00AB4E0F" w14:paraId="29B07245" w14:textId="77777777" w:rsidTr="00706EB1">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6957" w:type="dxa"/>
            <w:gridSpan w:val="6"/>
            <w:tcBorders>
              <w:right w:val="single" w:sz="4" w:space="0" w:color="4472C4" w:themeColor="accent1"/>
            </w:tcBorders>
          </w:tcPr>
          <w:p w14:paraId="4AF4BAD6" w14:textId="77777777" w:rsidR="00B11585" w:rsidRPr="00AB4E0F" w:rsidRDefault="00B11585" w:rsidP="00706EB1">
            <w:pPr>
              <w:ind w:firstLine="0"/>
              <w:jc w:val="center"/>
              <w:rPr>
                <w:rFonts w:cs="Arial"/>
                <w:sz w:val="20"/>
                <w:szCs w:val="20"/>
                <w:lang w:val="lt-LT" w:eastAsia="en-GB"/>
              </w:rPr>
            </w:pPr>
            <w:r w:rsidRPr="00AB4E0F">
              <w:rPr>
                <w:rFonts w:cs="Arial"/>
                <w:sz w:val="20"/>
                <w:szCs w:val="20"/>
                <w:lang w:val="lt-LT" w:eastAsia="en-GB"/>
              </w:rPr>
              <w:t>Utenos rajono savivaldybė</w:t>
            </w:r>
          </w:p>
        </w:tc>
      </w:tr>
      <w:tr w:rsidR="00B11585" w:rsidRPr="00AB4E0F" w14:paraId="2DFA752F" w14:textId="77777777" w:rsidTr="00706EB1">
        <w:trPr>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711C8254"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0-15 metų</w:t>
            </w:r>
          </w:p>
        </w:tc>
        <w:tc>
          <w:tcPr>
            <w:tcW w:w="935" w:type="dxa"/>
            <w:noWrap/>
          </w:tcPr>
          <w:p w14:paraId="6DC0B25F"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11,5</w:t>
            </w:r>
          </w:p>
        </w:tc>
        <w:tc>
          <w:tcPr>
            <w:tcW w:w="936" w:type="dxa"/>
            <w:noWrap/>
          </w:tcPr>
          <w:p w14:paraId="1487C90C"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11,5</w:t>
            </w:r>
          </w:p>
        </w:tc>
        <w:tc>
          <w:tcPr>
            <w:tcW w:w="935" w:type="dxa"/>
            <w:noWrap/>
          </w:tcPr>
          <w:p w14:paraId="38387F71"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11,6</w:t>
            </w:r>
          </w:p>
        </w:tc>
        <w:tc>
          <w:tcPr>
            <w:tcW w:w="936" w:type="dxa"/>
            <w:noWrap/>
          </w:tcPr>
          <w:p w14:paraId="6A7DE0B9"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11,5</w:t>
            </w:r>
          </w:p>
        </w:tc>
        <w:tc>
          <w:tcPr>
            <w:tcW w:w="936" w:type="dxa"/>
            <w:tcBorders>
              <w:bottom w:val="single" w:sz="4" w:space="0" w:color="4472C4" w:themeColor="accent1"/>
            </w:tcBorders>
          </w:tcPr>
          <w:p w14:paraId="7A230EC4"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10,7</w:t>
            </w:r>
          </w:p>
        </w:tc>
      </w:tr>
      <w:tr w:rsidR="00B11585" w:rsidRPr="00AB4E0F" w14:paraId="753C0733" w14:textId="77777777" w:rsidTr="00706EB1">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7C6E48D6"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Darbingo amžiaus</w:t>
            </w:r>
          </w:p>
        </w:tc>
        <w:tc>
          <w:tcPr>
            <w:tcW w:w="935" w:type="dxa"/>
            <w:noWrap/>
          </w:tcPr>
          <w:p w14:paraId="2DED45DC"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65,6</w:t>
            </w:r>
          </w:p>
        </w:tc>
        <w:tc>
          <w:tcPr>
            <w:tcW w:w="936" w:type="dxa"/>
            <w:noWrap/>
          </w:tcPr>
          <w:p w14:paraId="029DD62D"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65,4</w:t>
            </w:r>
          </w:p>
        </w:tc>
        <w:tc>
          <w:tcPr>
            <w:tcW w:w="935" w:type="dxa"/>
            <w:noWrap/>
          </w:tcPr>
          <w:p w14:paraId="7C2E3A3C"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65,2</w:t>
            </w:r>
          </w:p>
        </w:tc>
        <w:tc>
          <w:tcPr>
            <w:tcW w:w="936" w:type="dxa"/>
            <w:noWrap/>
          </w:tcPr>
          <w:p w14:paraId="147D115A"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65,3</w:t>
            </w:r>
          </w:p>
        </w:tc>
        <w:tc>
          <w:tcPr>
            <w:tcW w:w="936" w:type="dxa"/>
          </w:tcPr>
          <w:p w14:paraId="1D0F7659" w14:textId="77777777" w:rsidR="00B11585" w:rsidRPr="00AB4E0F" w:rsidRDefault="00B11585" w:rsidP="00706EB1">
            <w:pPr>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66,9</w:t>
            </w:r>
          </w:p>
        </w:tc>
      </w:tr>
      <w:tr w:rsidR="00B11585" w:rsidRPr="00AB4E0F" w14:paraId="25F16792" w14:textId="77777777" w:rsidTr="00706EB1">
        <w:trPr>
          <w:trHeight w:val="72"/>
          <w:jc w:val="center"/>
        </w:trPr>
        <w:tc>
          <w:tcPr>
            <w:cnfStyle w:val="001000000000" w:firstRow="0" w:lastRow="0" w:firstColumn="1" w:lastColumn="0" w:oddVBand="0" w:evenVBand="0" w:oddHBand="0" w:evenHBand="0" w:firstRowFirstColumn="0" w:firstRowLastColumn="0" w:lastRowFirstColumn="0" w:lastRowLastColumn="0"/>
            <w:tcW w:w="2279" w:type="dxa"/>
            <w:noWrap/>
          </w:tcPr>
          <w:p w14:paraId="1AED2BB0" w14:textId="77777777" w:rsidR="00B11585" w:rsidRPr="00AB4E0F" w:rsidRDefault="00B11585" w:rsidP="00706EB1">
            <w:pPr>
              <w:ind w:firstLine="0"/>
              <w:jc w:val="left"/>
              <w:rPr>
                <w:rFonts w:cs="Arial"/>
                <w:sz w:val="20"/>
                <w:szCs w:val="20"/>
                <w:lang w:val="lt-LT" w:eastAsia="en-GB"/>
              </w:rPr>
            </w:pPr>
            <w:r w:rsidRPr="00AB4E0F">
              <w:rPr>
                <w:rFonts w:cs="Arial"/>
                <w:sz w:val="20"/>
                <w:szCs w:val="20"/>
                <w:lang w:val="lt-LT" w:eastAsia="en-GB"/>
              </w:rPr>
              <w:t>Pensinio amžiaus</w:t>
            </w:r>
          </w:p>
        </w:tc>
        <w:tc>
          <w:tcPr>
            <w:tcW w:w="935" w:type="dxa"/>
            <w:noWrap/>
          </w:tcPr>
          <w:p w14:paraId="17B1B1AB"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22,9</w:t>
            </w:r>
          </w:p>
        </w:tc>
        <w:tc>
          <w:tcPr>
            <w:tcW w:w="936" w:type="dxa"/>
            <w:noWrap/>
          </w:tcPr>
          <w:p w14:paraId="16F99F7A"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23,1</w:t>
            </w:r>
          </w:p>
        </w:tc>
        <w:tc>
          <w:tcPr>
            <w:tcW w:w="935" w:type="dxa"/>
            <w:noWrap/>
          </w:tcPr>
          <w:p w14:paraId="0167C133"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23,2</w:t>
            </w:r>
          </w:p>
        </w:tc>
        <w:tc>
          <w:tcPr>
            <w:tcW w:w="936" w:type="dxa"/>
            <w:noWrap/>
          </w:tcPr>
          <w:p w14:paraId="046B65A6"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23,2</w:t>
            </w:r>
          </w:p>
        </w:tc>
        <w:tc>
          <w:tcPr>
            <w:tcW w:w="936" w:type="dxa"/>
          </w:tcPr>
          <w:p w14:paraId="2727338D" w14:textId="77777777" w:rsidR="00B11585" w:rsidRPr="00AB4E0F" w:rsidRDefault="00B11585" w:rsidP="00706EB1">
            <w:pPr>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lt-LT" w:eastAsia="en-GB"/>
              </w:rPr>
            </w:pPr>
            <w:r w:rsidRPr="00AB4E0F">
              <w:rPr>
                <w:rFonts w:cs="Arial"/>
                <w:sz w:val="20"/>
                <w:szCs w:val="20"/>
                <w:lang w:val="lt-LT" w:eastAsia="en-GB"/>
              </w:rPr>
              <w:t>22,4</w:t>
            </w:r>
          </w:p>
        </w:tc>
      </w:tr>
    </w:tbl>
    <w:p w14:paraId="0C5157EE" w14:textId="4AA490EB" w:rsidR="006F1D33" w:rsidRPr="007C4F3A" w:rsidRDefault="006F1D33" w:rsidP="009D3F14">
      <w:pPr>
        <w:spacing w:after="120" w:line="22" w:lineRule="atLeast"/>
        <w:jc w:val="center"/>
        <w:rPr>
          <w:rFonts w:cs="Arial"/>
          <w:i/>
          <w:iCs/>
          <w:color w:val="000000"/>
          <w:sz w:val="20"/>
          <w:szCs w:val="20"/>
        </w:rPr>
      </w:pPr>
      <w:r w:rsidRPr="007C4F3A">
        <w:rPr>
          <w:rFonts w:cs="Arial"/>
          <w:i/>
          <w:iCs/>
          <w:color w:val="000000"/>
          <w:sz w:val="20"/>
          <w:szCs w:val="20"/>
        </w:rPr>
        <w:t>Šaltinis: Valstybės duomenų agentūra, 202</w:t>
      </w:r>
      <w:r w:rsidR="00B11585">
        <w:rPr>
          <w:rFonts w:cs="Arial"/>
          <w:i/>
          <w:iCs/>
          <w:color w:val="000000"/>
          <w:sz w:val="20"/>
          <w:szCs w:val="20"/>
        </w:rPr>
        <w:t>5</w:t>
      </w:r>
      <w:r w:rsidRPr="007C4F3A">
        <w:rPr>
          <w:rFonts w:cs="Arial"/>
          <w:i/>
          <w:iCs/>
          <w:color w:val="000000"/>
          <w:sz w:val="20"/>
          <w:szCs w:val="20"/>
        </w:rPr>
        <w:t xml:space="preserve"> m.</w:t>
      </w:r>
    </w:p>
    <w:p w14:paraId="1D4EE4B2" w14:textId="76A83FFA" w:rsidR="00385C9A" w:rsidRDefault="00385C9A" w:rsidP="00336F3A">
      <w:pPr>
        <w:pStyle w:val="Pagrindinis"/>
      </w:pPr>
      <w:r w:rsidRPr="00336F3A">
        <w:t>Siekiant įvertinti viešosios erdvės žalinimo ir funkcionalumo didinimo poreikį, kaip vienas pagrindinių veiksnių pasirenkamas gyventojų skaičius, kuris tiesiogiai lemia infrastruktūros paklausos pokyčius. Atliekant viešosios erdvės infrastruktūros paklausos prognozę projekto apimtyje nustatomas 15 metų ataskaitinis laikotarpis. Vertinami trys gyventojų skaičiaus raidos scenarijai: optimistinis, pesimistinis ir labiausiai tikėtinas (žr. 1.2.2 pav.).</w:t>
      </w:r>
    </w:p>
    <w:p w14:paraId="767A19B5" w14:textId="6DC0ECF2" w:rsidR="00272729" w:rsidRPr="00FE0500" w:rsidRDefault="00EC026D" w:rsidP="00EC026D">
      <w:pPr>
        <w:pStyle w:val="Tekstostilius"/>
        <w:ind w:firstLine="0"/>
        <w:rPr>
          <w:lang w:val="lt-LT"/>
        </w:rPr>
      </w:pPr>
      <w:r w:rsidRPr="00EC026D">
        <w:rPr>
          <w:noProof/>
          <w:lang w:val="lt-LT"/>
        </w:rPr>
        <w:drawing>
          <wp:inline distT="0" distB="0" distL="0" distR="0" wp14:anchorId="3C03DF92" wp14:editId="7A3BF8A9">
            <wp:extent cx="6502400" cy="2298757"/>
            <wp:effectExtent l="0" t="0" r="0" b="6350"/>
            <wp:docPr id="438998810" name="Paveikslėlis 1" descr="Paveikslėlis, kuriame yra tekstas, ekrano kopija, linij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98810" name="Paveikslėlis 1" descr="Paveikslėlis, kuriame yra tekstas, ekrano kopija, linija, Grafikas&#10;&#10;Dirbtinio intelekto sugeneruotas turinys gali būti neteisingas."/>
                    <pic:cNvPicPr/>
                  </pic:nvPicPr>
                  <pic:blipFill rotWithShape="1">
                    <a:blip r:embed="rId16"/>
                    <a:srcRect l="1553" r="323"/>
                    <a:stretch/>
                  </pic:blipFill>
                  <pic:spPr bwMode="auto">
                    <a:xfrm>
                      <a:off x="0" y="0"/>
                      <a:ext cx="6530518" cy="2308697"/>
                    </a:xfrm>
                    <a:prstGeom prst="rect">
                      <a:avLst/>
                    </a:prstGeom>
                    <a:ln>
                      <a:noFill/>
                    </a:ln>
                    <a:extLst>
                      <a:ext uri="{53640926-AAD7-44D8-BBD7-CCE9431645EC}">
                        <a14:shadowObscured xmlns:a14="http://schemas.microsoft.com/office/drawing/2010/main"/>
                      </a:ext>
                    </a:extLst>
                  </pic:spPr>
                </pic:pic>
              </a:graphicData>
            </a:graphic>
          </wp:inline>
        </w:drawing>
      </w:r>
    </w:p>
    <w:p w14:paraId="4539333C" w14:textId="3AD9136D" w:rsidR="00272729" w:rsidRPr="007C4F3A" w:rsidRDefault="00272729" w:rsidP="00272729">
      <w:pPr>
        <w:pStyle w:val="PaveikslasL"/>
        <w:spacing w:line="22" w:lineRule="atLeast"/>
      </w:pPr>
      <w:bookmarkStart w:id="115" w:name="_Toc180440175"/>
      <w:bookmarkStart w:id="116" w:name="_Toc180497563"/>
      <w:bookmarkStart w:id="117" w:name="_Toc198807832"/>
      <w:r w:rsidRPr="007C4F3A">
        <w:lastRenderedPageBreak/>
        <w:t>1.2.2. pav. Paslaugos paklausos prognozė (</w:t>
      </w:r>
      <w:r w:rsidR="00A855A1" w:rsidRPr="00AB4E0F">
        <w:rPr>
          <w:rFonts w:cs="Arial"/>
        </w:rPr>
        <w:t>nuolatinių gyventojų savivaldybėje skaičius</w:t>
      </w:r>
      <w:r w:rsidRPr="007C4F3A">
        <w:t>)</w:t>
      </w:r>
      <w:bookmarkEnd w:id="115"/>
      <w:bookmarkEnd w:id="116"/>
      <w:bookmarkEnd w:id="117"/>
    </w:p>
    <w:p w14:paraId="3E6F4FA7" w14:textId="77777777" w:rsidR="00272729" w:rsidRPr="007C4F3A" w:rsidRDefault="00272729" w:rsidP="00272729">
      <w:pPr>
        <w:spacing w:after="120" w:line="22" w:lineRule="atLeast"/>
        <w:jc w:val="center"/>
        <w:rPr>
          <w:rFonts w:cs="Arial"/>
          <w:i/>
          <w:sz w:val="20"/>
          <w:szCs w:val="20"/>
          <w:lang w:eastAsia="lt-LT"/>
        </w:rPr>
      </w:pPr>
      <w:r w:rsidRPr="007C4F3A">
        <w:rPr>
          <w:rFonts w:cs="Arial"/>
          <w:i/>
          <w:sz w:val="20"/>
          <w:szCs w:val="20"/>
          <w:lang w:eastAsia="lt-LT"/>
        </w:rPr>
        <w:t>Šaltinis: sudaryta autorių</w:t>
      </w:r>
    </w:p>
    <w:p w14:paraId="4F4F7EC0" w14:textId="76872EEB" w:rsidR="00272729" w:rsidRPr="00634D00" w:rsidRDefault="00272729" w:rsidP="00272729">
      <w:pPr>
        <w:spacing w:before="120" w:after="120"/>
        <w:rPr>
          <w:lang w:eastAsia="lt-LT"/>
        </w:rPr>
      </w:pPr>
      <w:r w:rsidRPr="00634D00">
        <w:rPr>
          <w:i/>
          <w:lang w:eastAsia="lt-LT"/>
        </w:rPr>
        <w:t>Optimistinis scenarijus.</w:t>
      </w:r>
      <w:r w:rsidRPr="00634D00">
        <w:rPr>
          <w:i/>
        </w:rPr>
        <w:t xml:space="preserve"> </w:t>
      </w:r>
      <w:r w:rsidRPr="00634D00">
        <w:rPr>
          <w:lang w:eastAsia="lt-LT"/>
        </w:rPr>
        <w:t>Vadovaujantis 202</w:t>
      </w:r>
      <w:r w:rsidR="00B2467E" w:rsidRPr="00634D00">
        <w:rPr>
          <w:lang w:eastAsia="lt-LT"/>
        </w:rPr>
        <w:t>1</w:t>
      </w:r>
      <w:r w:rsidRPr="00634D00">
        <w:rPr>
          <w:lang w:eastAsia="lt-LT"/>
        </w:rPr>
        <w:t>–202</w:t>
      </w:r>
      <w:r w:rsidR="00B2467E" w:rsidRPr="00634D00">
        <w:rPr>
          <w:lang w:eastAsia="lt-LT"/>
        </w:rPr>
        <w:t>5</w:t>
      </w:r>
      <w:r w:rsidRPr="00634D00">
        <w:rPr>
          <w:lang w:eastAsia="lt-LT"/>
        </w:rPr>
        <w:t xml:space="preserve"> m. tendencijomis, daroma prielaida, kad gyventojų skaičius</w:t>
      </w:r>
      <w:r w:rsidR="00D63E06" w:rsidRPr="00634D00">
        <w:rPr>
          <w:lang w:eastAsia="lt-LT"/>
        </w:rPr>
        <w:t xml:space="preserve"> </w:t>
      </w:r>
      <w:r w:rsidR="00D63E06" w:rsidRPr="00634D00">
        <w:t>Utenos</w:t>
      </w:r>
      <w:r w:rsidRPr="00634D00">
        <w:t xml:space="preserve"> </w:t>
      </w:r>
      <w:r w:rsidR="00917D99" w:rsidRPr="00634D00">
        <w:t>r.</w:t>
      </w:r>
      <w:r w:rsidRPr="00634D00">
        <w:t xml:space="preserve"> savivaldybėje </w:t>
      </w:r>
      <w:r w:rsidRPr="00634D00">
        <w:rPr>
          <w:lang w:eastAsia="lt-LT"/>
        </w:rPr>
        <w:t xml:space="preserve">augtų </w:t>
      </w:r>
      <w:r w:rsidR="00D63E06" w:rsidRPr="00634D00">
        <w:rPr>
          <w:lang w:eastAsia="lt-LT"/>
        </w:rPr>
        <w:t>4,96</w:t>
      </w:r>
      <w:r w:rsidRPr="00634D00">
        <w:rPr>
          <w:lang w:eastAsia="lt-LT"/>
        </w:rPr>
        <w:t xml:space="preserve"> proc. (atsižvelgus į didžiausią augimą per vienerius metus (202</w:t>
      </w:r>
      <w:r w:rsidR="00B62B9D" w:rsidRPr="00634D00">
        <w:rPr>
          <w:lang w:eastAsia="lt-LT"/>
        </w:rPr>
        <w:t>3</w:t>
      </w:r>
      <w:r w:rsidRPr="00634D00">
        <w:rPr>
          <w:lang w:eastAsia="lt-LT"/>
        </w:rPr>
        <w:t>–202</w:t>
      </w:r>
      <w:r w:rsidR="00B62B9D" w:rsidRPr="00634D00">
        <w:rPr>
          <w:lang w:eastAsia="lt-LT"/>
        </w:rPr>
        <w:t>4</w:t>
      </w:r>
      <w:r w:rsidRPr="00634D00">
        <w:rPr>
          <w:lang w:eastAsia="lt-LT"/>
        </w:rPr>
        <w:t xml:space="preserve"> m.)). Optimistinis scenarijus sunkiai įgyvendinamas, tačiau taptų įmanomas, jei demografinė situacija gerėtų, o taip pat </w:t>
      </w:r>
      <w:proofErr w:type="spellStart"/>
      <w:r w:rsidRPr="00634D00">
        <w:rPr>
          <w:i/>
          <w:iCs/>
          <w:lang w:eastAsia="lt-LT"/>
        </w:rPr>
        <w:t>neto</w:t>
      </w:r>
      <w:proofErr w:type="spellEnd"/>
      <w:r w:rsidRPr="00634D00">
        <w:rPr>
          <w:lang w:eastAsia="lt-LT"/>
        </w:rPr>
        <w:t xml:space="preserve"> migracija būtų teigiama.</w:t>
      </w:r>
    </w:p>
    <w:p w14:paraId="37BE77B9" w14:textId="667554F9" w:rsidR="00272729" w:rsidRPr="00634D00" w:rsidRDefault="00272729" w:rsidP="00272729">
      <w:pPr>
        <w:spacing w:before="120" w:after="120"/>
        <w:rPr>
          <w:lang w:eastAsia="lt-LT"/>
        </w:rPr>
      </w:pPr>
      <w:r w:rsidRPr="00634D00">
        <w:rPr>
          <w:i/>
          <w:lang w:eastAsia="lt-LT"/>
        </w:rPr>
        <w:t>Pesimistinis scenarijus</w:t>
      </w:r>
      <w:r w:rsidRPr="00634D00">
        <w:rPr>
          <w:lang w:eastAsia="lt-LT"/>
        </w:rPr>
        <w:t>. Šio scenarijaus atveju daroma prielaida, kad gyventojų skaičius</w:t>
      </w:r>
      <w:r w:rsidRPr="00634D00">
        <w:t xml:space="preserve"> </w:t>
      </w:r>
      <w:r w:rsidR="0086060E" w:rsidRPr="00634D00">
        <w:t>Utenos r.</w:t>
      </w:r>
      <w:r w:rsidRPr="00634D00">
        <w:t xml:space="preserve"> savivaldybėje sumažės </w:t>
      </w:r>
      <w:r w:rsidRPr="00634D00">
        <w:rPr>
          <w:lang w:eastAsia="lt-LT"/>
        </w:rPr>
        <w:t xml:space="preserve">kasmet vidutiniškai po </w:t>
      </w:r>
      <w:r w:rsidR="00A52D70" w:rsidRPr="00634D00">
        <w:rPr>
          <w:lang w:eastAsia="lt-LT"/>
        </w:rPr>
        <w:t>5,38</w:t>
      </w:r>
      <w:r w:rsidRPr="00634D00">
        <w:rPr>
          <w:lang w:eastAsia="lt-LT"/>
        </w:rPr>
        <w:t xml:space="preserve"> proc. (atsižvelgus į daugiausiai sumažėjusį gyventojų skaičių per vienerius metus (202</w:t>
      </w:r>
      <w:r w:rsidR="00A52D70" w:rsidRPr="00634D00">
        <w:rPr>
          <w:lang w:eastAsia="lt-LT"/>
        </w:rPr>
        <w:t>4</w:t>
      </w:r>
      <w:r w:rsidRPr="00634D00">
        <w:rPr>
          <w:lang w:eastAsia="lt-LT"/>
        </w:rPr>
        <w:t>–202</w:t>
      </w:r>
      <w:r w:rsidR="00A52D70" w:rsidRPr="00634D00">
        <w:rPr>
          <w:lang w:eastAsia="lt-LT"/>
        </w:rPr>
        <w:t>5</w:t>
      </w:r>
      <w:r w:rsidRPr="00634D00">
        <w:rPr>
          <w:lang w:eastAsia="lt-LT"/>
        </w:rPr>
        <w:t xml:space="preserve"> m.)). Pažymėtina, kad net ir pesimistinio scenarijaus atveju, įvertinus esamą demografinę situacij</w:t>
      </w:r>
      <w:r w:rsidRPr="008207CE">
        <w:rPr>
          <w:lang w:eastAsia="lt-LT"/>
        </w:rPr>
        <w:t xml:space="preserve">ą, </w:t>
      </w:r>
      <w:r w:rsidR="008207CE" w:rsidRPr="008207CE">
        <w:rPr>
          <w:lang w:eastAsia="lt-LT"/>
        </w:rPr>
        <w:t>viešųjų erdvių infrastruktūros prieinamumo ir kokybės poreikis išliks aktualus</w:t>
      </w:r>
      <w:r w:rsidRPr="008207CE">
        <w:rPr>
          <w:lang w:eastAsia="lt-LT"/>
        </w:rPr>
        <w:t>.</w:t>
      </w:r>
      <w:r w:rsidRPr="00634D00">
        <w:rPr>
          <w:lang w:eastAsia="lt-LT"/>
        </w:rPr>
        <w:t xml:space="preserve"> </w:t>
      </w:r>
    </w:p>
    <w:p w14:paraId="2103C43C" w14:textId="3D60F521" w:rsidR="00272729" w:rsidRPr="00634D00" w:rsidRDefault="00272729" w:rsidP="00272729">
      <w:pPr>
        <w:spacing w:after="120"/>
        <w:rPr>
          <w:lang w:eastAsia="lt-LT"/>
        </w:rPr>
      </w:pPr>
      <w:r w:rsidRPr="00634D00">
        <w:rPr>
          <w:i/>
          <w:lang w:eastAsia="lt-LT"/>
        </w:rPr>
        <w:t>Labiausiai tikėtinas scenarijus</w:t>
      </w:r>
      <w:r w:rsidRPr="00634D00">
        <w:rPr>
          <w:lang w:eastAsia="lt-LT"/>
        </w:rPr>
        <w:t>.</w:t>
      </w:r>
      <w:r w:rsidRPr="00634D00">
        <w:t xml:space="preserve"> </w:t>
      </w:r>
      <w:r w:rsidRPr="00634D00">
        <w:rPr>
          <w:lang w:eastAsia="lt-LT"/>
        </w:rPr>
        <w:t>Vadovaujantis 202</w:t>
      </w:r>
      <w:r w:rsidR="005C29F5" w:rsidRPr="00634D00">
        <w:rPr>
          <w:lang w:eastAsia="lt-LT"/>
        </w:rPr>
        <w:t>1</w:t>
      </w:r>
      <w:r w:rsidRPr="00634D00">
        <w:rPr>
          <w:lang w:eastAsia="lt-LT"/>
        </w:rPr>
        <w:t>–202</w:t>
      </w:r>
      <w:r w:rsidR="005C29F5" w:rsidRPr="00634D00">
        <w:rPr>
          <w:lang w:eastAsia="lt-LT"/>
        </w:rPr>
        <w:t>5</w:t>
      </w:r>
      <w:r w:rsidRPr="00634D00">
        <w:rPr>
          <w:lang w:eastAsia="lt-LT"/>
        </w:rPr>
        <w:t xml:space="preserve"> m. tendencijomis, daroma prielaida, kad  gyventojų skaičius </w:t>
      </w:r>
      <w:r w:rsidR="005C29F5" w:rsidRPr="00634D00">
        <w:rPr>
          <w:lang w:eastAsia="lt-LT"/>
        </w:rPr>
        <w:t>Utenos</w:t>
      </w:r>
      <w:r w:rsidRPr="00634D00">
        <w:rPr>
          <w:lang w:eastAsia="lt-LT"/>
        </w:rPr>
        <w:t xml:space="preserve"> </w:t>
      </w:r>
      <w:r w:rsidR="00907D8A" w:rsidRPr="00634D00">
        <w:rPr>
          <w:lang w:eastAsia="lt-LT"/>
        </w:rPr>
        <w:t>r.</w:t>
      </w:r>
      <w:r w:rsidRPr="00634D00">
        <w:rPr>
          <w:lang w:eastAsia="lt-LT"/>
        </w:rPr>
        <w:t xml:space="preserve"> savivaldybėje </w:t>
      </w:r>
      <w:r w:rsidR="00463070" w:rsidRPr="00634D00">
        <w:rPr>
          <w:lang w:eastAsia="lt-LT"/>
        </w:rPr>
        <w:t>išliktų stabilus</w:t>
      </w:r>
      <w:r w:rsidRPr="00634D00">
        <w:rPr>
          <w:lang w:eastAsia="lt-LT"/>
        </w:rPr>
        <w:t xml:space="preserve"> (atsižvelgus į vidutinį padidėjimą 202</w:t>
      </w:r>
      <w:r w:rsidR="00463070" w:rsidRPr="00634D00">
        <w:rPr>
          <w:lang w:eastAsia="lt-LT"/>
        </w:rPr>
        <w:t>1</w:t>
      </w:r>
      <w:r w:rsidRPr="00634D00">
        <w:rPr>
          <w:lang w:eastAsia="lt-LT"/>
        </w:rPr>
        <w:t>–202</w:t>
      </w:r>
      <w:r w:rsidR="00463070" w:rsidRPr="00634D00">
        <w:rPr>
          <w:lang w:eastAsia="lt-LT"/>
        </w:rPr>
        <w:t>5</w:t>
      </w:r>
      <w:r w:rsidRPr="00634D00">
        <w:rPr>
          <w:lang w:eastAsia="lt-LT"/>
        </w:rPr>
        <w:t xml:space="preserve"> m. laikotarpiu</w:t>
      </w:r>
      <w:r w:rsidR="00463070" w:rsidRPr="00634D00">
        <w:rPr>
          <w:lang w:eastAsia="lt-LT"/>
        </w:rPr>
        <w:t xml:space="preserve">, kuris buvo </w:t>
      </w:r>
      <w:r w:rsidR="00715305" w:rsidRPr="00634D00">
        <w:rPr>
          <w:lang w:eastAsia="lt-LT"/>
        </w:rPr>
        <w:t>0,00 proc.</w:t>
      </w:r>
      <w:r w:rsidRPr="00634D00">
        <w:rPr>
          <w:lang w:eastAsia="lt-LT"/>
        </w:rPr>
        <w:t>).</w:t>
      </w:r>
    </w:p>
    <w:p w14:paraId="4725CA1D" w14:textId="46680429" w:rsidR="00272729" w:rsidRPr="007C4F3A" w:rsidRDefault="002A5C33" w:rsidP="00555843">
      <w:pPr>
        <w:pStyle w:val="Tekstostilius"/>
        <w:rPr>
          <w:iCs/>
          <w:lang w:val="lt-LT"/>
        </w:rPr>
      </w:pPr>
      <w:r w:rsidRPr="00600D0F">
        <w:rPr>
          <w:lang w:val="lt-LT"/>
        </w:rPr>
        <w:t>Toliau investiciniame projekte tikslinga taikyti labiausiai tikėtiną gyventojų skaičiaus raidos scenarijų, kuriam didžiausią įtaką daro stebimas demografinis stabilumas ir nežymūs migracijos pokyčiai Utenos r. savivaldybėje</w:t>
      </w:r>
      <w:r w:rsidR="00272729" w:rsidRPr="00600D0F">
        <w:rPr>
          <w:iCs/>
          <w:lang w:val="lt-LT"/>
        </w:rPr>
        <w:t>.</w:t>
      </w:r>
      <w:r w:rsidR="00D4151E" w:rsidRPr="00600D0F">
        <w:rPr>
          <w:iCs/>
          <w:lang w:val="lt-LT"/>
        </w:rPr>
        <w:t xml:space="preserve"> Tikėtina, kad investicijos į gyvenamosios aplinkos žalinimą ir humanizavimą prisidės prie Utenos miesto Aukštakalnio </w:t>
      </w:r>
      <w:r w:rsidR="003B7FB9">
        <w:rPr>
          <w:iCs/>
          <w:lang w:val="lt-LT"/>
        </w:rPr>
        <w:t>mikrorajono</w:t>
      </w:r>
      <w:r w:rsidR="00D4151E" w:rsidRPr="00600D0F">
        <w:rPr>
          <w:iCs/>
          <w:lang w:val="lt-LT"/>
        </w:rPr>
        <w:t xml:space="preserve"> patrauklumo didinimo, infrastruktūros prieinamumo gerinimo ir bendruomenės poreikių atliepimo.</w:t>
      </w:r>
    </w:p>
    <w:p w14:paraId="0C85B82B" w14:textId="024D031E" w:rsidR="005B6086" w:rsidRPr="001A0E64" w:rsidRDefault="008A47E3" w:rsidP="005B6086">
      <w:pPr>
        <w:pStyle w:val="Tekstostilius"/>
        <w:rPr>
          <w:i/>
          <w:iCs/>
          <w:lang w:val="lt-LT"/>
        </w:rPr>
      </w:pPr>
      <w:bookmarkStart w:id="118" w:name="_Toc171355442"/>
      <w:bookmarkStart w:id="119" w:name="_Toc179180657"/>
      <w:bookmarkStart w:id="120" w:name="_Toc123288105"/>
      <w:bookmarkStart w:id="121" w:name="_Toc159421938"/>
      <w:r w:rsidRPr="008A47E3">
        <w:rPr>
          <w:i/>
          <w:iCs/>
          <w:lang w:val="lt-LT"/>
        </w:rPr>
        <w:t>Apibendrinant demografinę Utenos rajono savivaldybės situaciją, galima daryti išvadą, kad teritorijoje išlieka santykinė gyventojų skaičiaus ir struktūros pusiausvyra, nors fiksuojamos tam tikros ilgalaikės neigiamos tendencijos, susijusios su natūralia kaita ir migracija. Gyventojų pasiskirstymas pagal amžių rodo išaugusį poreikį kurti prieinamą, funkcionalią ir įvairioms visuomenės grupėms pritaikytą gyvenamąją aplinką. Atsižvelgiant į tai, planuojamas Aukštakalnio mikrorajono viešųjų erdvių atgaivinimas, žalinimas ir infrastruktūros modernizavimas atliepia aktualius demografinius pokyčius bei prisideda prie gyvenamosios aplinkos kokybės gerinimo ir bendruomenės įtraukimo stiprinimo</w:t>
      </w:r>
      <w:r w:rsidR="005B6086" w:rsidRPr="008A47E3">
        <w:rPr>
          <w:i/>
          <w:iCs/>
          <w:lang w:val="lt-LT"/>
        </w:rPr>
        <w:t>.</w:t>
      </w:r>
    </w:p>
    <w:p w14:paraId="37E9CE06" w14:textId="77777777" w:rsidR="005B6086" w:rsidRPr="007C4F3A" w:rsidRDefault="005B6086" w:rsidP="005B6086">
      <w:pPr>
        <w:pStyle w:val="Tekstostilius"/>
        <w:rPr>
          <w:lang w:val="lt-LT"/>
        </w:rPr>
      </w:pPr>
    </w:p>
    <w:p w14:paraId="539D972B" w14:textId="62FCFFC7" w:rsidR="00B81AF0" w:rsidRPr="007C4F3A" w:rsidRDefault="00547450" w:rsidP="00D67B2F">
      <w:pPr>
        <w:pStyle w:val="Poskyris"/>
      </w:pPr>
      <w:r>
        <w:tab/>
      </w:r>
      <w:bookmarkStart w:id="122" w:name="_Toc197939613"/>
      <w:r w:rsidR="00B81AF0" w:rsidRPr="007C4F3A">
        <w:t>1.3. Teisinė aplinka</w:t>
      </w:r>
      <w:bookmarkEnd w:id="118"/>
      <w:bookmarkEnd w:id="119"/>
      <w:bookmarkEnd w:id="122"/>
    </w:p>
    <w:p w14:paraId="47FE154B" w14:textId="77777777" w:rsidR="006F1D33" w:rsidRDefault="006F1D33" w:rsidP="009E0BFE">
      <w:pPr>
        <w:pStyle w:val="Tekstostilius"/>
        <w:rPr>
          <w:lang w:val="lt-LT"/>
        </w:rPr>
      </w:pPr>
      <w:r w:rsidRPr="007C4F3A">
        <w:rPr>
          <w:lang w:val="lt-LT"/>
        </w:rPr>
        <w:t>Šiame investicijų projekto skyriuje yra atliekama teisinės aplinkos analizė, pateikiant pagrindines investicijų objektui (–</w:t>
      </w:r>
      <w:proofErr w:type="spellStart"/>
      <w:r w:rsidRPr="007C4F3A">
        <w:rPr>
          <w:lang w:val="lt-LT"/>
        </w:rPr>
        <w:t>ams</w:t>
      </w:r>
      <w:proofErr w:type="spellEnd"/>
      <w:r w:rsidRPr="007C4F3A">
        <w:rPr>
          <w:lang w:val="lt-LT"/>
        </w:rPr>
        <w:t>) ir aplinkai įtakos turinčias teisės aktų nuostatas ir teisines procedūras.</w:t>
      </w:r>
      <w:bookmarkStart w:id="123" w:name="Skyrius_2"/>
      <w:bookmarkStart w:id="124" w:name="_Toc123288106"/>
      <w:bookmarkEnd w:id="120"/>
      <w:bookmarkEnd w:id="121"/>
    </w:p>
    <w:p w14:paraId="4ACD919E" w14:textId="77777777" w:rsidR="008602C0" w:rsidRPr="00AB4E0F" w:rsidRDefault="008602C0" w:rsidP="008602C0">
      <w:pPr>
        <w:pStyle w:val="Pagrindinis"/>
        <w:spacing w:before="0" w:line="22" w:lineRule="atLeast"/>
        <w:rPr>
          <w:rFonts w:cs="Arial"/>
          <w:color w:val="auto"/>
        </w:rPr>
      </w:pPr>
      <w:r w:rsidRPr="00AB4E0F">
        <w:rPr>
          <w:rFonts w:cs="Arial"/>
          <w:color w:val="auto"/>
        </w:rPr>
        <w:t>Utenos rajono savivaldybė ir jai pavaldžios įstaigos įgyvendina su viešąją paslaugų veikla susijusias ir LR įstatymų reglamentuojamas funkcijas:</w:t>
      </w:r>
    </w:p>
    <w:p w14:paraId="4B5849E4"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savivaldybei nuosavybės teise priklausančios žemės ir kito turto valdymas, naudojimas ir disponavimas juo (6str. 7 p.);</w:t>
      </w:r>
    </w:p>
    <w:p w14:paraId="15179476"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teritorijų planavimas, savivaldybės bendrojo plano ar savivaldybės dalių bendrųjų planų ir detaliųjų planų sprendinių įgyvendinimas (6str. 4 p.);</w:t>
      </w:r>
    </w:p>
    <w:p w14:paraId="44A7242C"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dalyvavimas rengiant ir įgyvendinant regionų plėtros planus (6 str. 5 p.);</w:t>
      </w:r>
    </w:p>
    <w:p w14:paraId="5B237364"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 xml:space="preserve">kraštovaizdžio, nekilnojamųjų kultūros vertybių ir savivaldybės įsteigtų saugomų teritorijų tvarkymas ir apsauga, savivaldybės želdynų ir želdinių teritorijose esančių želdynų ir želdinių apsauga, priežiūra ir tvarkymas, būklės stebėsena, želdynų kūrimo ir želdinių veisimo organizavimas ir (ar) vykdymas, </w:t>
      </w:r>
      <w:r w:rsidRPr="00AB4E0F">
        <w:rPr>
          <w:rFonts w:ascii="Arial" w:hAnsi="Arial" w:cs="Arial"/>
          <w:color w:val="auto"/>
          <w:shd w:val="clear" w:color="auto" w:fill="FFFFFF"/>
        </w:rPr>
        <w:t xml:space="preserve">želdinių ir želdynų, neatsižvelgiant į žemės, kurioje jie yra, nuosavybės formą, inventorizavimas ir apskaita, </w:t>
      </w:r>
      <w:r w:rsidRPr="00AB4E0F">
        <w:rPr>
          <w:rFonts w:ascii="Arial" w:hAnsi="Arial" w:cs="Arial"/>
          <w:color w:val="auto"/>
        </w:rPr>
        <w:t>atskirųjų želdynų žemės sklypų formavimo, šių sklypų kadastro duomenų nustatymo ir jų įrašymo į Nekilnojamojo turto kadastrą organizavimas (6 str. 26 p.);</w:t>
      </w:r>
    </w:p>
    <w:p w14:paraId="7A0EA123"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aplinkos kokybės gerinimas ir apsauga, aplinkos monitoringas (6str. 30 p.);</w:t>
      </w:r>
    </w:p>
    <w:p w14:paraId="1E48A571"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t>savivaldybių vietinės reikšmės kelių ir gatvių priežiūra, taisymas, tiesimas ir saugaus eismo organizavimas (6 str. 31 p.);</w:t>
      </w:r>
    </w:p>
    <w:p w14:paraId="63FF9EEA" w14:textId="77777777" w:rsidR="008602C0" w:rsidRPr="00AB4E0F" w:rsidRDefault="008602C0" w:rsidP="008602C0">
      <w:pPr>
        <w:pStyle w:val="Sraopastraipa"/>
        <w:numPr>
          <w:ilvl w:val="0"/>
          <w:numId w:val="26"/>
        </w:numPr>
        <w:spacing w:before="0" w:line="22" w:lineRule="atLeast"/>
        <w:ind w:left="993" w:hanging="426"/>
        <w:rPr>
          <w:rFonts w:ascii="Arial" w:hAnsi="Arial" w:cs="Arial"/>
          <w:color w:val="auto"/>
        </w:rPr>
      </w:pPr>
      <w:r w:rsidRPr="00AB4E0F">
        <w:rPr>
          <w:rFonts w:ascii="Arial" w:hAnsi="Arial" w:cs="Arial"/>
          <w:color w:val="auto"/>
        </w:rPr>
        <w:lastRenderedPageBreak/>
        <w:t>sanitarijos ir higienos taisyklių tvirtinimas ir jų laikymosi kontrolės organizavimas, švaros ir tvarkos viešosiose vietose užtikrinimas (6 str. 36 p.).</w:t>
      </w:r>
    </w:p>
    <w:p w14:paraId="48323FFC" w14:textId="231AF46B" w:rsidR="008602C0" w:rsidRPr="008602C0" w:rsidRDefault="008602C0" w:rsidP="005755AB">
      <w:pPr>
        <w:spacing w:line="22" w:lineRule="atLeast"/>
        <w:rPr>
          <w:rFonts w:cs="Arial"/>
          <w:color w:val="auto"/>
          <w:szCs w:val="24"/>
        </w:rPr>
      </w:pPr>
      <w:r w:rsidRPr="00AB4E0F">
        <w:rPr>
          <w:rFonts w:cs="Arial"/>
          <w:color w:val="auto"/>
          <w:szCs w:val="24"/>
        </w:rPr>
        <w:t>Vykdydama šias funkcijas Utenos rajono savivaldybė privalo užtikrinti kokybišką, savalaikę, gyventojų poreikius atitinkančią viešosios infrastruktūros plėtrą.</w:t>
      </w:r>
    </w:p>
    <w:p w14:paraId="14B9FC31" w14:textId="77777777" w:rsidR="00A34A61" w:rsidRPr="0040022E" w:rsidRDefault="00A34A61" w:rsidP="005755AB">
      <w:pPr>
        <w:spacing w:line="240" w:lineRule="auto"/>
        <w:rPr>
          <w:rFonts w:eastAsia="Times New Roman"/>
          <w:color w:val="auto"/>
          <w:lang w:eastAsia="lt-LT"/>
        </w:rPr>
      </w:pPr>
      <w:bookmarkStart w:id="125" w:name="_Hlk178781100"/>
      <w:bookmarkStart w:id="126" w:name="_Hlk178862191"/>
      <w:r w:rsidRPr="0040022E">
        <w:rPr>
          <w:rFonts w:eastAsia="Times New Roman"/>
          <w:color w:val="auto"/>
          <w:lang w:eastAsia="lt-LT"/>
        </w:rPr>
        <w:t>Projektas taip pat turi atitikti įvairius teritorijų planavimo ir statybos reglamentus, įskaitant LR teritorijų planavimo įstatymą, kuris yra pagrindinis dokumentas, apibrėžiantis gyvenamųjų vietovių infrastruktūros plėtros kryptis, savivaldybės bendrojo plano kontekste. LR žemės įstatymas reglamentuoja valstybinės žemės valdymą, naudojimą ir disponavimą, įskaitant galimybę valstybinę žemę perduoti savivaldybėms patikėjimo teise viešosios paskirties rekreacijai ir poilsiui. LR statybos įstatymas nustato statinių projektavimo, naujų statinių statybos, rekonstravimo reikalavimus, įskaitant pripažinimą tinkamais naudoti, bei dalyvių atsakomybę. Apšvietimo elektros įrenginių įrengimo taisyklės reglamentuoja pastatų vidinio ir išorinio apšvietimo elektros įrangos reikalavimus, įskaitant gatvių, kelių, aikščių, parkų apšvietimą. STR 2.03.01:2001 „Statiniai ir teritorijos. Reikalavimai žmonių su negalia reikmėms“ nustato reikalavimus, užtikrinančius žmonių su negalia galimybes be apribojimų naudotis aplinka.</w:t>
      </w:r>
    </w:p>
    <w:p w14:paraId="0350D943" w14:textId="77777777" w:rsidR="00A34A61" w:rsidRPr="007C4F3A" w:rsidRDefault="00A34A61" w:rsidP="00A34A61">
      <w:pPr>
        <w:pStyle w:val="LentelsL"/>
        <w:spacing w:after="120"/>
      </w:pPr>
      <w:bookmarkStart w:id="127" w:name="_Toc174719930"/>
      <w:bookmarkStart w:id="128" w:name="_Toc174720259"/>
      <w:bookmarkStart w:id="129" w:name="_Toc198807813"/>
      <w:r w:rsidRPr="007C4F3A">
        <w:t>1.3.1. lentelė. Pagrindiniai žaliąją infrastruktūra reglamentuojantys teisės aktai</w:t>
      </w:r>
      <w:bookmarkEnd w:id="127"/>
      <w:bookmarkEnd w:id="128"/>
      <w:bookmarkEnd w:id="129"/>
    </w:p>
    <w:tbl>
      <w:tblPr>
        <w:tblStyle w:val="LightList-Accent111"/>
        <w:tblW w:w="0" w:type="auto"/>
        <w:tblLook w:val="04A0" w:firstRow="1" w:lastRow="0" w:firstColumn="1" w:lastColumn="0" w:noHBand="0" w:noVBand="1"/>
      </w:tblPr>
      <w:tblGrid>
        <w:gridCol w:w="3394"/>
        <w:gridCol w:w="6791"/>
      </w:tblGrid>
      <w:tr w:rsidR="00A34A61" w:rsidRPr="007C4F3A" w14:paraId="4B204293" w14:textId="77777777" w:rsidTr="00716B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4" w:type="dxa"/>
            <w:shd w:val="clear" w:color="auto" w:fill="4472C4" w:themeFill="accent1"/>
            <w:vAlign w:val="center"/>
          </w:tcPr>
          <w:p w14:paraId="4FAB9E0E" w14:textId="77777777" w:rsidR="00A34A61" w:rsidRPr="007C4F3A" w:rsidRDefault="00A34A61" w:rsidP="00716B63">
            <w:pPr>
              <w:spacing w:before="100" w:beforeAutospacing="1" w:after="100" w:afterAutospacing="1"/>
              <w:ind w:firstLine="0"/>
              <w:jc w:val="left"/>
              <w:rPr>
                <w:rFonts w:eastAsiaTheme="minorEastAsia" w:cs="Arial"/>
                <w:color w:val="FFFFFF" w:themeColor="background1"/>
                <w:sz w:val="20"/>
                <w:szCs w:val="20"/>
              </w:rPr>
            </w:pPr>
            <w:r w:rsidRPr="007C4F3A">
              <w:rPr>
                <w:rFonts w:eastAsiaTheme="minorEastAsia" w:cs="Arial"/>
                <w:color w:val="FFFFFF" w:themeColor="background1"/>
                <w:sz w:val="20"/>
                <w:szCs w:val="20"/>
              </w:rPr>
              <w:t>Teisės aktas</w:t>
            </w:r>
          </w:p>
        </w:tc>
        <w:tc>
          <w:tcPr>
            <w:tcW w:w="6791" w:type="dxa"/>
            <w:shd w:val="clear" w:color="auto" w:fill="4472C4" w:themeFill="accent1"/>
          </w:tcPr>
          <w:p w14:paraId="05DB5A34" w14:textId="77777777" w:rsidR="00A34A61" w:rsidRPr="007C4F3A" w:rsidRDefault="00A34A61" w:rsidP="00716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 w:val="20"/>
                <w:szCs w:val="20"/>
              </w:rPr>
            </w:pPr>
            <w:r w:rsidRPr="007C4F3A">
              <w:rPr>
                <w:rFonts w:eastAsiaTheme="minorEastAsia" w:cs="Arial"/>
                <w:color w:val="FFFFFF" w:themeColor="background1"/>
                <w:sz w:val="20"/>
                <w:szCs w:val="20"/>
              </w:rPr>
              <w:t>Apibrėžtis</w:t>
            </w:r>
          </w:p>
        </w:tc>
      </w:tr>
      <w:tr w:rsidR="00A34A61" w:rsidRPr="007C4F3A" w14:paraId="5A81BEB5" w14:textId="77777777" w:rsidTr="0071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shd w:val="clear" w:color="auto" w:fill="auto"/>
            <w:vAlign w:val="center"/>
          </w:tcPr>
          <w:p w14:paraId="2FA6D865" w14:textId="77777777" w:rsidR="00A34A61" w:rsidRPr="007C4F3A" w:rsidRDefault="00A34A61" w:rsidP="00716B63">
            <w:pPr>
              <w:spacing w:before="100" w:beforeAutospacing="1" w:after="100" w:afterAutospacing="1"/>
              <w:ind w:firstLine="0"/>
              <w:jc w:val="left"/>
              <w:rPr>
                <w:color w:val="auto"/>
                <w:sz w:val="20"/>
                <w:szCs w:val="20"/>
              </w:rPr>
            </w:pPr>
            <w:r w:rsidRPr="007C4F3A">
              <w:rPr>
                <w:rFonts w:eastAsiaTheme="minorEastAsia" w:cs="Arial"/>
                <w:sz w:val="20"/>
                <w:szCs w:val="20"/>
              </w:rPr>
              <w:t>Lietuvos Respublikos želdynų įstatymas</w:t>
            </w:r>
          </w:p>
        </w:tc>
        <w:tc>
          <w:tcPr>
            <w:tcW w:w="6791" w:type="dxa"/>
            <w:shd w:val="clear" w:color="auto" w:fill="auto"/>
          </w:tcPr>
          <w:p w14:paraId="2EC8701C" w14:textId="46D580D3" w:rsidR="00A34A61" w:rsidRPr="007C4F3A" w:rsidRDefault="00A34A61" w:rsidP="00716B63">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rPr>
            </w:pPr>
            <w:r w:rsidRPr="007C4F3A">
              <w:rPr>
                <w:rFonts w:eastAsiaTheme="minorEastAsia" w:cs="Arial"/>
                <w:sz w:val="20"/>
                <w:szCs w:val="20"/>
              </w:rPr>
              <w:t xml:space="preserve">Galiojanti suvestinė </w:t>
            </w:r>
            <w:r w:rsidRPr="00A55452">
              <w:rPr>
                <w:rFonts w:eastAsiaTheme="minorEastAsia" w:cs="Arial"/>
                <w:sz w:val="20"/>
                <w:szCs w:val="20"/>
              </w:rPr>
              <w:t>redakcija (202</w:t>
            </w:r>
            <w:r w:rsidR="00A55452" w:rsidRPr="00A55452">
              <w:rPr>
                <w:rFonts w:eastAsiaTheme="minorEastAsia" w:cs="Arial"/>
                <w:sz w:val="20"/>
                <w:szCs w:val="20"/>
              </w:rPr>
              <w:t>5</w:t>
            </w:r>
            <w:r w:rsidRPr="00A55452">
              <w:rPr>
                <w:rFonts w:eastAsiaTheme="minorEastAsia" w:cs="Arial"/>
                <w:sz w:val="20"/>
                <w:szCs w:val="20"/>
              </w:rPr>
              <w:t>-0</w:t>
            </w:r>
            <w:r w:rsidR="00A55452" w:rsidRPr="00A55452">
              <w:rPr>
                <w:rFonts w:eastAsiaTheme="minorEastAsia" w:cs="Arial"/>
                <w:sz w:val="20"/>
                <w:szCs w:val="20"/>
              </w:rPr>
              <w:t>1</w:t>
            </w:r>
            <w:r w:rsidRPr="00A55452">
              <w:rPr>
                <w:rFonts w:eastAsiaTheme="minorEastAsia" w:cs="Arial"/>
                <w:sz w:val="20"/>
                <w:szCs w:val="20"/>
              </w:rPr>
              <w:t>-01, Nr. 80-3215).</w:t>
            </w:r>
            <w:r w:rsidRPr="007C4F3A">
              <w:rPr>
                <w:rFonts w:eastAsiaTheme="minorEastAsia" w:cs="Arial"/>
                <w:sz w:val="20"/>
                <w:szCs w:val="20"/>
              </w:rPr>
              <w:t xml:space="preserve"> Šio įstatymo tikslas – nustatyti želdynų ir želdinių apsaugos, priežiūros ir tvarkymo, želdynų kūrimo ir želdinių veisimo teisinio reguliavimo pagrindus, taip pat visuomeninius santykius, užtikrinančius kraštovaizdžio ir urbanistinės aplinkos savitumą ir kokybę. Šis įstatymas netaikomas miško žemėje augantiems augalams, žemės ūkio paskirties žemėje augantiems žemės ūkio augalams ir apleistiems žemės ūkio naudmenų plotams, apaugusiems sumedėjusiais augalais, išskyrus juose augančius saugomus ir saugotinus želdinius.</w:t>
            </w:r>
          </w:p>
        </w:tc>
      </w:tr>
      <w:tr w:rsidR="00A34A61" w:rsidRPr="00B54C9A" w14:paraId="06CC86F6" w14:textId="77777777" w:rsidTr="00716B63">
        <w:tc>
          <w:tcPr>
            <w:cnfStyle w:val="001000000000" w:firstRow="0" w:lastRow="0" w:firstColumn="1" w:lastColumn="0" w:oddVBand="0" w:evenVBand="0" w:oddHBand="0" w:evenHBand="0" w:firstRowFirstColumn="0" w:firstRowLastColumn="0" w:lastRowFirstColumn="0" w:lastRowLastColumn="0"/>
            <w:tcW w:w="3394" w:type="dxa"/>
            <w:vAlign w:val="center"/>
          </w:tcPr>
          <w:p w14:paraId="3E7E0C1B" w14:textId="77777777" w:rsidR="00A34A61" w:rsidRPr="007C4F3A" w:rsidRDefault="00A34A61" w:rsidP="00716B63">
            <w:pPr>
              <w:spacing w:before="100" w:beforeAutospacing="1" w:after="100" w:afterAutospacing="1"/>
              <w:ind w:firstLine="0"/>
              <w:jc w:val="left"/>
              <w:rPr>
                <w:color w:val="auto"/>
                <w:sz w:val="20"/>
                <w:szCs w:val="20"/>
              </w:rPr>
            </w:pPr>
            <w:r w:rsidRPr="007C4F3A">
              <w:rPr>
                <w:rFonts w:eastAsiaTheme="minorEastAsia" w:cs="Arial"/>
                <w:sz w:val="20"/>
                <w:szCs w:val="20"/>
              </w:rPr>
              <w:t>Dėl Medžių ir krūmų priežiūros, vandens telkinių, esančių želdynuose, apsaugos, vejų ir gėlynų priežiūros taisyklės</w:t>
            </w:r>
          </w:p>
        </w:tc>
        <w:tc>
          <w:tcPr>
            <w:tcW w:w="6791" w:type="dxa"/>
          </w:tcPr>
          <w:p w14:paraId="04A3464C" w14:textId="77777777" w:rsidR="00A34A61" w:rsidRPr="00B54C9A" w:rsidRDefault="00A34A61" w:rsidP="00716B63">
            <w:pPr>
              <w:spacing w:before="100" w:beforeAutospacing="1" w:after="100" w:afterAutospacing="1"/>
              <w:ind w:firstLine="0"/>
              <w:cnfStyle w:val="000000000000" w:firstRow="0" w:lastRow="0" w:firstColumn="0" w:lastColumn="0" w:oddVBand="0" w:evenVBand="0" w:oddHBand="0" w:evenHBand="0" w:firstRowFirstColumn="0" w:firstRowLastColumn="0" w:lastRowFirstColumn="0" w:lastRowLastColumn="0"/>
              <w:rPr>
                <w:color w:val="auto"/>
                <w:sz w:val="20"/>
                <w:szCs w:val="20"/>
              </w:rPr>
            </w:pPr>
            <w:r w:rsidRPr="00B54C9A">
              <w:rPr>
                <w:color w:val="auto"/>
                <w:sz w:val="20"/>
                <w:szCs w:val="20"/>
              </w:rPr>
              <w:t>Patvirtinta Lietuvos Respublikos aplinkos ministro 2008 m. sausio 18 d. įsakymu Nr. D1-45. Galiojanti suvestinė redakcija 2024-03-13. Šios taisyklės nustato medžių ir krūmų, vandens telkinių, esančių želdynuose, vejų ir gėlynų priežiūros pagrindinius reikalavimus. Medžių ir krūmų priežiūra apima šiuos darbus: medžių ir krūmų laistymą ir tręšimą, dirvožemio purenimą ir mulčiavimą, medžių ir krūmų šiltinimą, genėjimą ir kitus priežiūros darbus.</w:t>
            </w:r>
          </w:p>
        </w:tc>
      </w:tr>
    </w:tbl>
    <w:p w14:paraId="5E7D52E2" w14:textId="259893AB" w:rsidR="00A34A61" w:rsidRPr="0001272B" w:rsidRDefault="00A34A61" w:rsidP="0001272B">
      <w:pPr>
        <w:pStyle w:val="Sraopastraipa"/>
        <w:autoSpaceDE w:val="0"/>
        <w:autoSpaceDN w:val="0"/>
        <w:adjustRightInd w:val="0"/>
        <w:spacing w:after="0"/>
        <w:ind w:left="0" w:firstLine="0"/>
        <w:jc w:val="center"/>
        <w:rPr>
          <w:rFonts w:ascii="Arial" w:eastAsiaTheme="minorEastAsia" w:hAnsi="Arial" w:cs="Arial"/>
          <w:i/>
          <w:iCs/>
          <w:sz w:val="20"/>
          <w:szCs w:val="20"/>
        </w:rPr>
      </w:pPr>
      <w:r w:rsidRPr="006F029C">
        <w:rPr>
          <w:rFonts w:ascii="Arial" w:eastAsiaTheme="minorEastAsia" w:hAnsi="Arial" w:cs="Arial"/>
          <w:i/>
          <w:iCs/>
          <w:sz w:val="20"/>
          <w:szCs w:val="20"/>
        </w:rPr>
        <w:t>Šaltinis: sudaryta darbo autorių, remiantis teisės aktais, 2024 m.</w:t>
      </w:r>
    </w:p>
    <w:p w14:paraId="7B39E208" w14:textId="77777777" w:rsidR="00177D98" w:rsidRDefault="00177D98" w:rsidP="00C424EE">
      <w:pPr>
        <w:spacing w:after="120" w:line="22" w:lineRule="atLeast"/>
        <w:rPr>
          <w:rFonts w:cs="Arial"/>
        </w:rPr>
      </w:pPr>
      <w:bookmarkStart w:id="130" w:name="_Toc171355444"/>
    </w:p>
    <w:p w14:paraId="16B6C363" w14:textId="77777777" w:rsidR="001C6E02" w:rsidRPr="00A774EE" w:rsidRDefault="001C6E02" w:rsidP="001C6E02">
      <w:pPr>
        <w:pStyle w:val="Tekstostilius"/>
        <w:rPr>
          <w:lang w:val="lt-LT"/>
        </w:rPr>
      </w:pPr>
      <w:r w:rsidRPr="00A774EE">
        <w:rPr>
          <w:rFonts w:cs="Arial"/>
          <w:lang w:val="lt-LT"/>
        </w:rPr>
        <w:t>Projektas prisideda prie Utenos rajono savivaldybės 2025-2027 metų strateginio veiklos plano</w:t>
      </w:r>
      <w:r w:rsidRPr="00A774EE">
        <w:rPr>
          <w:rStyle w:val="Puslapioinaosnuoroda"/>
          <w:rFonts w:cs="Arial"/>
          <w:lang w:val="lt-LT"/>
        </w:rPr>
        <w:footnoteReference w:id="2"/>
      </w:r>
      <w:r w:rsidRPr="00A774EE">
        <w:rPr>
          <w:rFonts w:cs="Arial"/>
          <w:lang w:val="lt-LT"/>
        </w:rPr>
        <w:t xml:space="preserve"> </w:t>
      </w:r>
      <w:r w:rsidRPr="00A774EE">
        <w:rPr>
          <w:lang w:val="lt-LT"/>
        </w:rPr>
        <w:t>4 programos „Infrastruktūros objektų plėtra“ 3 pažangos uždavinio „Paramos lėšomis kurti ir modernizuoti viešąją infrastruktūrą, diegti inovatyvius sprendinius“  17 priemonės „Tankiai apgyvendintos urbanizuotos Aukštakalnio gyvenamųjų daugiabučių namų teritorijos dalies atgaivinimas, žalinimas ir funkcionalumo didinimas” įgyvendinimo.</w:t>
      </w:r>
    </w:p>
    <w:p w14:paraId="5272BC83" w14:textId="427FAAC9" w:rsidR="001C6E02" w:rsidRDefault="001C6E02" w:rsidP="001C6E02">
      <w:pPr>
        <w:pStyle w:val="Tekstostilius"/>
        <w:rPr>
          <w:lang w:val="lt-LT"/>
        </w:rPr>
      </w:pPr>
      <w:r w:rsidRPr="00A774EE">
        <w:rPr>
          <w:lang w:val="lt-LT"/>
        </w:rPr>
        <w:t>2024–2029 metų Utenos miesto tvarios plėtros strategijoje išskirta 1 tikslo „Didinti Utenos miesto patrauklumą, skatinant investicijas ir kuriant sveiką, jaukią ir tvarią aplinką“ 1.2. uždavinio „Atgaivinti žaliąsias viešąsias erdves ir humanizuoti gyvenamųjų rajonų aplinką, išnaudojant kompaktiškumo potencialą“ 1.2.7. priemonė „Tankiai apgyvendintos urbanizuotos Aukštakalnio gyvenamųjų daugiabučių namų teritorijos dalies atgaivinimas, žalinimas ir funkcionalumo didinimas“.</w:t>
      </w:r>
    </w:p>
    <w:p w14:paraId="399888C1" w14:textId="639E4259" w:rsidR="00601BA0" w:rsidRPr="00601BA0" w:rsidRDefault="00601BA0" w:rsidP="001C6E02">
      <w:pPr>
        <w:pStyle w:val="Tekstostilius"/>
        <w:rPr>
          <w:lang w:val="lt-LT"/>
        </w:rPr>
      </w:pPr>
      <w:r w:rsidRPr="00601BA0">
        <w:rPr>
          <w:lang w:val="lt-LT"/>
        </w:rPr>
        <w:t xml:space="preserve">Taip pat projektas atitinka 2022-2030 m. Utenos regiono plėtros plano, patvirtinto Utenos regiono plėtros tarybos kolegijos 2023 m. sausio 30 d. sprendimu Nr. KS(T)-4, 2 veiklos „Žaliųjų viešųjų erdvių atgaivinimas ir gyvenamųjų rajonų aplinkos humanizavimas, išnaudojant kompaktiškumo potencialą“ 2.7. </w:t>
      </w:r>
      <w:proofErr w:type="spellStart"/>
      <w:r w:rsidRPr="00601BA0">
        <w:rPr>
          <w:lang w:val="lt-LT"/>
        </w:rPr>
        <w:lastRenderedPageBreak/>
        <w:t>poveiklę</w:t>
      </w:r>
      <w:proofErr w:type="spellEnd"/>
      <w:r w:rsidRPr="00601BA0">
        <w:rPr>
          <w:lang w:val="lt-LT"/>
        </w:rPr>
        <w:t xml:space="preserve"> „Tankiai apgyvendintos urbanizuotos Aukštakalnio gyvenamųjų daugiabučių namų teritorijos dalies atgaivinimas, žalinimas ir funkcionalumo didinimas“.</w:t>
      </w:r>
    </w:p>
    <w:p w14:paraId="6D1E8F5D" w14:textId="268495D5" w:rsidR="003867AF" w:rsidRPr="001C6E02" w:rsidRDefault="003867AF" w:rsidP="00012AD2">
      <w:pPr>
        <w:pStyle w:val="Pagrindinis"/>
      </w:pPr>
      <w:r w:rsidRPr="00012AD2">
        <w:t>Projektą numatoma įgy</w:t>
      </w:r>
      <w:r w:rsidR="00592E11" w:rsidRPr="00012AD2">
        <w:t xml:space="preserve">vendinti pagal </w:t>
      </w:r>
      <w:r w:rsidR="00012AD2" w:rsidRPr="00012AD2">
        <w:t>regioninės pažangos priemonės Nr.01-004-07-02-01 (RE) „Pagerinti viešųjų paslaugų prieinamumą, darbo vietų pasiekiamumą ir tam reikalingų išteklių naudojimo efektyvumą" finansavimo gairėse keliamus reikalavimus.</w:t>
      </w:r>
    </w:p>
    <w:p w14:paraId="76A14085" w14:textId="045F2DF5" w:rsidR="00177D98" w:rsidRPr="00B54C9A" w:rsidRDefault="00177D98" w:rsidP="00177D98">
      <w:pPr>
        <w:spacing w:after="120"/>
        <w:rPr>
          <w:rFonts w:eastAsia="Cambria"/>
          <w:szCs w:val="24"/>
        </w:rPr>
      </w:pPr>
      <w:r w:rsidRPr="00B54C9A">
        <w:rPr>
          <w:rFonts w:eastAsia="Cambria"/>
          <w:szCs w:val="24"/>
        </w:rPr>
        <w:t>Vadovaujantis Lietuvos Respublikos planuojamos ūkinės veiklos poveikio aplinkai vertinimo įstatymu (Žin., 2005, Nr. X-258, Nr. 84-3105), projektas nėra priskiriamas prie poveikio aplinkai ar vertinimo dėl poveikio aplinkai objekto, todėl nei poveikio aplinkai vertinimas, nei atranka dėl poveikio aplinkai atlikimo nėra atliekami.</w:t>
      </w:r>
    </w:p>
    <w:p w14:paraId="233512A6" w14:textId="59EAE342" w:rsidR="00177D98" w:rsidRPr="00B54C9A" w:rsidRDefault="00177D98" w:rsidP="00177D98">
      <w:pPr>
        <w:spacing w:after="120"/>
        <w:rPr>
          <w:rFonts w:eastAsia="Cambria"/>
          <w:szCs w:val="24"/>
        </w:rPr>
      </w:pPr>
      <w:r w:rsidRPr="00B54C9A">
        <w:rPr>
          <w:rFonts w:eastAsia="Cambria"/>
          <w:szCs w:val="24"/>
        </w:rPr>
        <w:t xml:space="preserve">Įgyvendinus investicijų projektą </w:t>
      </w:r>
      <w:r w:rsidRPr="00B54C9A">
        <w:rPr>
          <w:rFonts w:eastAsia="Cambria"/>
          <w:color w:val="auto"/>
          <w:szCs w:val="24"/>
        </w:rPr>
        <w:t>žemės</w:t>
      </w:r>
      <w:r w:rsidRPr="00B54C9A">
        <w:rPr>
          <w:rFonts w:eastAsia="Cambria"/>
          <w:szCs w:val="24"/>
        </w:rPr>
        <w:t xml:space="preserve"> infrastruktūros nuosavybės teisės nekis nuo dabartinių, t. y. jos išliks Lietuvos Respublikos nuosavybe, o priežiūros teisės liks </w:t>
      </w:r>
      <w:r w:rsidR="00B54C9A" w:rsidRPr="00B54C9A">
        <w:rPr>
          <w:rFonts w:eastAsia="Cambria"/>
          <w:szCs w:val="24"/>
        </w:rPr>
        <w:t>Utenos</w:t>
      </w:r>
      <w:r w:rsidRPr="00B54C9A">
        <w:rPr>
          <w:rFonts w:eastAsia="Cambria"/>
          <w:szCs w:val="24"/>
        </w:rPr>
        <w:t xml:space="preserve"> rajono savivaldybės dispozicijoje.</w:t>
      </w:r>
    </w:p>
    <w:p w14:paraId="5CD17EC0" w14:textId="7D101A98" w:rsidR="00C424EE" w:rsidRPr="00AB4E0F" w:rsidRDefault="00F72A0A" w:rsidP="005A2FE5">
      <w:pPr>
        <w:spacing w:after="120" w:line="22" w:lineRule="atLeast"/>
        <w:rPr>
          <w:rFonts w:cs="Arial"/>
        </w:rPr>
      </w:pPr>
      <w:r w:rsidRPr="007663DB">
        <w:rPr>
          <w:rFonts w:cs="Arial"/>
        </w:rPr>
        <w:t xml:space="preserve">Minėti teisės aktai apibrėžia inicijuojamo projekto teisines ribas ir sąlygas bei </w:t>
      </w:r>
      <w:r w:rsidR="00C424EE" w:rsidRPr="00AB4E0F">
        <w:rPr>
          <w:rFonts w:cs="Arial"/>
        </w:rPr>
        <w:t>apsaugo visuomenės interesą, taip pat apibrėžia viešosios infrastruktūros ir viešosios bendruomeninės paslaugos kūrimo, eksploatacijos ir naudojimo ypatumus. Šio projekto rėmuose teisės aktai apibrėžia Utenos rajono savivaldybės administracijos galimybes kurti ir tvarkyti viešąją infrastruktūrą, skirtą vietos bendruomenės teisėtiems viešiesiems interesams tenkinti, įsipareigojimus tinkamai (pagal paskirtį) naudoti, eksploatuoti ir išlaikyti sukurtą turtą arba nustatyta tvarka organizuoti turto priežiūrą.</w:t>
      </w:r>
    </w:p>
    <w:bookmarkEnd w:id="130"/>
    <w:p w14:paraId="0B63B76F" w14:textId="77777777" w:rsidR="00177D98" w:rsidRPr="00491A16" w:rsidRDefault="00177D98" w:rsidP="00180191">
      <w:pPr>
        <w:spacing w:after="120"/>
        <w:rPr>
          <w:rFonts w:eastAsiaTheme="majorEastAsia" w:cs="Arial"/>
          <w:b/>
          <w:bCs/>
          <w:noProof/>
          <w:color w:val="002060"/>
          <w:sz w:val="24"/>
          <w:szCs w:val="26"/>
          <w:highlight w:val="yellow"/>
        </w:rPr>
      </w:pPr>
    </w:p>
    <w:p w14:paraId="35CAE6C7" w14:textId="51F8604D" w:rsidR="006F1D33" w:rsidRPr="004B05FD" w:rsidRDefault="004265F3" w:rsidP="00D67B2F">
      <w:pPr>
        <w:pStyle w:val="Poskyris"/>
      </w:pPr>
      <w:bookmarkStart w:id="131" w:name="_Toc160544945"/>
      <w:bookmarkStart w:id="132" w:name="_Toc161166370"/>
      <w:bookmarkStart w:id="133" w:name="_Toc179180658"/>
      <w:bookmarkEnd w:id="125"/>
      <w:bookmarkEnd w:id="126"/>
      <w:r w:rsidRPr="004B05FD">
        <w:tab/>
      </w:r>
      <w:bookmarkStart w:id="134" w:name="_Toc197939614"/>
      <w:r w:rsidR="006F1D33" w:rsidRPr="004B05FD">
        <w:t>1.4. Problemos ir jų atsiradimo priežastys</w:t>
      </w:r>
      <w:bookmarkEnd w:id="131"/>
      <w:bookmarkEnd w:id="132"/>
      <w:bookmarkEnd w:id="133"/>
      <w:bookmarkEnd w:id="134"/>
    </w:p>
    <w:p w14:paraId="351E0190" w14:textId="77777777" w:rsidR="007678C1" w:rsidRDefault="007678C1" w:rsidP="00891D0A">
      <w:pPr>
        <w:pStyle w:val="Pagrindinis"/>
        <w:rPr>
          <w:rFonts w:cstheme="minorBidi"/>
          <w:bCs w:val="0"/>
          <w:szCs w:val="24"/>
          <w:lang w:eastAsia="lt-LT"/>
        </w:rPr>
      </w:pPr>
      <w:r w:rsidRPr="007678C1">
        <w:rPr>
          <w:rFonts w:cstheme="minorBidi"/>
          <w:bCs w:val="0"/>
          <w:szCs w:val="24"/>
          <w:lang w:eastAsia="lt-LT"/>
        </w:rPr>
        <w:t>Projektu siekiama spręsti 2022–2030 m. Utenos regiono plėtros plane išskirtas problemas: 3 problemą „Nepakankama aplinkos kokybė“ ir jos 3.3. giluminę priežastį „Nepatraukli dėl nesutvarkytų praeityje užterštų/pažeistų teritorijų aplinka“ ir 4 problemą „Nepatraukli judumo sistema ir nepakankama gyvenamosios aplinkos kokybė“ bei jos 4.3. giluminę priežastį „Nepatraukli, nusidėvėjusi, šiuolaikinių gyventojų poreikių neatitinkanti viešoji ir gyvenamoji infrastruktūra“.</w:t>
      </w:r>
    </w:p>
    <w:p w14:paraId="5200F6A9" w14:textId="781E1524" w:rsidR="00780D40" w:rsidRPr="00327C1C" w:rsidRDefault="00780D40" w:rsidP="00891D0A">
      <w:pPr>
        <w:pStyle w:val="Pagrindinis"/>
      </w:pPr>
      <w:r w:rsidRPr="00327C1C">
        <w:t xml:space="preserve">Remiantis 2024–2029 m. Utenos miesto tvarios plėtros strategija, vienu iš svarbiausių prioritetų įvardijamas gyvenamųjų rajonų aplinkos gerinimas – šį atsakymą pasirinko didžiausia dalis visuomenės apklausos respondentų. Antroje vietoje pagal svarbą išskiriamas viešųjų erdvių mieste gerinimas, o tai tiesiogiai atitinka šio projekto esmę. </w:t>
      </w:r>
      <w:r w:rsidR="00891D0A" w:rsidRPr="00327C1C">
        <w:t>Visuomenės apklausos duomenimis, didžiausias dėmesys turėtų būti skiriamas būtent toms miesto teritorijoms, kurios yra tankiausiai apgyvendintos, kur susiduriama su kokybiškų žaliųjų erdvių, saugios infrastruktūros ir bendruomeninių viešųjų zonų trūkumu. Atsižvelgiant į tai, Aukštakalnio mikrorajonas, kaip viena iš urbanizuotų ir tankiai apgyvendintų Utenos miesto dalių, pagrįstai tampa prioritetine investicijų kryptimi.</w:t>
      </w:r>
    </w:p>
    <w:p w14:paraId="0C7FB63D" w14:textId="664DCEBC" w:rsidR="007A5E31" w:rsidRPr="00327C1C" w:rsidRDefault="00FC7507" w:rsidP="00FC7507">
      <w:pPr>
        <w:pStyle w:val="Pagrindinis"/>
        <w:ind w:firstLine="0"/>
        <w:rPr>
          <w:lang w:eastAsia="lt-LT"/>
        </w:rPr>
      </w:pPr>
      <w:r w:rsidRPr="00327C1C">
        <w:rPr>
          <w:noProof/>
          <w:lang w:eastAsia="lt-LT"/>
        </w:rPr>
        <w:drawing>
          <wp:inline distT="0" distB="0" distL="0" distR="0" wp14:anchorId="3390780F" wp14:editId="3E28E80E">
            <wp:extent cx="6591300" cy="661896"/>
            <wp:effectExtent l="0" t="0" r="0" b="5080"/>
            <wp:docPr id="19998906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0627" name=""/>
                    <pic:cNvPicPr/>
                  </pic:nvPicPr>
                  <pic:blipFill rotWithShape="1">
                    <a:blip r:embed="rId17"/>
                    <a:srcRect l="1295" r="519"/>
                    <a:stretch/>
                  </pic:blipFill>
                  <pic:spPr bwMode="auto">
                    <a:xfrm>
                      <a:off x="0" y="0"/>
                      <a:ext cx="6610496" cy="663824"/>
                    </a:xfrm>
                    <a:prstGeom prst="rect">
                      <a:avLst/>
                    </a:prstGeom>
                    <a:ln>
                      <a:noFill/>
                    </a:ln>
                    <a:extLst>
                      <a:ext uri="{53640926-AAD7-44D8-BBD7-CCE9431645EC}">
                        <a14:shadowObscured xmlns:a14="http://schemas.microsoft.com/office/drawing/2010/main"/>
                      </a:ext>
                    </a:extLst>
                  </pic:spPr>
                </pic:pic>
              </a:graphicData>
            </a:graphic>
          </wp:inline>
        </w:drawing>
      </w:r>
    </w:p>
    <w:p w14:paraId="104FF0DB" w14:textId="2F99E796" w:rsidR="00FD41A9" w:rsidRPr="00327C1C" w:rsidRDefault="00891D0A" w:rsidP="007A5E31">
      <w:pPr>
        <w:pStyle w:val="PaveikslasL"/>
        <w:rPr>
          <w:rFonts w:eastAsia="Calibri"/>
          <w:lang w:eastAsia="lt-LT"/>
        </w:rPr>
      </w:pPr>
      <w:bookmarkStart w:id="135" w:name="_Toc198807833"/>
      <w:r w:rsidRPr="00327C1C">
        <w:rPr>
          <w:rFonts w:eastAsia="Calibri"/>
          <w:lang w:eastAsia="lt-LT"/>
        </w:rPr>
        <w:t>1.4.1. p</w:t>
      </w:r>
      <w:r w:rsidR="00FC7507" w:rsidRPr="00327C1C">
        <w:rPr>
          <w:rFonts w:eastAsia="Calibri"/>
          <w:lang w:eastAsia="lt-LT"/>
        </w:rPr>
        <w:t xml:space="preserve">av. </w:t>
      </w:r>
      <w:r w:rsidR="007A5E31" w:rsidRPr="00327C1C">
        <w:rPr>
          <w:rFonts w:eastAsia="Calibri"/>
          <w:lang w:eastAsia="lt-LT"/>
        </w:rPr>
        <w:t>Visuomenės apklausos respondentų pateikti atsakymai į klausimą: „Išrikiuokite į kurios miesto gamtinės aplinkos gerinimą turėtų būti nukreiptas vystymo prioritetas?“</w:t>
      </w:r>
      <w:bookmarkEnd w:id="135"/>
    </w:p>
    <w:p w14:paraId="7FFBED1C" w14:textId="77777777" w:rsidR="007A5E31" w:rsidRPr="00327C1C" w:rsidRDefault="007A5E31" w:rsidP="007A5E31">
      <w:pPr>
        <w:ind w:firstLine="0"/>
        <w:jc w:val="center"/>
        <w:rPr>
          <w:rFonts w:eastAsia="Calibri" w:cs="Arial"/>
          <w:i/>
          <w:color w:val="auto"/>
          <w:sz w:val="20"/>
          <w:szCs w:val="20"/>
          <w:lang w:eastAsia="lt-LT"/>
        </w:rPr>
      </w:pPr>
      <w:r w:rsidRPr="00327C1C">
        <w:rPr>
          <w:rFonts w:eastAsia="Calibri" w:cs="Arial"/>
          <w:i/>
          <w:color w:val="auto"/>
          <w:sz w:val="20"/>
          <w:szCs w:val="20"/>
          <w:lang w:eastAsia="lt-LT"/>
        </w:rPr>
        <w:t>Šaltinis: 2024-2029 m. Utenos miesto tvarios plėtros strategija</w:t>
      </w:r>
    </w:p>
    <w:p w14:paraId="0BD44740" w14:textId="3EAA3758" w:rsidR="0012721A" w:rsidRDefault="0012721A" w:rsidP="008B58CB">
      <w:pPr>
        <w:spacing w:line="276" w:lineRule="auto"/>
        <w:rPr>
          <w:rFonts w:eastAsia="Calibri" w:cs="Arial"/>
          <w:iCs/>
          <w:color w:val="auto"/>
        </w:rPr>
      </w:pPr>
      <w:r w:rsidRPr="0012721A">
        <w:rPr>
          <w:rFonts w:eastAsia="Calibri" w:cs="Arial"/>
          <w:iCs/>
          <w:color w:val="auto"/>
        </w:rPr>
        <w:t xml:space="preserve">Esminė problema kyla dėl didelio gyventojų tankumo ir nepakankamai išplėtotos bei kokybiškai sutvarkytos viešųjų erdvių infrastruktūros. Intensyvus urbanizacijos procesas, vykstantis tankiai apgyvendintoje teritorijoje, riboja galimybes plėtoti viešąsias erdves, kurios yra būtinos kasdieniams gyventojų poreikiams – judėjimui, poilsiui, bendruomeninei veiklai ir socialinei </w:t>
      </w:r>
      <w:proofErr w:type="spellStart"/>
      <w:r w:rsidRPr="0012721A">
        <w:rPr>
          <w:rFonts w:eastAsia="Calibri" w:cs="Arial"/>
          <w:iCs/>
          <w:color w:val="auto"/>
        </w:rPr>
        <w:t>įtraukčiai</w:t>
      </w:r>
      <w:proofErr w:type="spellEnd"/>
      <w:r w:rsidRPr="0012721A">
        <w:rPr>
          <w:rFonts w:eastAsia="Calibri" w:cs="Arial"/>
          <w:iCs/>
          <w:color w:val="auto"/>
        </w:rPr>
        <w:t xml:space="preserve">. Didelis užstatymo tankis mažina erdvinį potencialą kurti naujas viešąsias zonas arba atnaujinti esamas, o pastarosios dėl </w:t>
      </w:r>
      <w:r w:rsidRPr="0012721A">
        <w:rPr>
          <w:rFonts w:eastAsia="Calibri" w:cs="Arial"/>
          <w:iCs/>
          <w:color w:val="auto"/>
        </w:rPr>
        <w:lastRenderedPageBreak/>
        <w:t>intensyvaus naudojimo praranda funkcionalumą, estetinę kokybę ir pritaikomumą įvairioms visuomenės grupėms. Tokia situacija daro neigiamą poveikį gyvenamosios aplinkos kokybei ir kelia ilgalaikių iššūkių miesto tvarumui.</w:t>
      </w:r>
    </w:p>
    <w:p w14:paraId="1E3727FD" w14:textId="03A5D475" w:rsidR="008B58CB" w:rsidRDefault="008B58CB" w:rsidP="008B58CB">
      <w:pPr>
        <w:spacing w:line="276" w:lineRule="auto"/>
        <w:rPr>
          <w:bCs/>
          <w:szCs w:val="24"/>
        </w:rPr>
      </w:pPr>
      <w:r w:rsidRPr="0092386C">
        <w:rPr>
          <w:bCs/>
          <w:szCs w:val="24"/>
        </w:rPr>
        <w:t>Siekiant užtikrinti aukštą gyvenimo kokybę urbanizuotose teritorijose labai svarbu užtikrinti viešųjų erdvių prieinamumą miesto gyventojams. Ji teikia socialinę ir ekonominę naudą, padeda spręsti klimato kaitos ir oro taršos problemas. Dėl šios priežasties, kiekvienas statybų projektas turtėtų prisidėti prie miesto ekosistemos kokybės formavimo. Tai didina ne vien miesto atsparumą greitai prisitaikyti ir atsigauti nuo neigiamų klimato ir aplinkos pokyčių, tačiau kuria švaresnę, gražesnę ir kokybiškesnę aplinką miesto gyventojams.</w:t>
      </w:r>
    </w:p>
    <w:p w14:paraId="529773E3" w14:textId="747DD8BD" w:rsidR="00125E8D" w:rsidRPr="00663F38" w:rsidRDefault="004963A0" w:rsidP="00663F38">
      <w:pPr>
        <w:rPr>
          <w:bCs/>
          <w:szCs w:val="24"/>
        </w:rPr>
      </w:pPr>
      <w:r w:rsidRPr="0092386C">
        <w:rPr>
          <w:bCs/>
          <w:szCs w:val="24"/>
        </w:rPr>
        <w:t xml:space="preserve">Ekspertų teigimu, viena iš pagrindinių priežasčių, trukdanti Lietuvai, tame tarpe ir </w:t>
      </w:r>
      <w:r w:rsidR="00997258">
        <w:rPr>
          <w:bCs/>
          <w:szCs w:val="24"/>
        </w:rPr>
        <w:t>Utenos</w:t>
      </w:r>
      <w:r w:rsidRPr="0092386C">
        <w:rPr>
          <w:bCs/>
          <w:szCs w:val="24"/>
        </w:rPr>
        <w:t xml:space="preserve"> miestui plėsti viešąsias erdves – finansavimo trūkumas. Dėl minėtų kompleksinių problemų, investicijos į viešųjų erdvių plėtrą ir atnaujinimą yra svarbios ir reikalingos. Pasiūlos ir paklausos analizė atskleidė, kad viešųjų erdvių modernizavimas </w:t>
      </w:r>
      <w:r w:rsidR="00997258">
        <w:rPr>
          <w:bCs/>
          <w:szCs w:val="24"/>
        </w:rPr>
        <w:t>Utenos</w:t>
      </w:r>
      <w:r w:rsidRPr="0092386C">
        <w:rPr>
          <w:bCs/>
          <w:szCs w:val="24"/>
        </w:rPr>
        <w:t xml:space="preserve"> mieste turi ir turės artimiausius 15 metų paklausą. Šiuo metu </w:t>
      </w:r>
      <w:r w:rsidR="00997258">
        <w:rPr>
          <w:bCs/>
          <w:szCs w:val="24"/>
        </w:rPr>
        <w:t>Utenos rajono</w:t>
      </w:r>
      <w:r w:rsidRPr="0092386C">
        <w:rPr>
          <w:bCs/>
          <w:szCs w:val="24"/>
        </w:rPr>
        <w:t xml:space="preserve"> savivaldybės viešoji infrastruktūra nėra pakankamai išplėtota, kas netenkina gyventojų poreikių – nepakankama vietos gyventojų socializacijai, vietos ekonomikos kilimui bei bendruomeniškumo stiprinimui. Viešųjų erdvių stygius </w:t>
      </w:r>
      <w:r w:rsidR="00A21D87">
        <w:rPr>
          <w:bCs/>
          <w:szCs w:val="24"/>
        </w:rPr>
        <w:t>Utenos</w:t>
      </w:r>
      <w:r w:rsidRPr="0092386C">
        <w:rPr>
          <w:bCs/>
          <w:szCs w:val="24"/>
        </w:rPr>
        <w:t xml:space="preserve"> mieste taip pat skatina gyventojus leisti laisvą laiką namie pasyviai, dėl ko blogėja sveikatingumo rodikliai. Strateginis viešųjų erdvių planavimas, žalumo indeksas ir finansavimo gairės yra svarbios priemonės, skatinančios viešųjų erdvių plėtrą ir išsaugojimą. Todėl būtina integruoti viešųjų erdvių sprendimus į miesto planavimą, siekiant tvarios ir sveikos urbanizuotos aplinkos kūrimo. Taip miestai gali tapti ne tik ekologiškai tvaresni, bet ir patogesni gyventi, o jų gyventojai – sveikesni ir laimingesni.</w:t>
      </w:r>
    </w:p>
    <w:p w14:paraId="4062B76C" w14:textId="6348DFE3" w:rsidR="00B42B9A" w:rsidRDefault="00B42B9A" w:rsidP="00B42B9A">
      <w:pPr>
        <w:suppressAutoHyphens/>
        <w:autoSpaceDN w:val="0"/>
        <w:textAlignment w:val="baseline"/>
        <w:rPr>
          <w:rFonts w:eastAsia="Calibri" w:cs="Raleway Light"/>
        </w:rPr>
      </w:pPr>
      <w:r w:rsidRPr="007C4F3A">
        <w:t>T</w:t>
      </w:r>
      <w:r w:rsidRPr="007C4F3A">
        <w:rPr>
          <w:rFonts w:eastAsia="Calibri" w:cs="Raleway Light"/>
        </w:rPr>
        <w:t>oliau lentelėje yra pateikiama suformuluota problema ir pagrindinės jos atsiradimo priežastys.</w:t>
      </w:r>
    </w:p>
    <w:p w14:paraId="15E73A21" w14:textId="77777777" w:rsidR="000D5D96" w:rsidRPr="007C4F3A" w:rsidRDefault="000D5D96" w:rsidP="00B42B9A">
      <w:pPr>
        <w:suppressAutoHyphens/>
        <w:autoSpaceDN w:val="0"/>
        <w:textAlignment w:val="baseline"/>
        <w:rPr>
          <w:rFonts w:eastAsia="Calibri" w:cs="Raleway Light"/>
        </w:rPr>
      </w:pPr>
    </w:p>
    <w:p w14:paraId="16D85BC3" w14:textId="77777777" w:rsidR="00B42B9A" w:rsidRPr="007C4F3A" w:rsidRDefault="00B42B9A" w:rsidP="00B42B9A">
      <w:pPr>
        <w:pStyle w:val="LentelsL"/>
        <w:spacing w:before="120" w:after="120"/>
      </w:pPr>
      <w:bookmarkStart w:id="136" w:name="_Toc178768901"/>
      <w:bookmarkStart w:id="137" w:name="_Toc179192646"/>
      <w:bookmarkStart w:id="138" w:name="_Toc198807814"/>
      <w:r w:rsidRPr="007C4F3A">
        <w:t>1.4.1. lentelė. Problemos ir jų priežastys</w:t>
      </w:r>
      <w:bookmarkEnd w:id="136"/>
      <w:bookmarkEnd w:id="137"/>
      <w:bookmarkEnd w:id="138"/>
    </w:p>
    <w:tbl>
      <w:tblPr>
        <w:tblStyle w:val="3sraolentel1parykinimas112"/>
        <w:tblW w:w="5000" w:type="pct"/>
        <w:tblLook w:val="04A0" w:firstRow="1" w:lastRow="0" w:firstColumn="1" w:lastColumn="0" w:noHBand="0" w:noVBand="1"/>
      </w:tblPr>
      <w:tblGrid>
        <w:gridCol w:w="4047"/>
        <w:gridCol w:w="6148"/>
      </w:tblGrid>
      <w:tr w:rsidR="00B42B9A" w:rsidRPr="007C4F3A" w14:paraId="2863C045" w14:textId="77777777" w:rsidTr="007D06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pct"/>
            <w:hideMark/>
          </w:tcPr>
          <w:p w14:paraId="0544F759" w14:textId="1F81EE6F" w:rsidR="00B42B9A" w:rsidRPr="007C4F3A" w:rsidRDefault="00B42B9A" w:rsidP="002E38B7">
            <w:pPr>
              <w:tabs>
                <w:tab w:val="left" w:pos="709"/>
              </w:tabs>
              <w:spacing w:line="259" w:lineRule="auto"/>
              <w:ind w:firstLine="23"/>
              <w:jc w:val="center"/>
              <w:rPr>
                <w:rFonts w:cs="Arial"/>
                <w:color w:val="FFFFFF" w:themeColor="background1"/>
                <w:sz w:val="20"/>
                <w:szCs w:val="20"/>
              </w:rPr>
            </w:pPr>
            <w:bookmarkStart w:id="139" w:name="_Hlk132816516"/>
            <w:r w:rsidRPr="007C4F3A">
              <w:rPr>
                <w:rFonts w:cs="Arial"/>
                <w:color w:val="FFFFFF" w:themeColor="background1"/>
                <w:sz w:val="20"/>
                <w:szCs w:val="20"/>
              </w:rPr>
              <w:t>Problema/apribojimai</w:t>
            </w:r>
          </w:p>
        </w:tc>
        <w:tc>
          <w:tcPr>
            <w:tcW w:w="3015" w:type="pct"/>
            <w:hideMark/>
          </w:tcPr>
          <w:p w14:paraId="41D1CAF4" w14:textId="77777777" w:rsidR="00B42B9A" w:rsidRPr="007C4F3A" w:rsidRDefault="00B42B9A" w:rsidP="002E38B7">
            <w:pPr>
              <w:tabs>
                <w:tab w:val="left" w:pos="709"/>
              </w:tabs>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7C4F3A">
              <w:rPr>
                <w:rFonts w:cs="Arial"/>
                <w:color w:val="FFFFFF" w:themeColor="background1"/>
                <w:sz w:val="20"/>
                <w:szCs w:val="20"/>
              </w:rPr>
              <w:t>Pagrindinės priežastys</w:t>
            </w:r>
          </w:p>
        </w:tc>
      </w:tr>
      <w:tr w:rsidR="00DC486A" w:rsidRPr="007C4F3A" w14:paraId="4BAA40F4" w14:textId="77777777" w:rsidTr="007D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vMerge w:val="restart"/>
            <w:vAlign w:val="center"/>
          </w:tcPr>
          <w:p w14:paraId="15D3D170" w14:textId="240F8953" w:rsidR="00DC486A" w:rsidRPr="005E7342" w:rsidRDefault="000D5D96" w:rsidP="007D069E">
            <w:pPr>
              <w:tabs>
                <w:tab w:val="left" w:pos="709"/>
              </w:tabs>
              <w:spacing w:line="259" w:lineRule="auto"/>
              <w:ind w:firstLine="24"/>
              <w:jc w:val="center"/>
              <w:rPr>
                <w:rFonts w:cs="Arial"/>
                <w:sz w:val="20"/>
                <w:szCs w:val="20"/>
              </w:rPr>
            </w:pPr>
            <w:r w:rsidRPr="005E7342">
              <w:rPr>
                <w:rFonts w:cs="Arial"/>
                <w:sz w:val="20"/>
                <w:szCs w:val="20"/>
              </w:rPr>
              <w:t>Nepakankama viešųjų erdvių plėtra ir atnaujinimas Utenos miesto urbanizuotose teritorijose</w:t>
            </w:r>
          </w:p>
        </w:tc>
        <w:tc>
          <w:tcPr>
            <w:tcW w:w="3015" w:type="pct"/>
          </w:tcPr>
          <w:p w14:paraId="7A167C44" w14:textId="15AC2917" w:rsidR="00DC486A" w:rsidRPr="005E7342" w:rsidRDefault="001B1CBC" w:rsidP="002E38B7">
            <w:pPr>
              <w:tabs>
                <w:tab w:val="left" w:pos="176"/>
              </w:tabs>
              <w:spacing w:line="259" w:lineRule="auto"/>
              <w:ind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5E7342">
              <w:rPr>
                <w:rStyle w:val="apple-converted-space"/>
                <w:rFonts w:cs="Arial"/>
                <w:sz w:val="20"/>
                <w:szCs w:val="20"/>
              </w:rPr>
              <w:t>U</w:t>
            </w:r>
            <w:r w:rsidRPr="00434E2B">
              <w:rPr>
                <w:rStyle w:val="apple-converted-space"/>
                <w:sz w:val="20"/>
                <w:szCs w:val="20"/>
                <w:lang w:val="pt-PT"/>
              </w:rPr>
              <w:t>tenos</w:t>
            </w:r>
            <w:r w:rsidR="00DC486A" w:rsidRPr="005E7342">
              <w:rPr>
                <w:rStyle w:val="apple-converted-space"/>
                <w:rFonts w:cs="Arial"/>
                <w:sz w:val="20"/>
                <w:szCs w:val="20"/>
              </w:rPr>
              <w:t xml:space="preserve"> </w:t>
            </w:r>
            <w:r w:rsidR="00D47AC9" w:rsidRPr="005E7342">
              <w:rPr>
                <w:rStyle w:val="apple-converted-space"/>
                <w:rFonts w:cs="Arial"/>
                <w:sz w:val="20"/>
                <w:szCs w:val="20"/>
              </w:rPr>
              <w:t>rajono</w:t>
            </w:r>
            <w:r w:rsidR="00DC486A" w:rsidRPr="005E7342">
              <w:rPr>
                <w:rStyle w:val="apple-converted-space"/>
                <w:rFonts w:cs="Arial"/>
                <w:sz w:val="20"/>
                <w:szCs w:val="20"/>
              </w:rPr>
              <w:t xml:space="preserve"> savivaldybės biudžeto lėšų trūkumas</w:t>
            </w:r>
          </w:p>
        </w:tc>
      </w:tr>
      <w:tr w:rsidR="00DC486A" w:rsidRPr="007C4F3A" w14:paraId="03AD00FA" w14:textId="77777777" w:rsidTr="007D069E">
        <w:tc>
          <w:tcPr>
            <w:cnfStyle w:val="001000000000" w:firstRow="0" w:lastRow="0" w:firstColumn="1" w:lastColumn="0" w:oddVBand="0" w:evenVBand="0" w:oddHBand="0" w:evenHBand="0" w:firstRowFirstColumn="0" w:firstRowLastColumn="0" w:lastRowFirstColumn="0" w:lastRowLastColumn="0"/>
            <w:tcW w:w="1985" w:type="pct"/>
            <w:vMerge/>
          </w:tcPr>
          <w:p w14:paraId="5D8A9B0B" w14:textId="77777777" w:rsidR="00DC486A" w:rsidRPr="007C4F3A" w:rsidRDefault="00DC486A" w:rsidP="002E38B7">
            <w:pPr>
              <w:tabs>
                <w:tab w:val="left" w:pos="709"/>
              </w:tabs>
              <w:spacing w:line="259" w:lineRule="auto"/>
              <w:ind w:firstLine="0"/>
              <w:jc w:val="left"/>
              <w:rPr>
                <w:rFonts w:cs="Arial"/>
                <w:sz w:val="20"/>
                <w:szCs w:val="20"/>
                <w:highlight w:val="yellow"/>
              </w:rPr>
            </w:pPr>
          </w:p>
        </w:tc>
        <w:tc>
          <w:tcPr>
            <w:tcW w:w="3015" w:type="pct"/>
          </w:tcPr>
          <w:p w14:paraId="296ADD00" w14:textId="74F78BE2" w:rsidR="00DC486A" w:rsidRPr="009017F6" w:rsidRDefault="00B81AAC" w:rsidP="002E38B7">
            <w:pPr>
              <w:tabs>
                <w:tab w:val="left" w:pos="218"/>
                <w:tab w:val="left" w:pos="709"/>
              </w:tabs>
              <w:spacing w:line="259" w:lineRule="auto"/>
              <w:ind w:firstLine="0"/>
              <w:contextualSpacing/>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870D7">
              <w:rPr>
                <w:rFonts w:cs="Arial"/>
                <w:sz w:val="20"/>
                <w:szCs w:val="20"/>
              </w:rPr>
              <w:t>Did</w:t>
            </w:r>
            <w:r w:rsidR="0021228E" w:rsidRPr="00D870D7">
              <w:rPr>
                <w:rFonts w:cs="Arial"/>
                <w:sz w:val="20"/>
                <w:szCs w:val="20"/>
              </w:rPr>
              <w:t>elis</w:t>
            </w:r>
            <w:r w:rsidRPr="00D870D7">
              <w:rPr>
                <w:rFonts w:cs="Arial"/>
                <w:sz w:val="20"/>
                <w:szCs w:val="20"/>
              </w:rPr>
              <w:t xml:space="preserve"> gyventojų tankumas</w:t>
            </w:r>
            <w:r w:rsidR="000D5D96">
              <w:rPr>
                <w:rFonts w:cs="Arial"/>
                <w:sz w:val="20"/>
                <w:szCs w:val="20"/>
              </w:rPr>
              <w:t xml:space="preserve"> </w:t>
            </w:r>
            <w:r w:rsidR="000D5D96" w:rsidRPr="000D5D96">
              <w:rPr>
                <w:rFonts w:cs="Arial"/>
                <w:sz w:val="20"/>
                <w:szCs w:val="20"/>
              </w:rPr>
              <w:t>Aukštakalnio mikrorajone</w:t>
            </w:r>
          </w:p>
        </w:tc>
      </w:tr>
      <w:tr w:rsidR="00DC486A" w:rsidRPr="007C4F3A" w14:paraId="243E4627" w14:textId="77777777" w:rsidTr="007D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vMerge/>
          </w:tcPr>
          <w:p w14:paraId="1F0B1E3C" w14:textId="77777777" w:rsidR="00DC486A" w:rsidRPr="007C4F3A" w:rsidRDefault="00DC486A" w:rsidP="002E38B7">
            <w:pPr>
              <w:tabs>
                <w:tab w:val="left" w:pos="709"/>
              </w:tabs>
              <w:spacing w:line="259" w:lineRule="auto"/>
              <w:ind w:firstLine="0"/>
              <w:jc w:val="left"/>
              <w:rPr>
                <w:rFonts w:cs="Arial"/>
                <w:sz w:val="20"/>
                <w:szCs w:val="20"/>
                <w:highlight w:val="yellow"/>
              </w:rPr>
            </w:pPr>
          </w:p>
        </w:tc>
        <w:tc>
          <w:tcPr>
            <w:tcW w:w="3015" w:type="pct"/>
          </w:tcPr>
          <w:p w14:paraId="0893AC1B" w14:textId="7DB91ACC" w:rsidR="00DC486A" w:rsidRPr="001C420E" w:rsidRDefault="001C420E" w:rsidP="002E38B7">
            <w:pPr>
              <w:tabs>
                <w:tab w:val="left" w:pos="218"/>
                <w:tab w:val="left" w:pos="709"/>
              </w:tabs>
              <w:spacing w:line="259" w:lineRule="auto"/>
              <w:ind w:firstLine="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1C420E">
              <w:rPr>
                <w:rFonts w:cs="Arial"/>
                <w:sz w:val="20"/>
                <w:szCs w:val="20"/>
              </w:rPr>
              <w:t>Padidėjęs viešųjų erdvių nusidėvėjimas dėl intensyvaus naudojimo</w:t>
            </w:r>
          </w:p>
        </w:tc>
      </w:tr>
      <w:tr w:rsidR="001849C6" w:rsidRPr="007C4F3A" w14:paraId="5119D96D" w14:textId="77777777" w:rsidTr="007D069E">
        <w:trPr>
          <w:trHeight w:val="212"/>
        </w:trPr>
        <w:tc>
          <w:tcPr>
            <w:cnfStyle w:val="001000000000" w:firstRow="0" w:lastRow="0" w:firstColumn="1" w:lastColumn="0" w:oddVBand="0" w:evenVBand="0" w:oddHBand="0" w:evenHBand="0" w:firstRowFirstColumn="0" w:firstRowLastColumn="0" w:lastRowFirstColumn="0" w:lastRowLastColumn="0"/>
            <w:tcW w:w="1985" w:type="pct"/>
            <w:vMerge/>
          </w:tcPr>
          <w:p w14:paraId="0415FE71" w14:textId="77777777" w:rsidR="001849C6" w:rsidRPr="007C4F3A" w:rsidRDefault="001849C6" w:rsidP="002E38B7">
            <w:pPr>
              <w:tabs>
                <w:tab w:val="left" w:pos="709"/>
              </w:tabs>
              <w:spacing w:line="259" w:lineRule="auto"/>
              <w:ind w:firstLine="0"/>
              <w:jc w:val="left"/>
              <w:rPr>
                <w:rFonts w:cs="Arial"/>
                <w:sz w:val="20"/>
                <w:szCs w:val="20"/>
                <w:highlight w:val="yellow"/>
              </w:rPr>
            </w:pPr>
          </w:p>
        </w:tc>
        <w:tc>
          <w:tcPr>
            <w:tcW w:w="3015" w:type="pct"/>
          </w:tcPr>
          <w:p w14:paraId="5ACEF856" w14:textId="4F1E2604" w:rsidR="001849C6" w:rsidRPr="00136B48" w:rsidRDefault="00136B48" w:rsidP="002E38B7">
            <w:pPr>
              <w:tabs>
                <w:tab w:val="left" w:pos="218"/>
                <w:tab w:val="left" w:pos="709"/>
              </w:tabs>
              <w:spacing w:line="259" w:lineRule="auto"/>
              <w:ind w:firstLine="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136B48">
              <w:rPr>
                <w:rFonts w:cs="Arial"/>
                <w:sz w:val="20"/>
                <w:szCs w:val="20"/>
              </w:rPr>
              <w:t>Viešoji infrastruktūra neužtikrina gyventojų poreikių socialinei sąveikai, poilsiui ir bendruomeninei veiklai</w:t>
            </w:r>
          </w:p>
        </w:tc>
      </w:tr>
    </w:tbl>
    <w:bookmarkEnd w:id="139"/>
    <w:p w14:paraId="60B78364" w14:textId="6305FF7B" w:rsidR="00B42B9A" w:rsidRPr="007C4F3A" w:rsidRDefault="00B42B9A" w:rsidP="00B42B9A">
      <w:pPr>
        <w:ind w:firstLine="0"/>
        <w:jc w:val="center"/>
        <w:rPr>
          <w:rFonts w:cs="Arial"/>
          <w:i/>
          <w:sz w:val="20"/>
          <w:szCs w:val="20"/>
        </w:rPr>
      </w:pPr>
      <w:r w:rsidRPr="007C4F3A">
        <w:rPr>
          <w:rFonts w:cs="Arial"/>
          <w:i/>
          <w:sz w:val="20"/>
          <w:szCs w:val="20"/>
        </w:rPr>
        <w:t>Šaltinis</w:t>
      </w:r>
      <w:r w:rsidR="006F029C">
        <w:rPr>
          <w:rFonts w:cs="Arial"/>
          <w:i/>
          <w:sz w:val="20"/>
          <w:szCs w:val="20"/>
        </w:rPr>
        <w:t>:</w:t>
      </w:r>
      <w:r w:rsidRPr="007C4F3A">
        <w:rPr>
          <w:rFonts w:cs="Arial"/>
          <w:i/>
          <w:sz w:val="20"/>
          <w:szCs w:val="20"/>
        </w:rPr>
        <w:t xml:space="preserve"> sudaryta autorių</w:t>
      </w:r>
    </w:p>
    <w:p w14:paraId="0CB8FE8C" w14:textId="77777777" w:rsidR="00053A60" w:rsidRDefault="00053A60" w:rsidP="000B0B79">
      <w:pPr>
        <w:suppressAutoHyphens/>
        <w:autoSpaceDN w:val="0"/>
        <w:textAlignment w:val="baseline"/>
        <w:rPr>
          <w:rFonts w:eastAsia="Calibri" w:cs="Raleway Light"/>
          <w:color w:val="auto"/>
        </w:rPr>
      </w:pPr>
      <w:r w:rsidRPr="00053A60">
        <w:rPr>
          <w:rFonts w:eastAsia="Calibri" w:cs="Raleway Light"/>
          <w:color w:val="auto"/>
        </w:rPr>
        <w:t>Viešųjų erdvių sistema yra svarbi ir neatskiriama urbanistinės struktūros dalis, kuria siekiama subalansuoti urbanistinio ir gamtinio karkaso struktūras, užtikrinti gyvenamosios aplinkos kokybę ir rekreacinius poreikius, palaikyti teritorijos ekologinį stabilumą bei ekosistemų funkcijas, taip pat formuoti patrauklios ir gyventojams palankios gyvenvietės įvaizdį.</w:t>
      </w:r>
    </w:p>
    <w:p w14:paraId="08C0C234" w14:textId="759FC0EB" w:rsidR="000B0B79" w:rsidRPr="00F76090" w:rsidRDefault="00B42B9A" w:rsidP="000B0B79">
      <w:pPr>
        <w:suppressAutoHyphens/>
        <w:autoSpaceDN w:val="0"/>
        <w:textAlignment w:val="baseline"/>
        <w:rPr>
          <w:rFonts w:eastAsia="Calibri" w:cs="Arial"/>
          <w:szCs w:val="38"/>
          <w:lang w:eastAsia="en-GB"/>
        </w:rPr>
      </w:pPr>
      <w:r w:rsidRPr="007C4F3A">
        <w:rPr>
          <w:rFonts w:eastAsia="Calibri" w:cs="Arial"/>
          <w:b/>
          <w:bCs/>
          <w:szCs w:val="38"/>
          <w:lang w:eastAsia="en-GB"/>
        </w:rPr>
        <w:t>Problemos sprendimo būdas</w:t>
      </w:r>
      <w:r w:rsidRPr="007C4F3A">
        <w:rPr>
          <w:rFonts w:eastAsia="Calibri" w:cs="Arial"/>
          <w:szCs w:val="38"/>
          <w:lang w:eastAsia="en-GB"/>
        </w:rPr>
        <w:t xml:space="preserve"> –</w:t>
      </w:r>
      <w:r w:rsidR="00B91E95" w:rsidRPr="007C4F3A">
        <w:rPr>
          <w:rFonts w:eastAsia="Calibri" w:cs="Arial"/>
          <w:szCs w:val="38"/>
          <w:lang w:eastAsia="en-GB"/>
        </w:rPr>
        <w:t xml:space="preserve"> </w:t>
      </w:r>
      <w:r w:rsidR="000B0B79" w:rsidRPr="00F76090">
        <w:rPr>
          <w:rFonts w:eastAsia="Calibri" w:cs="Arial"/>
          <w:szCs w:val="38"/>
          <w:lang w:eastAsia="en-GB"/>
        </w:rPr>
        <w:t>Aukštakalnio mikrorajono daugiabučių namų teritorijos atgaivinimas ir žalinimas:</w:t>
      </w:r>
    </w:p>
    <w:p w14:paraId="65E70A0C" w14:textId="77777777" w:rsidR="000B0B79" w:rsidRPr="00F76090" w:rsidRDefault="000B0B79" w:rsidP="000B0B79">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Sutvarkant ir tankinant esamus želdynus, įrengiant naujus želdinius;</w:t>
      </w:r>
    </w:p>
    <w:p w14:paraId="6B79614C" w14:textId="77777777" w:rsidR="000B0B79" w:rsidRPr="00F76090" w:rsidRDefault="000B0B79" w:rsidP="000B0B79">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Modernizuojant pėsčiųjų takų tinklą;</w:t>
      </w:r>
    </w:p>
    <w:p w14:paraId="2A9692E0" w14:textId="77777777" w:rsidR="000B0B79" w:rsidRPr="00F76090" w:rsidRDefault="000B0B79" w:rsidP="000B0B79">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Įrengiant bendruomenės zonas su žaidimų aikštelėmis, poilsio erdvėmis ir mažąja architektūra;</w:t>
      </w:r>
    </w:p>
    <w:p w14:paraId="6D8D755D" w14:textId="77777777" w:rsidR="000B0B79" w:rsidRPr="00F76090" w:rsidRDefault="000B0B79" w:rsidP="000B0B79">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Įrengiant apšvietimą;</w:t>
      </w:r>
    </w:p>
    <w:p w14:paraId="66DC5064" w14:textId="77777777" w:rsidR="000B0B79" w:rsidRPr="00F76090" w:rsidRDefault="000B0B79" w:rsidP="000B0B79">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Įrengiant automobilių stovėjimo vietas, įskaitant pritaikytas asmenims su negalia.</w:t>
      </w:r>
    </w:p>
    <w:p w14:paraId="146030A9" w14:textId="13EBCF3A" w:rsidR="00DE6373" w:rsidRPr="006118A9" w:rsidRDefault="00B42B9A" w:rsidP="008E3CC3">
      <w:pPr>
        <w:suppressAutoHyphens/>
        <w:autoSpaceDN w:val="0"/>
        <w:textAlignment w:val="baseline"/>
        <w:rPr>
          <w:rFonts w:eastAsia="Calibri" w:cs="Arial"/>
          <w:i/>
          <w:iCs/>
          <w:szCs w:val="38"/>
          <w:lang w:eastAsia="en-GB"/>
        </w:rPr>
      </w:pPr>
      <w:r w:rsidRPr="006118A9">
        <w:rPr>
          <w:rFonts w:eastAsia="Calibri" w:cs="Arial"/>
          <w:i/>
          <w:iCs/>
          <w:szCs w:val="38"/>
          <w:lang w:eastAsia="en-GB"/>
        </w:rPr>
        <w:t>Apibendrintai investicijų projekto metu sprendžiamą problematiką galima įvardinti kaip „</w:t>
      </w:r>
      <w:r w:rsidR="006118A9" w:rsidRPr="006118A9">
        <w:rPr>
          <w:rFonts w:eastAsia="Calibri" w:cs="Arial"/>
          <w:i/>
          <w:iCs/>
          <w:szCs w:val="38"/>
          <w:lang w:eastAsia="en-GB"/>
        </w:rPr>
        <w:t>Nepakankama viešųjų erdvių plėtra ir atnaujinimas Utenos miesto urbanizuotose teritorijose</w:t>
      </w:r>
      <w:r w:rsidRPr="006118A9">
        <w:rPr>
          <w:rFonts w:eastAsia="Calibri" w:cs="Arial"/>
          <w:i/>
          <w:iCs/>
          <w:szCs w:val="38"/>
          <w:lang w:eastAsia="en-GB"/>
        </w:rPr>
        <w:t>“.</w:t>
      </w:r>
      <w:bookmarkStart w:id="140" w:name="_Hlk178840942"/>
      <w:bookmarkStart w:id="141" w:name="_Toc159421939"/>
      <w:bookmarkStart w:id="142" w:name="_Toc160544948"/>
      <w:bookmarkStart w:id="143" w:name="_Toc161166371"/>
      <w:r w:rsidR="00DE6373" w:rsidRPr="006118A9">
        <w:rPr>
          <w:rFonts w:eastAsia="Calibri" w:cs="Arial"/>
          <w:i/>
          <w:iCs/>
          <w:color w:val="auto"/>
          <w:szCs w:val="38"/>
          <w:lang w:eastAsia="en-GB"/>
        </w:rPr>
        <w:br w:type="page"/>
      </w:r>
    </w:p>
    <w:p w14:paraId="060D53F2" w14:textId="38C9379A" w:rsidR="00E948FB" w:rsidRPr="007C4F3A" w:rsidRDefault="00F72919" w:rsidP="0029239E">
      <w:pPr>
        <w:pStyle w:val="Antrat1"/>
        <w:rPr>
          <w:rFonts w:eastAsia="Times New Roman"/>
        </w:rPr>
      </w:pPr>
      <w:bookmarkStart w:id="144" w:name="_Toc59379488"/>
      <w:bookmarkStart w:id="145" w:name="_Toc179180659"/>
      <w:bookmarkStart w:id="146" w:name="_Toc197939615"/>
      <w:bookmarkStart w:id="147" w:name="_Toc160544951"/>
      <w:bookmarkStart w:id="148" w:name="_Toc161166374"/>
      <w:bookmarkEnd w:id="123"/>
      <w:bookmarkEnd w:id="124"/>
      <w:bookmarkEnd w:id="140"/>
      <w:bookmarkEnd w:id="141"/>
      <w:bookmarkEnd w:id="142"/>
      <w:bookmarkEnd w:id="143"/>
      <w:r w:rsidRPr="007C4F3A">
        <w:rPr>
          <w:rFonts w:eastAsia="Times New Roman"/>
        </w:rPr>
        <w:lastRenderedPageBreak/>
        <w:t xml:space="preserve">2. </w:t>
      </w:r>
      <w:r w:rsidR="00E948FB" w:rsidRPr="007C4F3A">
        <w:rPr>
          <w:rFonts w:eastAsia="Times New Roman"/>
        </w:rPr>
        <w:t>PROJEKTO TURINYS</w:t>
      </w:r>
      <w:bookmarkEnd w:id="144"/>
      <w:bookmarkEnd w:id="145"/>
      <w:bookmarkEnd w:id="146"/>
    </w:p>
    <w:p w14:paraId="0F50BAB3" w14:textId="77777777" w:rsidR="001F33A5" w:rsidRDefault="001F33A5" w:rsidP="001F33A5">
      <w:pPr>
        <w:suppressAutoHyphens/>
        <w:autoSpaceDN w:val="0"/>
        <w:textAlignment w:val="baseline"/>
        <w:rPr>
          <w:rFonts w:eastAsia="Calibri" w:cs="Arial"/>
          <w:szCs w:val="38"/>
          <w:lang w:eastAsia="en-GB"/>
        </w:rPr>
      </w:pPr>
      <w:bookmarkStart w:id="149" w:name="_Toc463891669"/>
      <w:bookmarkStart w:id="150" w:name="_Toc59379489"/>
      <w:bookmarkStart w:id="151" w:name="_Toc82104580"/>
      <w:bookmarkStart w:id="152" w:name="_Toc134521946"/>
      <w:bookmarkStart w:id="153" w:name="_Toc179180660"/>
      <w:r w:rsidRPr="007C4F3A">
        <w:rPr>
          <w:rFonts w:eastAsia="Calibri" w:cs="Arial"/>
          <w:szCs w:val="38"/>
          <w:lang w:eastAsia="en-GB"/>
        </w:rPr>
        <w:t>Šiame investicijų projekto skyriuje nurodomi visi esminiai projekto turinio elementai tam, kad būtų įmanoma tinkamai suformuluoti ir pasirinkti projekto įgyvendinimo alternatyvą: nurodomas projekto tikslas ir uždaviniai, t. y. kokio pokyčio siekiama, ir ką reikia padaryti, kad projekto tikslas būtų pasiektas; nustatomos projekto sąsajos su kitais projektais; detaliai aprašomos projekto tikslinės grupės, kurioms investicijų projekto įgyvendinimas turės tiesioginės įtakos ir kurios pajus socialinę–ekonominę investicijų projekto įgyvendinimo naudą (žalą), ir išskiriamos projekto poveikio ribos; pristatoma projekto organizacija, prisiimanti atsakomybę už projekto įgyvendinimą ir vykdanti pagrindines projekto veiklas; nurodomi siekiami rezultatai, t. y. nurodoma planuojama projekto įtaka viešosios paslaugos kiekybiniams ir kokybiniams pokyčiams.</w:t>
      </w:r>
    </w:p>
    <w:p w14:paraId="116BAE10" w14:textId="77777777" w:rsidR="00C50ACA" w:rsidRPr="007C4F3A" w:rsidRDefault="00C50ACA" w:rsidP="001F33A5">
      <w:pPr>
        <w:suppressAutoHyphens/>
        <w:autoSpaceDN w:val="0"/>
        <w:textAlignment w:val="baseline"/>
        <w:rPr>
          <w:rFonts w:eastAsia="Calibri" w:cs="Arial"/>
          <w:szCs w:val="38"/>
          <w:lang w:eastAsia="en-GB"/>
        </w:rPr>
      </w:pPr>
    </w:p>
    <w:p w14:paraId="424FEAE4" w14:textId="409357E5" w:rsidR="00E948FB" w:rsidRPr="007C4F3A" w:rsidRDefault="004265F3" w:rsidP="00D67B2F">
      <w:pPr>
        <w:pStyle w:val="Poskyris"/>
      </w:pPr>
      <w:r>
        <w:tab/>
      </w:r>
      <w:bookmarkStart w:id="154" w:name="_Toc197939616"/>
      <w:r w:rsidR="00E948FB" w:rsidRPr="007C4F3A">
        <w:t>2.1. Projekto tikslas</w:t>
      </w:r>
      <w:bookmarkEnd w:id="149"/>
      <w:r w:rsidR="00E948FB" w:rsidRPr="007C4F3A">
        <w:t xml:space="preserve"> ir uždaviniai</w:t>
      </w:r>
      <w:bookmarkEnd w:id="150"/>
      <w:bookmarkEnd w:id="151"/>
      <w:bookmarkEnd w:id="152"/>
      <w:bookmarkEnd w:id="153"/>
      <w:bookmarkEnd w:id="154"/>
    </w:p>
    <w:p w14:paraId="52AC57DD" w14:textId="7740F350" w:rsidR="001F33A5" w:rsidRPr="007C4F3A" w:rsidRDefault="001F33A5" w:rsidP="001F33A5">
      <w:pPr>
        <w:suppressAutoHyphens/>
        <w:autoSpaceDN w:val="0"/>
        <w:textAlignment w:val="baseline"/>
        <w:rPr>
          <w:rFonts w:eastAsia="Calibri" w:cs="Arial"/>
          <w:szCs w:val="38"/>
          <w:lang w:eastAsia="en-GB"/>
        </w:rPr>
      </w:pPr>
      <w:bookmarkStart w:id="155" w:name="_Toc463891670"/>
      <w:bookmarkStart w:id="156" w:name="_Toc59379490"/>
      <w:bookmarkStart w:id="157" w:name="_Toc82104581"/>
      <w:bookmarkStart w:id="158" w:name="_Toc134521947"/>
      <w:bookmarkStart w:id="159" w:name="_Toc179180661"/>
      <w:r w:rsidRPr="007C4F3A">
        <w:rPr>
          <w:rFonts w:eastAsia="Calibri" w:cs="Arial"/>
          <w:szCs w:val="38"/>
          <w:lang w:eastAsia="en-GB"/>
        </w:rPr>
        <w:t xml:space="preserve">Projekto įgyvendinimui suformuluotas </w:t>
      </w:r>
      <w:r w:rsidRPr="007C4F3A">
        <w:rPr>
          <w:rFonts w:eastAsia="Calibri" w:cs="Arial"/>
          <w:b/>
          <w:bCs/>
          <w:szCs w:val="38"/>
          <w:lang w:eastAsia="en-GB"/>
        </w:rPr>
        <w:t>tikslas</w:t>
      </w:r>
      <w:r w:rsidRPr="007C4F3A">
        <w:rPr>
          <w:rFonts w:eastAsia="Calibri" w:cs="Arial"/>
          <w:szCs w:val="38"/>
          <w:lang w:eastAsia="en-GB"/>
        </w:rPr>
        <w:t xml:space="preserve"> – </w:t>
      </w:r>
      <w:r w:rsidR="00CE7D93" w:rsidRPr="00CE7D93">
        <w:rPr>
          <w:rFonts w:eastAsia="Calibri" w:cs="Arial"/>
          <w:szCs w:val="38"/>
          <w:lang w:eastAsia="en-GB"/>
        </w:rPr>
        <w:t>gerinti gyvenamosios aplinkos kokybę urbanizuotoje Utenos miesto teritorijoje, didinant viešųjų erdvių patrauklumą, prieinamumą ir funkcionalumą</w:t>
      </w:r>
      <w:r w:rsidRPr="00CE7D93">
        <w:rPr>
          <w:rFonts w:eastAsia="Calibri" w:cs="Arial"/>
          <w:szCs w:val="38"/>
          <w:lang w:eastAsia="en-GB"/>
        </w:rPr>
        <w:t>.</w:t>
      </w:r>
    </w:p>
    <w:p w14:paraId="38B3AB2D" w14:textId="7D39441B" w:rsidR="001F33A5" w:rsidRDefault="001F33A5" w:rsidP="001F33A5">
      <w:pPr>
        <w:suppressAutoHyphens/>
        <w:autoSpaceDN w:val="0"/>
        <w:textAlignment w:val="baseline"/>
        <w:rPr>
          <w:rFonts w:eastAsia="Calibri" w:cs="Raleway Light"/>
          <w:color w:val="auto"/>
          <w:szCs w:val="38"/>
          <w:lang w:eastAsia="en-GB"/>
        </w:rPr>
      </w:pPr>
      <w:r w:rsidRPr="007C4F3A">
        <w:rPr>
          <w:rFonts w:eastAsia="Calibri" w:cs="Arial"/>
          <w:szCs w:val="38"/>
          <w:lang w:eastAsia="en-GB"/>
        </w:rPr>
        <w:t xml:space="preserve">Projekto tikslui pasiekti numatomas </w:t>
      </w:r>
      <w:r w:rsidRPr="007C4F3A">
        <w:rPr>
          <w:rFonts w:eastAsia="Calibri" w:cs="Arial"/>
          <w:b/>
          <w:bCs/>
          <w:szCs w:val="38"/>
          <w:lang w:eastAsia="en-GB"/>
        </w:rPr>
        <w:t>uždavinys</w:t>
      </w:r>
      <w:r w:rsidRPr="007C4F3A">
        <w:rPr>
          <w:rFonts w:eastAsia="Calibri" w:cs="Arial"/>
          <w:szCs w:val="38"/>
          <w:lang w:eastAsia="en-GB"/>
        </w:rPr>
        <w:t xml:space="preserve"> – </w:t>
      </w:r>
      <w:r w:rsidR="00024522" w:rsidRPr="00024522">
        <w:rPr>
          <w:rFonts w:eastAsia="Calibri" w:cs="Arial"/>
          <w:szCs w:val="38"/>
          <w:lang w:eastAsia="en-GB"/>
        </w:rPr>
        <w:t>atgaivinti ir modernizuoti Aukštakalnio daugiabučių namų mikrorajono teritoriją (apribotą Aukštakalnio g., Taikos g., Kupiškio g. ir Vyžuonos parku), įgyvendinant universalaus dizaino principais grindžiamus sprendimus</w:t>
      </w:r>
      <w:r w:rsidR="00024522">
        <w:rPr>
          <w:rFonts w:eastAsia="Calibri" w:cs="Raleway Light"/>
          <w:color w:val="auto"/>
          <w:szCs w:val="38"/>
          <w:lang w:eastAsia="en-GB"/>
        </w:rPr>
        <w:t>.</w:t>
      </w:r>
    </w:p>
    <w:p w14:paraId="4025FD3A" w14:textId="77777777" w:rsidR="00C50ACA" w:rsidRPr="007C4F3A" w:rsidRDefault="00C50ACA" w:rsidP="001F33A5">
      <w:pPr>
        <w:suppressAutoHyphens/>
        <w:autoSpaceDN w:val="0"/>
        <w:textAlignment w:val="baseline"/>
        <w:rPr>
          <w:rFonts w:eastAsia="Calibri" w:cs="Arial"/>
          <w:szCs w:val="38"/>
          <w:lang w:eastAsia="en-GB"/>
        </w:rPr>
      </w:pPr>
    </w:p>
    <w:p w14:paraId="3D6C7207" w14:textId="6F9FB193" w:rsidR="00E948FB" w:rsidRPr="00830AD4" w:rsidRDefault="004265F3" w:rsidP="00D67B2F">
      <w:pPr>
        <w:pStyle w:val="Poskyris"/>
      </w:pPr>
      <w:r>
        <w:tab/>
      </w:r>
      <w:bookmarkStart w:id="160" w:name="_Toc197939617"/>
      <w:r w:rsidR="00E948FB" w:rsidRPr="00830AD4">
        <w:t>2.2. Projekto sąsajos su kitais projektais</w:t>
      </w:r>
      <w:bookmarkEnd w:id="155"/>
      <w:bookmarkEnd w:id="156"/>
      <w:bookmarkEnd w:id="157"/>
      <w:bookmarkEnd w:id="158"/>
      <w:bookmarkEnd w:id="159"/>
      <w:bookmarkEnd w:id="160"/>
    </w:p>
    <w:p w14:paraId="79C55C44" w14:textId="7F75583F" w:rsidR="007202D1" w:rsidRPr="00AB4E0F" w:rsidRDefault="00896966" w:rsidP="007202D1">
      <w:pPr>
        <w:spacing w:after="120" w:line="22" w:lineRule="atLeast"/>
        <w:rPr>
          <w:rStyle w:val="Hipersaitas"/>
          <w:rFonts w:eastAsia="Times New Roman" w:cs="Arial"/>
          <w:color w:val="000000" w:themeColor="text1"/>
          <w:u w:val="none"/>
          <w:lang w:eastAsia="lt-LT"/>
        </w:rPr>
      </w:pPr>
      <w:bookmarkStart w:id="161" w:name="_Toc179180662"/>
      <w:r w:rsidRPr="007C4F3A">
        <w:t>Numatomas įgyvendinti IP „</w:t>
      </w:r>
      <w:r w:rsidR="00372ADA" w:rsidRPr="00372ADA">
        <w:t>Tankiai apgyvendintos urbanizuotos Aukštakalnio gyvenamųjų daugiabučių namų teritorijos dalies atgaivinimas, žalinimas ir funkcionalumo didinimas</w:t>
      </w:r>
      <w:r w:rsidRPr="007C4F3A">
        <w:t xml:space="preserve">“ neturi tiesioginių sąsajų su anksčiau įgyvendintais projektais. </w:t>
      </w:r>
      <w:r w:rsidR="007202D1" w:rsidRPr="00AB4E0F">
        <w:rPr>
          <w:rFonts w:eastAsia="Times New Roman" w:cs="Arial"/>
          <w:lang w:eastAsia="lt-LT"/>
        </w:rPr>
        <w:t xml:space="preserve">Utenos rajono savivaldybės administracija per pastaruosius metus įgyvendino įvairius viešosios infrastruktūros projektus, tačiau jie neturi tiesioginių sąsajų su planuojamu įgyvendinti </w:t>
      </w:r>
      <w:r w:rsidR="007202D1">
        <w:rPr>
          <w:rFonts w:eastAsia="Times New Roman" w:cs="Arial"/>
          <w:lang w:eastAsia="lt-LT"/>
        </w:rPr>
        <w:t>IP</w:t>
      </w:r>
      <w:r w:rsidR="007202D1" w:rsidRPr="00AB4E0F">
        <w:rPr>
          <w:rFonts w:eastAsia="Times New Roman" w:cs="Arial"/>
          <w:lang w:eastAsia="lt-LT"/>
        </w:rPr>
        <w:t>, t. y. numatomos patirti išlaidos nesidubliuos.</w:t>
      </w:r>
    </w:p>
    <w:p w14:paraId="2C39480A" w14:textId="1892822E" w:rsidR="00787423" w:rsidRPr="007C4F3A" w:rsidRDefault="00787423" w:rsidP="00787423">
      <w:pPr>
        <w:pStyle w:val="LentelsL"/>
      </w:pPr>
      <w:bookmarkStart w:id="162" w:name="_Toc181827085"/>
      <w:bookmarkStart w:id="163" w:name="_Toc198807815"/>
      <w:r w:rsidRPr="007C4F3A">
        <w:t>2.2.1. lentelė. Susiję projektai</w:t>
      </w:r>
      <w:bookmarkEnd w:id="162"/>
      <w:bookmarkEnd w:id="163"/>
    </w:p>
    <w:tbl>
      <w:tblPr>
        <w:tblW w:w="9918"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517"/>
        <w:gridCol w:w="2034"/>
        <w:gridCol w:w="1439"/>
        <w:gridCol w:w="1397"/>
        <w:gridCol w:w="4531"/>
      </w:tblGrid>
      <w:tr w:rsidR="000B67EC" w:rsidRPr="000B67EC" w14:paraId="4C5AAAA5" w14:textId="77777777" w:rsidTr="000B67EC">
        <w:trPr>
          <w:trHeight w:val="300"/>
          <w:tblHeader/>
          <w:jc w:val="center"/>
        </w:trPr>
        <w:tc>
          <w:tcPr>
            <w:tcW w:w="517" w:type="dxa"/>
            <w:tcBorders>
              <w:left w:val="nil"/>
              <w:right w:val="nil"/>
            </w:tcBorders>
            <w:shd w:val="clear" w:color="000000" w:fill="4472C4"/>
            <w:vAlign w:val="center"/>
          </w:tcPr>
          <w:p w14:paraId="6BA9224B" w14:textId="77777777" w:rsidR="00772C48" w:rsidRPr="000B67EC" w:rsidRDefault="00772C48" w:rsidP="006F5765">
            <w:pPr>
              <w:spacing w:after="0" w:line="240" w:lineRule="auto"/>
              <w:ind w:firstLine="0"/>
              <w:jc w:val="center"/>
              <w:rPr>
                <w:rFonts w:eastAsia="Times New Roman" w:cs="Arial"/>
                <w:b/>
                <w:bCs/>
                <w:color w:val="FFFFFF" w:themeColor="background1"/>
                <w:sz w:val="20"/>
                <w:szCs w:val="20"/>
                <w:lang w:eastAsia="lt-LT"/>
              </w:rPr>
            </w:pPr>
            <w:r w:rsidRPr="000B67EC">
              <w:rPr>
                <w:rFonts w:eastAsia="Times New Roman" w:cs="Arial"/>
                <w:b/>
                <w:bCs/>
                <w:color w:val="FFFFFF" w:themeColor="background1"/>
                <w:sz w:val="20"/>
                <w:szCs w:val="20"/>
                <w:lang w:eastAsia="lt-LT"/>
              </w:rPr>
              <w:t>Eil. Nr.</w:t>
            </w:r>
          </w:p>
        </w:tc>
        <w:tc>
          <w:tcPr>
            <w:tcW w:w="2034" w:type="dxa"/>
            <w:tcBorders>
              <w:left w:val="nil"/>
              <w:right w:val="nil"/>
            </w:tcBorders>
            <w:shd w:val="clear" w:color="000000" w:fill="4472C4"/>
            <w:vAlign w:val="center"/>
          </w:tcPr>
          <w:p w14:paraId="529577E7" w14:textId="77777777" w:rsidR="00772C48" w:rsidRPr="000B67EC" w:rsidRDefault="00772C48" w:rsidP="006F5765">
            <w:pPr>
              <w:spacing w:after="0" w:line="240" w:lineRule="auto"/>
              <w:ind w:firstLine="0"/>
              <w:jc w:val="center"/>
              <w:rPr>
                <w:rFonts w:eastAsia="Times New Roman" w:cs="Arial"/>
                <w:b/>
                <w:bCs/>
                <w:color w:val="FFFFFF" w:themeColor="background1"/>
                <w:sz w:val="20"/>
                <w:szCs w:val="20"/>
                <w:lang w:eastAsia="lt-LT"/>
              </w:rPr>
            </w:pPr>
            <w:r w:rsidRPr="000B67EC">
              <w:rPr>
                <w:rFonts w:eastAsia="Times New Roman" w:cs="Arial"/>
                <w:b/>
                <w:bCs/>
                <w:color w:val="FFFFFF" w:themeColor="background1"/>
                <w:sz w:val="20"/>
                <w:szCs w:val="20"/>
                <w:lang w:eastAsia="lt-LT"/>
              </w:rPr>
              <w:t>Susijusio projekto pavadinimas</w:t>
            </w:r>
          </w:p>
        </w:tc>
        <w:tc>
          <w:tcPr>
            <w:tcW w:w="1439" w:type="dxa"/>
            <w:tcBorders>
              <w:left w:val="nil"/>
              <w:right w:val="nil"/>
            </w:tcBorders>
            <w:shd w:val="clear" w:color="000000" w:fill="4472C4"/>
            <w:vAlign w:val="center"/>
            <w:hideMark/>
          </w:tcPr>
          <w:p w14:paraId="4B25BF0B" w14:textId="77777777" w:rsidR="00772C48" w:rsidRPr="000B67EC" w:rsidRDefault="00772C48" w:rsidP="000B67EC">
            <w:pPr>
              <w:spacing w:after="0" w:line="240" w:lineRule="auto"/>
              <w:ind w:firstLine="0"/>
              <w:jc w:val="center"/>
              <w:rPr>
                <w:rFonts w:eastAsia="Times New Roman" w:cs="Arial"/>
                <w:b/>
                <w:bCs/>
                <w:color w:val="FFFFFF" w:themeColor="background1"/>
                <w:sz w:val="20"/>
                <w:szCs w:val="20"/>
                <w:lang w:eastAsia="lt-LT"/>
              </w:rPr>
            </w:pPr>
            <w:r w:rsidRPr="000B67EC">
              <w:rPr>
                <w:rFonts w:eastAsia="Times New Roman" w:cs="Arial"/>
                <w:b/>
                <w:bCs/>
                <w:color w:val="FFFFFF" w:themeColor="background1"/>
                <w:sz w:val="20"/>
                <w:szCs w:val="20"/>
                <w:lang w:eastAsia="lt-LT"/>
              </w:rPr>
              <w:t>Finansavimo lėšų šaltinis</w:t>
            </w:r>
          </w:p>
        </w:tc>
        <w:tc>
          <w:tcPr>
            <w:tcW w:w="1397" w:type="dxa"/>
            <w:tcBorders>
              <w:left w:val="nil"/>
              <w:right w:val="nil"/>
            </w:tcBorders>
            <w:shd w:val="clear" w:color="000000" w:fill="4472C4"/>
            <w:vAlign w:val="center"/>
          </w:tcPr>
          <w:p w14:paraId="021EF8F1" w14:textId="77777777" w:rsidR="00772C48" w:rsidRPr="000B67EC" w:rsidRDefault="00772C48" w:rsidP="006F5765">
            <w:pPr>
              <w:spacing w:after="0" w:line="240" w:lineRule="auto"/>
              <w:ind w:firstLine="0"/>
              <w:jc w:val="center"/>
              <w:rPr>
                <w:rFonts w:eastAsia="Times New Roman" w:cs="Arial"/>
                <w:b/>
                <w:bCs/>
                <w:color w:val="FFFFFF" w:themeColor="background1"/>
                <w:sz w:val="20"/>
                <w:szCs w:val="20"/>
                <w:lang w:eastAsia="lt-LT"/>
              </w:rPr>
            </w:pPr>
            <w:r w:rsidRPr="000B67EC">
              <w:rPr>
                <w:rFonts w:eastAsia="Times New Roman" w:cs="Arial"/>
                <w:b/>
                <w:bCs/>
                <w:color w:val="FFFFFF" w:themeColor="background1"/>
                <w:sz w:val="20"/>
                <w:szCs w:val="20"/>
                <w:lang w:eastAsia="lt-LT"/>
              </w:rPr>
              <w:t>Investicijų suma, Eur</w:t>
            </w:r>
          </w:p>
        </w:tc>
        <w:tc>
          <w:tcPr>
            <w:tcW w:w="4531" w:type="dxa"/>
            <w:tcBorders>
              <w:left w:val="nil"/>
              <w:right w:val="nil"/>
            </w:tcBorders>
            <w:shd w:val="clear" w:color="000000" w:fill="4472C4"/>
            <w:vAlign w:val="center"/>
          </w:tcPr>
          <w:p w14:paraId="7940F742" w14:textId="77777777" w:rsidR="00772C48" w:rsidRPr="000B67EC" w:rsidRDefault="00772C48" w:rsidP="000B67EC">
            <w:pPr>
              <w:spacing w:after="0" w:line="240" w:lineRule="auto"/>
              <w:ind w:firstLine="0"/>
              <w:rPr>
                <w:rFonts w:eastAsia="Times New Roman" w:cs="Arial"/>
                <w:b/>
                <w:bCs/>
                <w:color w:val="FFFFFF" w:themeColor="background1"/>
                <w:sz w:val="20"/>
                <w:szCs w:val="20"/>
                <w:lang w:eastAsia="lt-LT"/>
              </w:rPr>
            </w:pPr>
            <w:r w:rsidRPr="000B67EC">
              <w:rPr>
                <w:rFonts w:eastAsia="Times New Roman" w:cs="Arial"/>
                <w:b/>
                <w:bCs/>
                <w:color w:val="FFFFFF" w:themeColor="background1"/>
                <w:sz w:val="20"/>
                <w:szCs w:val="20"/>
                <w:lang w:eastAsia="lt-LT"/>
              </w:rPr>
              <w:t>Sąsaja su projektu, dėl kurio teikiamas projektinis pasiūlymas</w:t>
            </w:r>
          </w:p>
        </w:tc>
      </w:tr>
      <w:tr w:rsidR="000B67EC" w:rsidRPr="000B67EC" w14:paraId="47574A8E" w14:textId="77777777" w:rsidTr="000B67EC">
        <w:trPr>
          <w:trHeight w:val="288"/>
          <w:jc w:val="center"/>
        </w:trPr>
        <w:tc>
          <w:tcPr>
            <w:tcW w:w="517" w:type="dxa"/>
            <w:vAlign w:val="center"/>
          </w:tcPr>
          <w:p w14:paraId="4D515CAC" w14:textId="7A947691" w:rsidR="00772C48" w:rsidRPr="000B67EC" w:rsidRDefault="00772C48" w:rsidP="006F5765">
            <w:pPr>
              <w:spacing w:after="0" w:line="240" w:lineRule="auto"/>
              <w:ind w:firstLine="0"/>
              <w:jc w:val="center"/>
              <w:rPr>
                <w:rFonts w:eastAsia="Times New Roman" w:cs="Arial"/>
                <w:color w:val="auto"/>
                <w:sz w:val="20"/>
                <w:szCs w:val="20"/>
                <w:lang w:eastAsia="lt-LT"/>
              </w:rPr>
            </w:pPr>
            <w:r w:rsidRPr="000B67EC">
              <w:rPr>
                <w:rFonts w:eastAsia="Times New Roman" w:cs="Arial"/>
                <w:color w:val="auto"/>
                <w:sz w:val="20"/>
                <w:szCs w:val="20"/>
                <w:lang w:eastAsia="lt-LT"/>
              </w:rPr>
              <w:t>1</w:t>
            </w:r>
            <w:r w:rsidR="000B67EC">
              <w:rPr>
                <w:rFonts w:eastAsia="Times New Roman" w:cs="Arial"/>
                <w:color w:val="auto"/>
                <w:sz w:val="20"/>
                <w:szCs w:val="20"/>
                <w:lang w:eastAsia="lt-LT"/>
              </w:rPr>
              <w:t>.</w:t>
            </w:r>
          </w:p>
        </w:tc>
        <w:tc>
          <w:tcPr>
            <w:tcW w:w="2034" w:type="dxa"/>
            <w:vAlign w:val="center"/>
          </w:tcPr>
          <w:p w14:paraId="455D1F6E" w14:textId="453FD7B1" w:rsidR="00772C48" w:rsidRPr="000B67EC" w:rsidRDefault="0042648B" w:rsidP="006F5765">
            <w:pPr>
              <w:ind w:firstLine="0"/>
              <w:jc w:val="left"/>
              <w:rPr>
                <w:rFonts w:eastAsia="Times New Roman" w:cs="Arial"/>
                <w:b/>
                <w:bCs/>
                <w:color w:val="auto"/>
                <w:sz w:val="20"/>
                <w:szCs w:val="20"/>
                <w:lang w:eastAsia="lt-LT"/>
              </w:rPr>
            </w:pPr>
            <w:r w:rsidRPr="000B67EC">
              <w:rPr>
                <w:rFonts w:cs="Arial"/>
                <w:b/>
                <w:bCs/>
                <w:color w:val="auto"/>
                <w:sz w:val="20"/>
                <w:szCs w:val="20"/>
              </w:rPr>
              <w:t>Tankiai apgyvendintos urbanizuotos Statybininkų gyvenamųjų daugiabučių namų teritorijos dalies atgaivinimas, žalinimas ir funkcionalumo didinimas</w:t>
            </w:r>
          </w:p>
        </w:tc>
        <w:tc>
          <w:tcPr>
            <w:tcW w:w="1439" w:type="dxa"/>
            <w:shd w:val="clear" w:color="auto" w:fill="auto"/>
            <w:vAlign w:val="center"/>
            <w:hideMark/>
          </w:tcPr>
          <w:p w14:paraId="208B9CD9" w14:textId="65929F90" w:rsidR="00772C48" w:rsidRPr="000B67EC" w:rsidRDefault="00772C48" w:rsidP="000B67EC">
            <w:pPr>
              <w:spacing w:after="0" w:line="240" w:lineRule="auto"/>
              <w:ind w:firstLine="0"/>
              <w:jc w:val="center"/>
              <w:rPr>
                <w:rFonts w:eastAsia="Times New Roman" w:cs="Arial"/>
                <w:color w:val="auto"/>
                <w:sz w:val="20"/>
                <w:szCs w:val="20"/>
                <w:lang w:eastAsia="lt-LT"/>
              </w:rPr>
            </w:pPr>
            <w:r w:rsidRPr="000B67EC">
              <w:rPr>
                <w:rFonts w:cs="Arial"/>
                <w:color w:val="auto"/>
                <w:sz w:val="20"/>
                <w:szCs w:val="20"/>
                <w:shd w:val="clear" w:color="auto" w:fill="FFFFFF"/>
              </w:rPr>
              <w:t>Europos regioninės plėtros fondo lėšomis</w:t>
            </w:r>
            <w:r w:rsidR="00933451" w:rsidRPr="000B67EC">
              <w:rPr>
                <w:rFonts w:cs="Arial"/>
                <w:color w:val="auto"/>
                <w:sz w:val="20"/>
                <w:szCs w:val="20"/>
                <w:shd w:val="clear" w:color="auto" w:fill="FFFFFF"/>
              </w:rPr>
              <w:t xml:space="preserve"> ir savivaldybės lėšomis</w:t>
            </w:r>
          </w:p>
        </w:tc>
        <w:tc>
          <w:tcPr>
            <w:tcW w:w="1397" w:type="dxa"/>
            <w:vAlign w:val="center"/>
          </w:tcPr>
          <w:p w14:paraId="270CFB2A" w14:textId="290D67EF" w:rsidR="00772C48" w:rsidRPr="000B67EC" w:rsidRDefault="00E57EC3" w:rsidP="00C060C3">
            <w:pPr>
              <w:ind w:firstLine="0"/>
              <w:jc w:val="center"/>
              <w:rPr>
                <w:rFonts w:cs="Arial"/>
                <w:color w:val="auto"/>
                <w:sz w:val="20"/>
                <w:szCs w:val="20"/>
              </w:rPr>
            </w:pPr>
            <w:r w:rsidRPr="000B67EC">
              <w:rPr>
                <w:rFonts w:cs="Arial"/>
                <w:color w:val="auto"/>
                <w:sz w:val="20"/>
                <w:szCs w:val="20"/>
              </w:rPr>
              <w:t>2 500 000,00</w:t>
            </w:r>
          </w:p>
        </w:tc>
        <w:tc>
          <w:tcPr>
            <w:tcW w:w="4531" w:type="dxa"/>
            <w:vAlign w:val="center"/>
          </w:tcPr>
          <w:p w14:paraId="380C34ED" w14:textId="03051DB9" w:rsidR="00772C48" w:rsidRPr="000B67EC" w:rsidRDefault="009C060A" w:rsidP="000B67EC">
            <w:pPr>
              <w:spacing w:after="0" w:line="240" w:lineRule="auto"/>
              <w:ind w:firstLine="0"/>
              <w:rPr>
                <w:rFonts w:eastAsia="Times New Roman" w:cs="Arial"/>
                <w:color w:val="auto"/>
                <w:sz w:val="20"/>
                <w:szCs w:val="20"/>
                <w:lang w:eastAsia="lt-LT"/>
              </w:rPr>
            </w:pPr>
            <w:r w:rsidRPr="000B67EC">
              <w:rPr>
                <w:rFonts w:eastAsia="Times New Roman" w:cs="Arial"/>
                <w:color w:val="auto"/>
                <w:sz w:val="20"/>
                <w:szCs w:val="20"/>
                <w:lang w:eastAsia="lt-LT"/>
              </w:rPr>
              <w:t xml:space="preserve">Statybininkų gyvenamųjų daugiabučių namų teritorijos dalies atgaivinimas, žalinimas ir funkcionalumo didinimas Utenos miesto Statybininkų daugiabučių namų mikrorajono dalies teritorijos (kurią riboja Lauko g., Sėlių g., Statybininkų g., Vaižganto g., Utenos Dauniškio gimnazijos stadionas) atgaivinimas, humanizuojant viešąsias erdves pagal universalaus dizaino principus: modernizuojant privažiuojamuosius kelius, stovėjimo aikšteles/stovėjimo vietas ir pėsčiųjų takus pagal universalaus dizaino ir žalinimo principus; įrengiant automobilių stovėjimo vietas, skirtas asmenims su negalia; paskirstant eismo srautus ir sukuriant sąlygas sumažinti eismo greitį kvartalo viduje; formuojant pėsčiųjų, poilsio zonas atskirtas nuo gatvių važiuojamosios dalies; sukuriant tarp namų apšviestas bendruomenių zonas/salas su žaidimų aikštelėmis ir poilsio infrastruktūra, prieinamas įvairaus amžiaus žmonėms bei suburiančias įvairių interesų bei amžiaus grupes, kartu prisitaikant prie esamų želdinių, juos išsaugant; įrengiant apšvietimą, </w:t>
            </w:r>
            <w:r w:rsidRPr="000B67EC">
              <w:rPr>
                <w:rFonts w:eastAsia="Times New Roman" w:cs="Arial"/>
                <w:color w:val="auto"/>
                <w:sz w:val="20"/>
                <w:szCs w:val="20"/>
                <w:lang w:eastAsia="lt-LT"/>
              </w:rPr>
              <w:lastRenderedPageBreak/>
              <w:t>įrengiant bendro naudojimo dviračių saugyklas; kitos prieinamumui didinti reikalingos viešosios infrastruktūros įrengimas.</w:t>
            </w:r>
          </w:p>
        </w:tc>
      </w:tr>
      <w:tr w:rsidR="000B67EC" w:rsidRPr="000B67EC" w14:paraId="33FB866C" w14:textId="77777777" w:rsidTr="000B67EC">
        <w:trPr>
          <w:trHeight w:val="288"/>
          <w:jc w:val="center"/>
        </w:trPr>
        <w:tc>
          <w:tcPr>
            <w:tcW w:w="517" w:type="dxa"/>
            <w:vAlign w:val="center"/>
          </w:tcPr>
          <w:p w14:paraId="6F8C019F" w14:textId="1A4A5760" w:rsidR="009C060A" w:rsidRPr="000B67EC" w:rsidRDefault="00A11236" w:rsidP="006F5765">
            <w:pPr>
              <w:spacing w:after="0" w:line="240" w:lineRule="auto"/>
              <w:ind w:firstLine="0"/>
              <w:jc w:val="center"/>
              <w:rPr>
                <w:rFonts w:eastAsia="Times New Roman" w:cs="Arial"/>
                <w:color w:val="auto"/>
                <w:sz w:val="20"/>
                <w:szCs w:val="20"/>
                <w:lang w:eastAsia="lt-LT"/>
              </w:rPr>
            </w:pPr>
            <w:r w:rsidRPr="000B67EC">
              <w:rPr>
                <w:rFonts w:eastAsia="Times New Roman" w:cs="Arial"/>
                <w:color w:val="auto"/>
                <w:sz w:val="20"/>
                <w:szCs w:val="20"/>
                <w:lang w:eastAsia="lt-LT"/>
              </w:rPr>
              <w:lastRenderedPageBreak/>
              <w:t>2.</w:t>
            </w:r>
          </w:p>
        </w:tc>
        <w:tc>
          <w:tcPr>
            <w:tcW w:w="2034" w:type="dxa"/>
            <w:vAlign w:val="center"/>
          </w:tcPr>
          <w:p w14:paraId="692733B2" w14:textId="2B4770A1" w:rsidR="009C060A" w:rsidRPr="000B67EC" w:rsidRDefault="00BC2CE3" w:rsidP="006F5765">
            <w:pPr>
              <w:ind w:firstLine="0"/>
              <w:jc w:val="left"/>
              <w:rPr>
                <w:rFonts w:cs="Arial"/>
                <w:b/>
                <w:bCs/>
                <w:color w:val="auto"/>
                <w:sz w:val="20"/>
                <w:szCs w:val="20"/>
              </w:rPr>
            </w:pPr>
            <w:r w:rsidRPr="000B67EC">
              <w:rPr>
                <w:rFonts w:cs="Arial"/>
                <w:b/>
                <w:bCs/>
                <w:color w:val="auto"/>
                <w:sz w:val="20"/>
                <w:szCs w:val="20"/>
              </w:rPr>
              <w:t>Tankiai apgyvendintos urbanizuotos Vyturių gyvenamųjų daugiabučių namų teritorijos dalies atgaivinimas, žalinimas ir funkcionalumo didinimas</w:t>
            </w:r>
          </w:p>
        </w:tc>
        <w:tc>
          <w:tcPr>
            <w:tcW w:w="1439" w:type="dxa"/>
            <w:shd w:val="clear" w:color="auto" w:fill="auto"/>
            <w:vAlign w:val="center"/>
          </w:tcPr>
          <w:p w14:paraId="1FF730B9" w14:textId="64D6837B" w:rsidR="009C060A" w:rsidRPr="000B67EC" w:rsidRDefault="003D0DD0" w:rsidP="000B67EC">
            <w:pPr>
              <w:spacing w:after="0" w:line="240" w:lineRule="auto"/>
              <w:ind w:firstLine="0"/>
              <w:jc w:val="center"/>
              <w:rPr>
                <w:rFonts w:cs="Arial"/>
                <w:color w:val="auto"/>
                <w:sz w:val="20"/>
                <w:szCs w:val="20"/>
                <w:shd w:val="clear" w:color="auto" w:fill="FFFFFF"/>
              </w:rPr>
            </w:pPr>
            <w:r w:rsidRPr="000B67EC">
              <w:rPr>
                <w:rFonts w:cs="Arial"/>
                <w:color w:val="auto"/>
                <w:sz w:val="20"/>
                <w:szCs w:val="20"/>
                <w:shd w:val="clear" w:color="auto" w:fill="FFFFFF"/>
              </w:rPr>
              <w:t>Europos regioninės plėtros fondo lėšomis ir savivaldybės lėšomis</w:t>
            </w:r>
          </w:p>
        </w:tc>
        <w:tc>
          <w:tcPr>
            <w:tcW w:w="1397" w:type="dxa"/>
            <w:vAlign w:val="center"/>
          </w:tcPr>
          <w:p w14:paraId="6914E2C0" w14:textId="4CF77997" w:rsidR="009C060A" w:rsidRPr="000B67EC" w:rsidRDefault="003D0DD0" w:rsidP="00C060C3">
            <w:pPr>
              <w:ind w:firstLine="0"/>
              <w:jc w:val="center"/>
              <w:rPr>
                <w:rFonts w:cs="Arial"/>
                <w:color w:val="auto"/>
                <w:sz w:val="20"/>
                <w:szCs w:val="20"/>
              </w:rPr>
            </w:pPr>
            <w:r w:rsidRPr="000B67EC">
              <w:rPr>
                <w:rFonts w:cs="Arial"/>
                <w:color w:val="auto"/>
                <w:sz w:val="20"/>
                <w:szCs w:val="20"/>
              </w:rPr>
              <w:t>3 000 000,00</w:t>
            </w:r>
          </w:p>
        </w:tc>
        <w:tc>
          <w:tcPr>
            <w:tcW w:w="4531" w:type="dxa"/>
            <w:vAlign w:val="center"/>
          </w:tcPr>
          <w:p w14:paraId="614BCCC5" w14:textId="223E036E" w:rsidR="009C060A" w:rsidRPr="000B67EC" w:rsidRDefault="00BC2CE3" w:rsidP="000B67EC">
            <w:pPr>
              <w:spacing w:after="0" w:line="240" w:lineRule="auto"/>
              <w:ind w:firstLine="0"/>
              <w:rPr>
                <w:rFonts w:eastAsia="Times New Roman" w:cs="Arial"/>
                <w:color w:val="auto"/>
                <w:sz w:val="20"/>
                <w:szCs w:val="20"/>
                <w:lang w:eastAsia="lt-LT"/>
              </w:rPr>
            </w:pPr>
            <w:r w:rsidRPr="000B67EC">
              <w:rPr>
                <w:rFonts w:eastAsia="Times New Roman" w:cs="Arial"/>
                <w:color w:val="auto"/>
                <w:sz w:val="20"/>
                <w:szCs w:val="20"/>
                <w:lang w:eastAsia="lt-LT"/>
              </w:rPr>
              <w:t>Utenos miesto Vyturių daugiabučių namų mikrorajono dalies teritorijos (kurią riboja J.</w:t>
            </w:r>
            <w:r w:rsidR="00E57A5D">
              <w:rPr>
                <w:rFonts w:eastAsia="Times New Roman" w:cs="Arial"/>
                <w:color w:val="auto"/>
                <w:sz w:val="20"/>
                <w:szCs w:val="20"/>
                <w:lang w:eastAsia="lt-LT"/>
              </w:rPr>
              <w:t xml:space="preserve"> </w:t>
            </w:r>
            <w:r w:rsidRPr="000B67EC">
              <w:rPr>
                <w:rFonts w:eastAsia="Times New Roman" w:cs="Arial"/>
                <w:color w:val="auto"/>
                <w:sz w:val="20"/>
                <w:szCs w:val="20"/>
                <w:lang w:eastAsia="lt-LT"/>
              </w:rPr>
              <w:t>Basanavičiaus g., Vaižganto g., Lauko skg., Utenos Vyturių progimnazija, Lauko g.) atgaivinimas, humanizuojant viešąsias erdves pagal universalaus dizaino principus: modernizuojant privažiuojamuosius kelius, stovėjimo aikšteles/stovėjimo vietas ir pėsčiųjų takus pagal universalaus dizaino ir žalinimo principus; įrengiant automobilių stovėjimo vietas, skirtas asmenims su negalia; paskirstant eismo srautus ir sukuriant sąlygas sumažinti eismo greitį kvartalo viduje; formuojant pėsčiųjų, poilsio zonas atskirtas nuo gatvių važiuojamosios dalies; sukuriant tarp namų apšviestas bendruomenių zonas/salas su žaidimų aikštelėmis ir poilsio infrastruktūra, prieinamas įvairaus amžiaus žmonėms bei suburiančias įvairių interesų bei amžiaus grupes, kartu prisitaikant prie esamų želdinių, juos išsaugant; įrengiant apšvietimą, modernizuojant Utenos Vyturių progimnazijos stadioną, žaidimų aikštelės ir prieigas, įrengiant bendro naudojimo dviračių saugyklas; kitos prieinamumui didinti reikalingos viešosios infrastruktūros įrengimas.</w:t>
            </w:r>
          </w:p>
        </w:tc>
      </w:tr>
      <w:tr w:rsidR="000B67EC" w:rsidRPr="000B67EC" w14:paraId="4F369600" w14:textId="77777777" w:rsidTr="000B67EC">
        <w:trPr>
          <w:trHeight w:val="288"/>
          <w:jc w:val="center"/>
        </w:trPr>
        <w:tc>
          <w:tcPr>
            <w:tcW w:w="517" w:type="dxa"/>
            <w:vAlign w:val="center"/>
          </w:tcPr>
          <w:p w14:paraId="3D98EC2F" w14:textId="6994F271" w:rsidR="009C060A" w:rsidRPr="000B67EC" w:rsidRDefault="00A11236" w:rsidP="006F5765">
            <w:pPr>
              <w:spacing w:after="0" w:line="240" w:lineRule="auto"/>
              <w:ind w:firstLine="0"/>
              <w:jc w:val="center"/>
              <w:rPr>
                <w:rFonts w:eastAsia="Times New Roman" w:cs="Arial"/>
                <w:color w:val="auto"/>
                <w:sz w:val="20"/>
                <w:szCs w:val="20"/>
                <w:lang w:eastAsia="lt-LT"/>
              </w:rPr>
            </w:pPr>
            <w:r w:rsidRPr="000B67EC">
              <w:rPr>
                <w:rFonts w:eastAsia="Times New Roman" w:cs="Arial"/>
                <w:color w:val="auto"/>
                <w:sz w:val="20"/>
                <w:szCs w:val="20"/>
                <w:lang w:eastAsia="lt-LT"/>
              </w:rPr>
              <w:t>3.</w:t>
            </w:r>
          </w:p>
        </w:tc>
        <w:tc>
          <w:tcPr>
            <w:tcW w:w="2034" w:type="dxa"/>
            <w:vAlign w:val="center"/>
          </w:tcPr>
          <w:p w14:paraId="2EA99081" w14:textId="7079DAC3" w:rsidR="009C060A" w:rsidRPr="000B67EC" w:rsidRDefault="00A11236" w:rsidP="006F5765">
            <w:pPr>
              <w:ind w:firstLine="0"/>
              <w:jc w:val="left"/>
              <w:rPr>
                <w:rFonts w:cs="Arial"/>
                <w:b/>
                <w:bCs/>
                <w:color w:val="auto"/>
                <w:sz w:val="20"/>
                <w:szCs w:val="20"/>
              </w:rPr>
            </w:pPr>
            <w:r w:rsidRPr="000B67EC">
              <w:rPr>
                <w:rFonts w:cs="Arial"/>
                <w:b/>
                <w:bCs/>
                <w:color w:val="auto"/>
                <w:sz w:val="20"/>
                <w:szCs w:val="20"/>
              </w:rPr>
              <w:t>Smėlynės parko ir prieigų atgaivinimas bei pritaikymas bendruomenės poreikiams</w:t>
            </w:r>
          </w:p>
        </w:tc>
        <w:tc>
          <w:tcPr>
            <w:tcW w:w="1439" w:type="dxa"/>
            <w:shd w:val="clear" w:color="auto" w:fill="auto"/>
            <w:vAlign w:val="center"/>
          </w:tcPr>
          <w:p w14:paraId="3A197F01" w14:textId="147EE43F" w:rsidR="009C060A" w:rsidRPr="000B67EC" w:rsidRDefault="003D0DD0" w:rsidP="000B67EC">
            <w:pPr>
              <w:spacing w:after="0" w:line="240" w:lineRule="auto"/>
              <w:ind w:firstLine="0"/>
              <w:jc w:val="center"/>
              <w:rPr>
                <w:rFonts w:cs="Arial"/>
                <w:color w:val="auto"/>
                <w:sz w:val="20"/>
                <w:szCs w:val="20"/>
                <w:shd w:val="clear" w:color="auto" w:fill="FFFFFF"/>
              </w:rPr>
            </w:pPr>
            <w:r w:rsidRPr="000B67EC">
              <w:rPr>
                <w:rFonts w:cs="Arial"/>
                <w:color w:val="auto"/>
                <w:sz w:val="20"/>
                <w:szCs w:val="20"/>
                <w:shd w:val="clear" w:color="auto" w:fill="FFFFFF"/>
              </w:rPr>
              <w:t>Europos regioninės plėtros fondo lėšomis ir savivaldybės lėšomis</w:t>
            </w:r>
          </w:p>
        </w:tc>
        <w:tc>
          <w:tcPr>
            <w:tcW w:w="1397" w:type="dxa"/>
            <w:vAlign w:val="center"/>
          </w:tcPr>
          <w:p w14:paraId="7F2A108B" w14:textId="6CD11D05" w:rsidR="009C060A" w:rsidRPr="000B67EC" w:rsidRDefault="0040365D" w:rsidP="00C060C3">
            <w:pPr>
              <w:ind w:firstLine="0"/>
              <w:jc w:val="center"/>
              <w:rPr>
                <w:rFonts w:cs="Arial"/>
                <w:color w:val="auto"/>
                <w:sz w:val="20"/>
                <w:szCs w:val="20"/>
              </w:rPr>
            </w:pPr>
            <w:r w:rsidRPr="000B67EC">
              <w:rPr>
                <w:rFonts w:cs="Arial"/>
                <w:color w:val="auto"/>
                <w:sz w:val="20"/>
                <w:szCs w:val="20"/>
              </w:rPr>
              <w:t>2 300 000,00</w:t>
            </w:r>
          </w:p>
        </w:tc>
        <w:tc>
          <w:tcPr>
            <w:tcW w:w="4531" w:type="dxa"/>
            <w:vAlign w:val="center"/>
          </w:tcPr>
          <w:p w14:paraId="0BC993C5" w14:textId="2CE45B0F" w:rsidR="009C060A" w:rsidRPr="000B67EC" w:rsidRDefault="00B93974" w:rsidP="000B67EC">
            <w:pPr>
              <w:spacing w:after="0" w:line="240" w:lineRule="auto"/>
              <w:ind w:firstLine="0"/>
              <w:rPr>
                <w:rFonts w:eastAsia="Times New Roman" w:cs="Arial"/>
                <w:color w:val="auto"/>
                <w:sz w:val="20"/>
                <w:szCs w:val="20"/>
                <w:lang w:eastAsia="lt-LT"/>
              </w:rPr>
            </w:pPr>
            <w:r w:rsidRPr="000B67EC">
              <w:rPr>
                <w:rFonts w:eastAsia="Times New Roman" w:cs="Arial"/>
                <w:color w:val="auto"/>
                <w:sz w:val="20"/>
                <w:szCs w:val="20"/>
                <w:lang w:eastAsia="lt-LT"/>
              </w:rPr>
              <w:t xml:space="preserve">Utenos miesto Smėlynės parko teritorijos ir prieigų (teritorija tarp </w:t>
            </w:r>
            <w:r w:rsidR="00C15C61">
              <w:rPr>
                <w:rFonts w:eastAsia="Times New Roman" w:cs="Arial"/>
                <w:color w:val="auto"/>
                <w:sz w:val="20"/>
                <w:szCs w:val="20"/>
                <w:lang w:eastAsia="lt-LT"/>
              </w:rPr>
              <w:t xml:space="preserve">J. </w:t>
            </w:r>
            <w:r w:rsidRPr="000B67EC">
              <w:rPr>
                <w:rFonts w:eastAsia="Times New Roman" w:cs="Arial"/>
                <w:color w:val="auto"/>
                <w:sz w:val="20"/>
                <w:szCs w:val="20"/>
                <w:lang w:eastAsia="lt-LT"/>
              </w:rPr>
              <w:t xml:space="preserve">Basanavičiaus g., Pušyno g., Metalo g., Smėlio g. ir Aukštaičių g.) atgaivinimas ir pritaikymas </w:t>
            </w:r>
            <w:proofErr w:type="spellStart"/>
            <w:r w:rsidRPr="000B67EC">
              <w:rPr>
                <w:rFonts w:eastAsia="Times New Roman" w:cs="Arial"/>
                <w:color w:val="auto"/>
                <w:sz w:val="20"/>
                <w:szCs w:val="20"/>
                <w:lang w:eastAsia="lt-LT"/>
              </w:rPr>
              <w:t>daugiatiksliam</w:t>
            </w:r>
            <w:proofErr w:type="spellEnd"/>
            <w:r w:rsidRPr="000B67EC">
              <w:rPr>
                <w:rFonts w:eastAsia="Times New Roman" w:cs="Arial"/>
                <w:color w:val="auto"/>
                <w:sz w:val="20"/>
                <w:szCs w:val="20"/>
                <w:lang w:eastAsia="lt-LT"/>
              </w:rPr>
              <w:t xml:space="preserve"> naudojimui, laikantis universalaus dizaino principų: 1. įvažiavimo į sklypą įrengimas, pėsčiųjų ir (ar) dviračių takų jungčių įrengimas; 2. trūkstamos inžinerinės infrastruktūros plėtra: elektros tinklų, apšvietimo įrengimas, automobilių stovėjimo vietų įrengimas; 3. želdynų ir kraštovaizdžio sutvarkymas, mažosios architektūros elementų įrengimas, informacinių stendų įrengimas, teritorijos pritaikymas asmenims su negalia; 4. įvairaus amžiaus vaikų žaidimo aikštelės įrengimas; 5. universalios sporto ir žaidimų salės (A++ energijos klasės, su būtina funkcionavimui infrastruktūra), skirtos vaikų formaliojo ir vaikų ir suaugusiųjų neformaliojo švietimo paslaugoms teikti, taip pat kitai socialinei veiklai vykdyti, statyba; 6. kitos lankymui ir veiklos vykdymui reikalingos viešosios infrastruktūros įrengimas.</w:t>
            </w:r>
          </w:p>
        </w:tc>
      </w:tr>
      <w:tr w:rsidR="000B67EC" w:rsidRPr="000B67EC" w14:paraId="7D175E7A" w14:textId="77777777" w:rsidTr="000B67EC">
        <w:trPr>
          <w:trHeight w:val="288"/>
          <w:jc w:val="center"/>
        </w:trPr>
        <w:tc>
          <w:tcPr>
            <w:tcW w:w="517" w:type="dxa"/>
            <w:vAlign w:val="center"/>
          </w:tcPr>
          <w:p w14:paraId="42711B7C" w14:textId="1E125363" w:rsidR="00A11236" w:rsidRPr="000B67EC" w:rsidRDefault="00777EBA" w:rsidP="006F5765">
            <w:pPr>
              <w:spacing w:after="0" w:line="240" w:lineRule="auto"/>
              <w:ind w:firstLine="0"/>
              <w:jc w:val="center"/>
              <w:rPr>
                <w:rFonts w:eastAsia="Times New Roman" w:cs="Arial"/>
                <w:color w:val="auto"/>
                <w:sz w:val="20"/>
                <w:szCs w:val="20"/>
                <w:lang w:eastAsia="lt-LT"/>
              </w:rPr>
            </w:pPr>
            <w:r w:rsidRPr="000B67EC">
              <w:rPr>
                <w:rFonts w:eastAsia="Times New Roman" w:cs="Arial"/>
                <w:color w:val="auto"/>
                <w:sz w:val="20"/>
                <w:szCs w:val="20"/>
                <w:lang w:eastAsia="lt-LT"/>
              </w:rPr>
              <w:t>4.</w:t>
            </w:r>
          </w:p>
        </w:tc>
        <w:tc>
          <w:tcPr>
            <w:tcW w:w="2034" w:type="dxa"/>
            <w:vAlign w:val="center"/>
          </w:tcPr>
          <w:p w14:paraId="08382E28" w14:textId="1DFF7367" w:rsidR="00A11236" w:rsidRPr="000B67EC" w:rsidRDefault="00A11236" w:rsidP="006F5765">
            <w:pPr>
              <w:ind w:firstLine="0"/>
              <w:jc w:val="left"/>
              <w:rPr>
                <w:rFonts w:cs="Arial"/>
                <w:b/>
                <w:bCs/>
                <w:color w:val="auto"/>
                <w:sz w:val="20"/>
                <w:szCs w:val="20"/>
              </w:rPr>
            </w:pPr>
            <w:r w:rsidRPr="000B67EC">
              <w:rPr>
                <w:rFonts w:cs="Arial"/>
                <w:b/>
                <w:bCs/>
                <w:color w:val="auto"/>
                <w:sz w:val="20"/>
                <w:szCs w:val="20"/>
              </w:rPr>
              <w:t xml:space="preserve">Teritorijos tarp Krašuonos parko, „Saulės“ gimnazijos ir Utenos dvaro atgaivinimas ir pritaikymas </w:t>
            </w:r>
            <w:r w:rsidRPr="000B67EC">
              <w:rPr>
                <w:rFonts w:cs="Arial"/>
                <w:b/>
                <w:bCs/>
                <w:color w:val="auto"/>
                <w:sz w:val="20"/>
                <w:szCs w:val="20"/>
              </w:rPr>
              <w:lastRenderedPageBreak/>
              <w:t>atviram gamtos centrui</w:t>
            </w:r>
          </w:p>
        </w:tc>
        <w:tc>
          <w:tcPr>
            <w:tcW w:w="1439" w:type="dxa"/>
            <w:shd w:val="clear" w:color="auto" w:fill="auto"/>
            <w:vAlign w:val="center"/>
          </w:tcPr>
          <w:p w14:paraId="6E4F5A4B" w14:textId="63070134" w:rsidR="00A11236" w:rsidRPr="000B67EC" w:rsidRDefault="003D0DD0" w:rsidP="000B67EC">
            <w:pPr>
              <w:spacing w:after="0" w:line="240" w:lineRule="auto"/>
              <w:ind w:firstLine="0"/>
              <w:jc w:val="center"/>
              <w:rPr>
                <w:rFonts w:cs="Arial"/>
                <w:color w:val="auto"/>
                <w:sz w:val="20"/>
                <w:szCs w:val="20"/>
                <w:shd w:val="clear" w:color="auto" w:fill="FFFFFF"/>
              </w:rPr>
            </w:pPr>
            <w:r w:rsidRPr="000B67EC">
              <w:rPr>
                <w:rFonts w:cs="Arial"/>
                <w:color w:val="auto"/>
                <w:sz w:val="20"/>
                <w:szCs w:val="20"/>
                <w:shd w:val="clear" w:color="auto" w:fill="FFFFFF"/>
              </w:rPr>
              <w:lastRenderedPageBreak/>
              <w:t>Europos regioninės plėtros fondo lėšomis ir savivaldybės lėšomis</w:t>
            </w:r>
          </w:p>
        </w:tc>
        <w:tc>
          <w:tcPr>
            <w:tcW w:w="1397" w:type="dxa"/>
            <w:vAlign w:val="center"/>
          </w:tcPr>
          <w:p w14:paraId="7547DE10" w14:textId="5C6C2264" w:rsidR="00A11236" w:rsidRPr="000B67EC" w:rsidRDefault="000B67EC" w:rsidP="00C060C3">
            <w:pPr>
              <w:ind w:firstLine="0"/>
              <w:jc w:val="center"/>
              <w:rPr>
                <w:rFonts w:cs="Arial"/>
                <w:color w:val="auto"/>
                <w:sz w:val="20"/>
                <w:szCs w:val="20"/>
              </w:rPr>
            </w:pPr>
            <w:r w:rsidRPr="000B67EC">
              <w:rPr>
                <w:rFonts w:cs="Arial"/>
                <w:color w:val="auto"/>
                <w:sz w:val="20"/>
                <w:szCs w:val="20"/>
              </w:rPr>
              <w:t>650 000,00</w:t>
            </w:r>
          </w:p>
        </w:tc>
        <w:tc>
          <w:tcPr>
            <w:tcW w:w="4531" w:type="dxa"/>
            <w:vAlign w:val="center"/>
          </w:tcPr>
          <w:p w14:paraId="611EFE87" w14:textId="35253842" w:rsidR="00A11236" w:rsidRPr="000B67EC" w:rsidRDefault="00777EBA" w:rsidP="000B67EC">
            <w:pPr>
              <w:spacing w:after="0" w:line="240" w:lineRule="auto"/>
              <w:ind w:firstLine="0"/>
              <w:rPr>
                <w:rFonts w:eastAsia="Times New Roman" w:cs="Arial"/>
                <w:color w:val="auto"/>
                <w:sz w:val="20"/>
                <w:szCs w:val="20"/>
                <w:lang w:eastAsia="lt-LT"/>
              </w:rPr>
            </w:pPr>
            <w:r w:rsidRPr="000B67EC">
              <w:rPr>
                <w:rFonts w:eastAsia="Times New Roman" w:cs="Arial"/>
                <w:color w:val="auto"/>
                <w:sz w:val="20"/>
                <w:szCs w:val="20"/>
                <w:lang w:eastAsia="lt-LT"/>
              </w:rPr>
              <w:t xml:space="preserve">Utenos miesto teritorijos tarp Krašuonos parko (nuo Krašuonos upės), „Saulės“ gimnazijos ir Utenos dvaro (iki Ladygos g.) atgaivinimas ir pritaikymas </w:t>
            </w:r>
            <w:proofErr w:type="spellStart"/>
            <w:r w:rsidRPr="000B67EC">
              <w:rPr>
                <w:rFonts w:eastAsia="Times New Roman" w:cs="Arial"/>
                <w:color w:val="auto"/>
                <w:sz w:val="20"/>
                <w:szCs w:val="20"/>
                <w:lang w:eastAsia="lt-LT"/>
              </w:rPr>
              <w:t>daugiatiksliam</w:t>
            </w:r>
            <w:proofErr w:type="spellEnd"/>
            <w:r w:rsidRPr="000B67EC">
              <w:rPr>
                <w:rFonts w:eastAsia="Times New Roman" w:cs="Arial"/>
                <w:color w:val="auto"/>
                <w:sz w:val="20"/>
                <w:szCs w:val="20"/>
                <w:lang w:eastAsia="lt-LT"/>
              </w:rPr>
              <w:t xml:space="preserve"> naudojimui - atviram gamtos centrui pagal universalaus dizaino principus: 1. pėsčiųjų ir/ar dviračių takų jungčių įrengimas, vidaus kelio modernizavimas, parkavimo vietų įrengimas; 2. viešojo geriamojo vandens stotelės įrengimas, elektros </w:t>
            </w:r>
            <w:r w:rsidRPr="000B67EC">
              <w:rPr>
                <w:rFonts w:eastAsia="Times New Roman" w:cs="Arial"/>
                <w:color w:val="auto"/>
                <w:sz w:val="20"/>
                <w:szCs w:val="20"/>
                <w:lang w:eastAsia="lt-LT"/>
              </w:rPr>
              <w:lastRenderedPageBreak/>
              <w:t>tinklų/apšvietimo jungčių įrengimas; 3. teritorijos žalinimas (atviro pažintinio sodo, daržo, vaistažolių ir kt. augalų įveisimas ir/ar šiltnamio stebėti ir mokytis įrengimas), basų pėdų tako įrengimas, vabalų viešbučio ir kt. gamtos pažinimui reikalingų elementų įrengimas, kraštovaizdžio ir želdynų prie Utenos dvaro sutvarkymas; 4. mažosios architektūros elementų įrengimas, informacinių stendų įrengimas, teritorijos pritaikymas asmenims su negalia; 5. kitos lankymui ir veiklos vykdymui reikalingos viešosios infrastruktūros įrengimas.</w:t>
            </w:r>
          </w:p>
        </w:tc>
      </w:tr>
    </w:tbl>
    <w:p w14:paraId="1CBF8F8C" w14:textId="3FA2C62E" w:rsidR="00CF2ECA" w:rsidRDefault="00BB334F" w:rsidP="00BB334F">
      <w:pPr>
        <w:spacing w:after="120" w:line="240" w:lineRule="auto"/>
        <w:ind w:firstLine="0"/>
        <w:jc w:val="center"/>
        <w:rPr>
          <w:i/>
          <w:iCs/>
          <w:sz w:val="20"/>
          <w:szCs w:val="20"/>
        </w:rPr>
      </w:pPr>
      <w:r w:rsidRPr="007C4F3A">
        <w:rPr>
          <w:i/>
          <w:iCs/>
          <w:sz w:val="20"/>
          <w:szCs w:val="20"/>
        </w:rPr>
        <w:lastRenderedPageBreak/>
        <w:t xml:space="preserve">Šaltinis: </w:t>
      </w:r>
      <w:r w:rsidRPr="007C4F3A">
        <w:rPr>
          <w:rStyle w:val="Komentaronuoroda"/>
          <w:i/>
          <w:iCs/>
          <w:sz w:val="20"/>
          <w:szCs w:val="20"/>
        </w:rPr>
        <w:t>s</w:t>
      </w:r>
      <w:r w:rsidRPr="007C4F3A">
        <w:rPr>
          <w:i/>
          <w:iCs/>
          <w:sz w:val="20"/>
          <w:szCs w:val="20"/>
        </w:rPr>
        <w:t>udaryta autorių</w:t>
      </w:r>
    </w:p>
    <w:p w14:paraId="4230878B" w14:textId="77777777" w:rsidR="00C50ACA" w:rsidRPr="007C4F3A" w:rsidRDefault="00C50ACA" w:rsidP="00BB334F">
      <w:pPr>
        <w:spacing w:after="120" w:line="240" w:lineRule="auto"/>
        <w:ind w:firstLine="0"/>
        <w:jc w:val="center"/>
        <w:rPr>
          <w:i/>
          <w:iCs/>
          <w:sz w:val="20"/>
          <w:szCs w:val="20"/>
        </w:rPr>
      </w:pPr>
    </w:p>
    <w:p w14:paraId="72AC9CA7" w14:textId="5C6C35E2" w:rsidR="006F1D33" w:rsidRPr="007C4F3A" w:rsidRDefault="004265F3" w:rsidP="00D67B2F">
      <w:pPr>
        <w:pStyle w:val="Poskyris"/>
      </w:pPr>
      <w:r>
        <w:tab/>
      </w:r>
      <w:bookmarkStart w:id="164" w:name="_Toc197939618"/>
      <w:r w:rsidR="006F1D33" w:rsidRPr="007C4F3A">
        <w:t>2.3. Tikslinės grupės ir poveikio ribos</w:t>
      </w:r>
      <w:bookmarkEnd w:id="147"/>
      <w:bookmarkEnd w:id="148"/>
      <w:bookmarkEnd w:id="161"/>
      <w:bookmarkEnd w:id="164"/>
    </w:p>
    <w:p w14:paraId="7D8E60E7" w14:textId="77777777" w:rsidR="00904ECB" w:rsidRPr="00AB4E0F" w:rsidRDefault="00904ECB" w:rsidP="00904ECB">
      <w:pPr>
        <w:spacing w:after="120" w:line="22" w:lineRule="atLeast"/>
        <w:rPr>
          <w:rFonts w:cs="Times New Roman"/>
          <w:bCs/>
          <w:color w:val="auto"/>
        </w:rPr>
      </w:pPr>
      <w:bookmarkStart w:id="165" w:name="_Toc161166265"/>
      <w:bookmarkStart w:id="166" w:name="_Toc172300311"/>
      <w:bookmarkStart w:id="167" w:name="_Toc180654874"/>
      <w:r w:rsidRPr="00AB4E0F">
        <w:rPr>
          <w:rFonts w:cs="Times New Roman"/>
          <w:bCs/>
          <w:color w:val="auto"/>
        </w:rPr>
        <w:t xml:space="preserve">Išanalizavus </w:t>
      </w:r>
      <w:r w:rsidRPr="00AB4E0F">
        <w:t xml:space="preserve">projekto pasiūlą ir paklausą Utenos </w:t>
      </w:r>
      <w:r w:rsidRPr="00AB4E0F">
        <w:rPr>
          <w:rFonts w:cs="Times New Roman"/>
          <w:bCs/>
          <w:color w:val="auto"/>
        </w:rPr>
        <w:t xml:space="preserve">rajono savivaldybėje, buvo identifikuota aktuali problema, kurią yra siekiama išspręsti projektu. Apibendrinant egzistuojančią paklausą ir pasiūlą, pateikiama tikslinė grupė, jos poreikiai ir </w:t>
      </w:r>
      <w:r w:rsidRPr="00AB4E0F">
        <w:t>laukiamas poveikis išskirtai tikslinei grupei</w:t>
      </w:r>
      <w:r w:rsidRPr="00AB4E0F">
        <w:rPr>
          <w:rFonts w:cs="Times New Roman"/>
          <w:bCs/>
          <w:color w:val="auto"/>
        </w:rPr>
        <w:t xml:space="preserve"> (žr. 2.3.1. lentelę).</w:t>
      </w:r>
    </w:p>
    <w:p w14:paraId="314AC205" w14:textId="77777777" w:rsidR="006F1D33" w:rsidRPr="007C4F3A" w:rsidRDefault="006F1D33" w:rsidP="000449A7">
      <w:pPr>
        <w:pStyle w:val="LentelsL"/>
        <w:spacing w:after="120" w:line="22" w:lineRule="atLeast"/>
        <w:rPr>
          <w:rFonts w:eastAsia="Cambria"/>
          <w:i/>
          <w:sz w:val="20"/>
          <w:szCs w:val="20"/>
        </w:rPr>
      </w:pPr>
      <w:bookmarkStart w:id="168" w:name="_Toc198807816"/>
      <w:r w:rsidRPr="007C4F3A">
        <w:rPr>
          <w:bCs/>
        </w:rPr>
        <w:t xml:space="preserve">2.3.1. lentelė. </w:t>
      </w:r>
      <w:r w:rsidRPr="007C4F3A">
        <w:t>Investicijų projekto tikslinė grupė ir poveikis jos lūkesčiams</w:t>
      </w:r>
      <w:bookmarkEnd w:id="165"/>
      <w:bookmarkEnd w:id="166"/>
      <w:bookmarkEnd w:id="167"/>
      <w:bookmarkEnd w:id="168"/>
    </w:p>
    <w:tbl>
      <w:tblPr>
        <w:tblStyle w:val="3sraolentel1parykinimas"/>
        <w:tblW w:w="4544" w:type="pct"/>
        <w:jc w:val="center"/>
        <w:tblLook w:val="04A0" w:firstRow="1" w:lastRow="0" w:firstColumn="1" w:lastColumn="0" w:noHBand="0" w:noVBand="1"/>
      </w:tblPr>
      <w:tblGrid>
        <w:gridCol w:w="1893"/>
        <w:gridCol w:w="3686"/>
        <w:gridCol w:w="3686"/>
      </w:tblGrid>
      <w:tr w:rsidR="000E52BF" w:rsidRPr="007C4F3A" w14:paraId="289522FD" w14:textId="67CB6F2E" w:rsidTr="000E52BF">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100" w:firstRow="0" w:lastRow="0" w:firstColumn="1" w:lastColumn="0" w:oddVBand="0" w:evenVBand="0" w:oddHBand="0" w:evenHBand="0" w:firstRowFirstColumn="1" w:firstRowLastColumn="0" w:lastRowFirstColumn="0" w:lastRowLastColumn="0"/>
            <w:tcW w:w="1022" w:type="pct"/>
            <w:vAlign w:val="center"/>
            <w:hideMark/>
          </w:tcPr>
          <w:p w14:paraId="2D7A3DD7" w14:textId="77777777" w:rsidR="000E52BF" w:rsidRPr="007C4F3A" w:rsidRDefault="000E52BF" w:rsidP="0007648B">
            <w:pPr>
              <w:spacing w:line="259" w:lineRule="auto"/>
              <w:ind w:firstLine="0"/>
              <w:jc w:val="center"/>
              <w:rPr>
                <w:rFonts w:cs="Arial"/>
                <w:color w:val="FFFFFF" w:themeColor="background1"/>
                <w:sz w:val="20"/>
                <w:szCs w:val="20"/>
                <w:lang w:val="lt-LT"/>
              </w:rPr>
            </w:pPr>
            <w:r w:rsidRPr="007C4F3A">
              <w:rPr>
                <w:rFonts w:cs="Arial"/>
                <w:color w:val="FFFFFF" w:themeColor="background1"/>
                <w:sz w:val="20"/>
                <w:szCs w:val="20"/>
                <w:lang w:val="lt-LT"/>
              </w:rPr>
              <w:t>Tikslinės grupės</w:t>
            </w:r>
          </w:p>
        </w:tc>
        <w:tc>
          <w:tcPr>
            <w:tcW w:w="1989" w:type="pct"/>
            <w:vAlign w:val="center"/>
            <w:hideMark/>
          </w:tcPr>
          <w:p w14:paraId="20A65845" w14:textId="10DB8797" w:rsidR="000E52BF" w:rsidRPr="007C4F3A" w:rsidRDefault="000E52BF" w:rsidP="0007648B">
            <w:pPr>
              <w:tabs>
                <w:tab w:val="center" w:pos="3185"/>
                <w:tab w:val="left" w:pos="5160"/>
              </w:tabs>
              <w:spacing w:line="259" w:lineRule="auto"/>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lang w:val="lt-LT"/>
              </w:rPr>
            </w:pPr>
            <w:r w:rsidRPr="007C4F3A">
              <w:rPr>
                <w:rFonts w:cs="Arial"/>
                <w:color w:val="FFFFFF" w:themeColor="background1"/>
                <w:sz w:val="20"/>
                <w:szCs w:val="20"/>
                <w:lang w:val="lt-LT"/>
              </w:rPr>
              <w:t>Tikslinių grupių poreikiai</w:t>
            </w:r>
          </w:p>
        </w:tc>
        <w:tc>
          <w:tcPr>
            <w:tcW w:w="1989" w:type="pct"/>
            <w:vAlign w:val="center"/>
          </w:tcPr>
          <w:p w14:paraId="02751886" w14:textId="114DC666" w:rsidR="000E52BF" w:rsidRPr="00434E2B" w:rsidRDefault="000E52BF" w:rsidP="0007648B">
            <w:pPr>
              <w:tabs>
                <w:tab w:val="center" w:pos="3185"/>
                <w:tab w:val="left" w:pos="5160"/>
              </w:tabs>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highlight w:val="yellow"/>
                <w:lang w:val="pt-PT"/>
              </w:rPr>
            </w:pPr>
            <w:r w:rsidRPr="0007648B">
              <w:rPr>
                <w:rFonts w:cs="Arial"/>
                <w:color w:val="F2F2F2" w:themeColor="background1" w:themeShade="F2"/>
                <w:sz w:val="20"/>
                <w:szCs w:val="20"/>
                <w:lang w:val="lt-LT"/>
              </w:rPr>
              <w:t>Investicijų projekto poveikis tikslinei grupei</w:t>
            </w:r>
          </w:p>
        </w:tc>
      </w:tr>
      <w:tr w:rsidR="000E52BF" w:rsidRPr="007C4F3A" w14:paraId="21C9D033" w14:textId="1E1CF537" w:rsidTr="000E5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2" w:type="pct"/>
          </w:tcPr>
          <w:p w14:paraId="7506859F" w14:textId="77777777" w:rsidR="000E52BF" w:rsidRDefault="000E52BF" w:rsidP="000E52BF">
            <w:pPr>
              <w:spacing w:line="259" w:lineRule="auto"/>
              <w:ind w:firstLine="0"/>
              <w:jc w:val="center"/>
              <w:rPr>
                <w:rFonts w:cs="Arial"/>
                <w:b w:val="0"/>
                <w:bCs w:val="0"/>
                <w:color w:val="auto"/>
                <w:sz w:val="20"/>
                <w:szCs w:val="20"/>
                <w:lang w:val="lt-LT"/>
              </w:rPr>
            </w:pPr>
            <w:r w:rsidRPr="00AB4E0F">
              <w:rPr>
                <w:rFonts w:cs="Arial"/>
                <w:color w:val="auto"/>
                <w:sz w:val="20"/>
                <w:szCs w:val="20"/>
                <w:lang w:val="lt-LT"/>
              </w:rPr>
              <w:t>Utenos rajono savivaldybės gyventojai</w:t>
            </w:r>
          </w:p>
          <w:p w14:paraId="097AB89F" w14:textId="109C959E" w:rsidR="000E52BF" w:rsidRPr="000E52BF" w:rsidRDefault="000E52BF" w:rsidP="000E52BF">
            <w:pPr>
              <w:ind w:firstLine="0"/>
              <w:jc w:val="center"/>
              <w:rPr>
                <w:rFonts w:eastAsia="Calibri" w:cs="Arial"/>
                <w:sz w:val="20"/>
                <w:szCs w:val="20"/>
                <w:lang w:val="lt-LT"/>
              </w:rPr>
            </w:pPr>
            <w:r>
              <w:rPr>
                <w:rFonts w:eastAsia="Calibri" w:cs="Arial"/>
                <w:sz w:val="20"/>
                <w:szCs w:val="20"/>
                <w:lang w:val="lt-LT" w:eastAsia="en-GB"/>
              </w:rPr>
              <w:t>(</w:t>
            </w:r>
            <w:r w:rsidRPr="00AB4E0F">
              <w:rPr>
                <w:rFonts w:eastAsia="Calibri" w:cs="Arial"/>
                <w:sz w:val="20"/>
                <w:szCs w:val="20"/>
                <w:lang w:val="lt-LT" w:eastAsia="en-GB"/>
              </w:rPr>
              <w:t>3</w:t>
            </w:r>
            <w:r w:rsidR="001C7450">
              <w:rPr>
                <w:rFonts w:eastAsia="Calibri" w:cs="Arial"/>
                <w:sz w:val="20"/>
                <w:szCs w:val="20"/>
                <w:lang w:val="lt-LT" w:eastAsia="en-GB"/>
              </w:rPr>
              <w:t>7 411</w:t>
            </w:r>
            <w:r>
              <w:rPr>
                <w:rFonts w:eastAsia="Calibri" w:cs="Arial"/>
                <w:sz w:val="20"/>
                <w:szCs w:val="20"/>
                <w:lang w:val="lt-LT"/>
              </w:rPr>
              <w:t>)</w:t>
            </w:r>
          </w:p>
        </w:tc>
        <w:tc>
          <w:tcPr>
            <w:tcW w:w="1989" w:type="pct"/>
          </w:tcPr>
          <w:p w14:paraId="0B1B3778" w14:textId="1548C98D" w:rsidR="000E52BF" w:rsidRPr="00DB423F" w:rsidRDefault="000E52BF" w:rsidP="007E62A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 w:val="20"/>
                <w:szCs w:val="20"/>
                <w:lang w:val="lt-LT"/>
              </w:rPr>
            </w:pPr>
            <w:r w:rsidRPr="00DB423F">
              <w:rPr>
                <w:rFonts w:cs="Arial"/>
                <w:sz w:val="20"/>
                <w:szCs w:val="20"/>
                <w:lang w:val="lt-LT" w:eastAsia="lt-LT"/>
              </w:rPr>
              <w:t xml:space="preserve">Poreikis – </w:t>
            </w:r>
            <w:r w:rsidR="00A30E12" w:rsidRPr="00A30E12">
              <w:rPr>
                <w:rFonts w:cs="Arial"/>
                <w:bCs/>
                <w:sz w:val="20"/>
                <w:szCs w:val="20"/>
                <w:lang w:val="lt-LT"/>
              </w:rPr>
              <w:t>viešųjų erdvių ir saugios viešosios infrastruktūros prieinamumo gerinimas</w:t>
            </w:r>
            <w:r w:rsidRPr="00DB423F">
              <w:rPr>
                <w:rFonts w:cs="Arial"/>
                <w:bCs/>
                <w:sz w:val="20"/>
                <w:szCs w:val="20"/>
                <w:lang w:val="lt-LT"/>
              </w:rPr>
              <w:t>:</w:t>
            </w:r>
          </w:p>
          <w:p w14:paraId="28F7FCB6" w14:textId="170E8ED8" w:rsidR="000E52BF" w:rsidRPr="00DB423F" w:rsidRDefault="000159BC" w:rsidP="000D7B26">
            <w:pPr>
              <w:pStyle w:val="Sraopastraipa"/>
              <w:numPr>
                <w:ilvl w:val="0"/>
                <w:numId w:val="8"/>
              </w:numPr>
              <w:autoSpaceDE w:val="0"/>
              <w:autoSpaceDN w:val="0"/>
              <w:adjustRightInd w:val="0"/>
              <w:spacing w:before="0" w:after="0" w:line="259" w:lineRule="auto"/>
              <w:ind w:left="246"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eastAsia="lt-LT"/>
              </w:rPr>
            </w:pPr>
            <w:r w:rsidRPr="00DB423F">
              <w:rPr>
                <w:rFonts w:ascii="Arial" w:eastAsia="Calibri" w:hAnsi="Arial" w:cs="Arial"/>
                <w:color w:val="auto"/>
                <w:sz w:val="20"/>
                <w:szCs w:val="20"/>
                <w:lang w:val="lt-LT"/>
              </w:rPr>
              <w:t>privažiavimo prie gyvenamųjų namų, automobilių stovėjimo vietų ir takų patogumas</w:t>
            </w:r>
            <w:r w:rsidR="000D64B7" w:rsidRPr="00DB423F">
              <w:rPr>
                <w:rFonts w:ascii="Arial" w:eastAsia="Calibri" w:hAnsi="Arial" w:cs="Arial"/>
                <w:color w:val="auto"/>
                <w:sz w:val="20"/>
                <w:szCs w:val="20"/>
                <w:lang w:val="lt-LT"/>
              </w:rPr>
              <w:t>;</w:t>
            </w:r>
          </w:p>
          <w:p w14:paraId="2D0A7672" w14:textId="248AB210" w:rsidR="000E52BF" w:rsidRPr="00DB423F" w:rsidRDefault="000159BC" w:rsidP="000D7B26">
            <w:pPr>
              <w:pStyle w:val="Sraopastraipa"/>
              <w:numPr>
                <w:ilvl w:val="0"/>
                <w:numId w:val="8"/>
              </w:numPr>
              <w:autoSpaceDE w:val="0"/>
              <w:autoSpaceDN w:val="0"/>
              <w:adjustRightInd w:val="0"/>
              <w:spacing w:before="0" w:after="0" w:line="259" w:lineRule="auto"/>
              <w:ind w:left="246"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eastAsia="lt-LT"/>
              </w:rPr>
            </w:pPr>
            <w:r w:rsidRPr="00DB423F">
              <w:rPr>
                <w:rFonts w:ascii="Arial" w:eastAsia="Times New Roman" w:hAnsi="Arial" w:cs="Arial"/>
                <w:color w:val="auto"/>
                <w:sz w:val="20"/>
                <w:szCs w:val="20"/>
                <w:lang w:val="lt-LT" w:eastAsia="lt-LT"/>
              </w:rPr>
              <w:t>saugūs ir želdynais apsodinti pėsčiųjų takai bei poilsio zonos</w:t>
            </w:r>
            <w:r w:rsidR="000D64B7" w:rsidRPr="00DB423F">
              <w:rPr>
                <w:rFonts w:ascii="Arial" w:eastAsia="Times New Roman" w:hAnsi="Arial" w:cs="Arial"/>
                <w:color w:val="auto"/>
                <w:sz w:val="20"/>
                <w:szCs w:val="20"/>
                <w:lang w:val="lt-LT" w:eastAsia="lt-LT"/>
              </w:rPr>
              <w:t>;</w:t>
            </w:r>
          </w:p>
          <w:p w14:paraId="39A4CDF6" w14:textId="77DDCF20" w:rsidR="000E52BF" w:rsidRPr="00DB423F" w:rsidRDefault="000D64B7" w:rsidP="000D7B26">
            <w:pPr>
              <w:pStyle w:val="Sraopastraipa"/>
              <w:numPr>
                <w:ilvl w:val="0"/>
                <w:numId w:val="8"/>
              </w:numPr>
              <w:autoSpaceDE w:val="0"/>
              <w:autoSpaceDN w:val="0"/>
              <w:adjustRightInd w:val="0"/>
              <w:spacing w:before="0" w:after="0" w:line="259" w:lineRule="auto"/>
              <w:ind w:left="246"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eastAsia="lt-LT"/>
              </w:rPr>
            </w:pPr>
            <w:r w:rsidRPr="00DB423F">
              <w:rPr>
                <w:rFonts w:ascii="Arial" w:eastAsia="Times New Roman" w:hAnsi="Arial" w:cs="Arial"/>
                <w:color w:val="auto"/>
                <w:sz w:val="20"/>
                <w:szCs w:val="20"/>
                <w:lang w:val="lt-LT" w:eastAsia="lt-LT"/>
              </w:rPr>
              <w:t>įtrauki infrastruktūra visoms amžiaus grupėms: žaidimų aikštelės, poilsio salos, bendruomenės erdvės;</w:t>
            </w:r>
          </w:p>
          <w:p w14:paraId="652B5C15" w14:textId="77777777" w:rsidR="000E52BF" w:rsidRPr="00DB423F" w:rsidRDefault="000D64B7" w:rsidP="00936A05">
            <w:pPr>
              <w:pStyle w:val="Sraopastraipa"/>
              <w:numPr>
                <w:ilvl w:val="0"/>
                <w:numId w:val="8"/>
              </w:numPr>
              <w:autoSpaceDE w:val="0"/>
              <w:autoSpaceDN w:val="0"/>
              <w:adjustRightInd w:val="0"/>
              <w:spacing w:before="0" w:after="0" w:line="259" w:lineRule="auto"/>
              <w:ind w:left="246"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eastAsia="lt-LT"/>
              </w:rPr>
            </w:pPr>
            <w:r w:rsidRPr="00DB423F">
              <w:rPr>
                <w:rFonts w:ascii="Arial" w:eastAsia="Times New Roman" w:hAnsi="Arial" w:cs="Arial"/>
                <w:color w:val="auto"/>
                <w:sz w:val="20"/>
                <w:szCs w:val="20"/>
                <w:lang w:val="lt-LT" w:eastAsia="lt-LT"/>
              </w:rPr>
              <w:t>prieinamumas ir infrastruktūros pritaikymas asmenims su negalia;</w:t>
            </w:r>
          </w:p>
          <w:p w14:paraId="7E1C6133" w14:textId="636B2DBD" w:rsidR="000D64B7" w:rsidRPr="00DB423F" w:rsidRDefault="00F100AF" w:rsidP="00936A05">
            <w:pPr>
              <w:pStyle w:val="Sraopastraipa"/>
              <w:numPr>
                <w:ilvl w:val="0"/>
                <w:numId w:val="8"/>
              </w:numPr>
              <w:autoSpaceDE w:val="0"/>
              <w:autoSpaceDN w:val="0"/>
              <w:adjustRightInd w:val="0"/>
              <w:spacing w:before="0" w:after="0" w:line="259" w:lineRule="auto"/>
              <w:ind w:left="246"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eastAsia="lt-LT"/>
              </w:rPr>
            </w:pPr>
            <w:r w:rsidRPr="00DB423F">
              <w:rPr>
                <w:rFonts w:ascii="Arial" w:hAnsi="Arial" w:cs="Arial"/>
                <w:sz w:val="20"/>
                <w:szCs w:val="20"/>
                <w:lang w:val="lt-LT" w:eastAsia="lt-LT"/>
              </w:rPr>
              <w:t>apšvietimas, saugumas, dviračių saugojimo galimybės.</w:t>
            </w:r>
          </w:p>
        </w:tc>
        <w:tc>
          <w:tcPr>
            <w:tcW w:w="1989" w:type="pct"/>
          </w:tcPr>
          <w:p w14:paraId="015D90E2" w14:textId="565E3666" w:rsidR="000E52BF" w:rsidRPr="00DB423F" w:rsidRDefault="0037693E" w:rsidP="00904ECB">
            <w:pPr>
              <w:pStyle w:val="Sraopastraipa"/>
              <w:numPr>
                <w:ilvl w:val="0"/>
                <w:numId w:val="8"/>
              </w:numPr>
              <w:autoSpaceDE w:val="0"/>
              <w:autoSpaceDN w:val="0"/>
              <w:adjustRightInd w:val="0"/>
              <w:spacing w:before="0" w:after="0"/>
              <w:ind w:left="32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rPr>
            </w:pPr>
            <w:r w:rsidRPr="00DB423F">
              <w:rPr>
                <w:rFonts w:ascii="Arial" w:hAnsi="Arial" w:cs="Arial"/>
                <w:sz w:val="20"/>
                <w:szCs w:val="20"/>
                <w:lang w:val="lt-LT"/>
              </w:rPr>
              <w:t>Infrastruktūra, sukurta pagal universalaus dizaino principus, bus tinkama naudotis vaikams, vyresnio amžiaus žmonėms ir asmenims su negalia;</w:t>
            </w:r>
          </w:p>
          <w:p w14:paraId="704DA12F" w14:textId="30AB0896" w:rsidR="000E52BF" w:rsidRPr="00DB423F" w:rsidRDefault="0037693E" w:rsidP="00904ECB">
            <w:pPr>
              <w:pStyle w:val="Sraopastraipa"/>
              <w:numPr>
                <w:ilvl w:val="0"/>
                <w:numId w:val="8"/>
              </w:numPr>
              <w:autoSpaceDE w:val="0"/>
              <w:autoSpaceDN w:val="0"/>
              <w:adjustRightInd w:val="0"/>
              <w:spacing w:before="0" w:after="0"/>
              <w:ind w:left="32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rPr>
            </w:pPr>
            <w:r w:rsidRPr="00DB423F">
              <w:rPr>
                <w:rFonts w:ascii="Arial" w:hAnsi="Arial" w:cs="Arial"/>
                <w:sz w:val="20"/>
                <w:szCs w:val="20"/>
                <w:lang w:val="lt-LT"/>
              </w:rPr>
              <w:t>Sukurtos ir modernizuotos viešosios erdvės pagerins judėjimo, susisiekimo ir poilsio sąlygas visiems gyventojams;</w:t>
            </w:r>
          </w:p>
          <w:p w14:paraId="57115909" w14:textId="77777777" w:rsidR="000E52BF" w:rsidRPr="00DB423F" w:rsidRDefault="00300915" w:rsidP="00904ECB">
            <w:pPr>
              <w:pStyle w:val="Sraopastraipa"/>
              <w:numPr>
                <w:ilvl w:val="0"/>
                <w:numId w:val="8"/>
              </w:numPr>
              <w:autoSpaceDE w:val="0"/>
              <w:autoSpaceDN w:val="0"/>
              <w:adjustRightInd w:val="0"/>
              <w:spacing w:before="0" w:after="0"/>
              <w:ind w:left="32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rPr>
            </w:pPr>
            <w:r w:rsidRPr="00DB423F">
              <w:rPr>
                <w:rFonts w:ascii="Arial" w:hAnsi="Arial" w:cs="Arial"/>
                <w:sz w:val="20"/>
                <w:szCs w:val="20"/>
                <w:lang w:val="lt-LT"/>
              </w:rPr>
              <w:t>Atsiradus daugiau žalumos ir poilsio erdvių tarp daugiabučių, didės bendruomenės tarpusavio ryšys ir gyvenimo kokybė;</w:t>
            </w:r>
          </w:p>
          <w:p w14:paraId="57F8136C" w14:textId="450ADA0F" w:rsidR="00300915" w:rsidRPr="00DB423F" w:rsidRDefault="00300915" w:rsidP="00904ECB">
            <w:pPr>
              <w:pStyle w:val="Sraopastraipa"/>
              <w:numPr>
                <w:ilvl w:val="0"/>
                <w:numId w:val="8"/>
              </w:numPr>
              <w:autoSpaceDE w:val="0"/>
              <w:autoSpaceDN w:val="0"/>
              <w:adjustRightInd w:val="0"/>
              <w:spacing w:before="0" w:after="0"/>
              <w:ind w:left="32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lt-LT"/>
              </w:rPr>
            </w:pPr>
            <w:r w:rsidRPr="00DB423F">
              <w:rPr>
                <w:rFonts w:ascii="Arial" w:hAnsi="Arial" w:cs="Arial"/>
                <w:sz w:val="20"/>
                <w:szCs w:val="20"/>
                <w:lang w:val="lt-LT"/>
              </w:rPr>
              <w:t xml:space="preserve">Gerai suplanuotas apšvietimas ir eismo srautų mažinimas didins saugumą </w:t>
            </w:r>
            <w:r w:rsidR="00B50F60">
              <w:rPr>
                <w:rFonts w:ascii="Arial" w:hAnsi="Arial" w:cs="Arial"/>
                <w:sz w:val="20"/>
                <w:szCs w:val="20"/>
                <w:lang w:val="lt-LT"/>
              </w:rPr>
              <w:t xml:space="preserve">rajono </w:t>
            </w:r>
            <w:r w:rsidRPr="00DB423F">
              <w:rPr>
                <w:rFonts w:ascii="Arial" w:hAnsi="Arial" w:cs="Arial"/>
                <w:sz w:val="20"/>
                <w:szCs w:val="20"/>
                <w:lang w:val="lt-LT"/>
              </w:rPr>
              <w:t>viduje.</w:t>
            </w:r>
          </w:p>
        </w:tc>
      </w:tr>
    </w:tbl>
    <w:p w14:paraId="07734D4E" w14:textId="4B39580B" w:rsidR="006F1D33" w:rsidRDefault="006F1D33" w:rsidP="000449A7">
      <w:pPr>
        <w:spacing w:after="120" w:line="22" w:lineRule="atLeast"/>
        <w:ind w:firstLine="0"/>
        <w:jc w:val="center"/>
        <w:rPr>
          <w:rFonts w:eastAsia="Cambria"/>
          <w:i/>
          <w:sz w:val="20"/>
          <w:szCs w:val="20"/>
        </w:rPr>
      </w:pPr>
      <w:r w:rsidRPr="007C4F3A">
        <w:rPr>
          <w:i/>
          <w:iCs/>
          <w:sz w:val="20"/>
          <w:szCs w:val="20"/>
        </w:rPr>
        <w:t xml:space="preserve">Šaltinis: </w:t>
      </w:r>
      <w:r w:rsidRPr="007C4F3A">
        <w:rPr>
          <w:rFonts w:eastAsia="Cambria"/>
          <w:i/>
          <w:sz w:val="20"/>
          <w:szCs w:val="20"/>
        </w:rPr>
        <w:t>sudaryta autorių</w:t>
      </w:r>
    </w:p>
    <w:p w14:paraId="1FED8531" w14:textId="502C4A71" w:rsidR="00713D30" w:rsidRPr="007C4F3A" w:rsidRDefault="006F1D33" w:rsidP="00200C70">
      <w:pPr>
        <w:suppressAutoHyphens/>
        <w:autoSpaceDN w:val="0"/>
        <w:spacing w:before="120" w:after="120"/>
        <w:textAlignment w:val="baseline"/>
        <w:rPr>
          <w:rFonts w:eastAsia="Calibri" w:cs="Arial"/>
          <w:color w:val="auto"/>
          <w:szCs w:val="38"/>
          <w:lang w:eastAsia="en-GB"/>
        </w:rPr>
      </w:pPr>
      <w:bookmarkStart w:id="169" w:name="_Hlk178842224"/>
      <w:r w:rsidRPr="007C4F3A">
        <w:rPr>
          <w:rFonts w:eastAsia="Calibri" w:cs="Arial"/>
          <w:color w:val="auto"/>
          <w:szCs w:val="38"/>
          <w:lang w:eastAsia="en-GB"/>
        </w:rPr>
        <w:t xml:space="preserve">Remiantis atlikta problemų, kurioms spręsti yra rengiamas investicijų projektas, analize, nustatytos projekto </w:t>
      </w:r>
      <w:r w:rsidRPr="007C4F3A">
        <w:rPr>
          <w:rFonts w:eastAsia="Calibri" w:cs="Arial"/>
          <w:b/>
          <w:bCs/>
          <w:color w:val="auto"/>
          <w:szCs w:val="38"/>
          <w:lang w:eastAsia="en-GB"/>
        </w:rPr>
        <w:t>geografinės ribos</w:t>
      </w:r>
      <w:r w:rsidRPr="007C4F3A">
        <w:rPr>
          <w:rFonts w:eastAsia="Calibri" w:cs="Arial"/>
          <w:color w:val="auto"/>
          <w:szCs w:val="38"/>
          <w:lang w:eastAsia="en-GB"/>
        </w:rPr>
        <w:t xml:space="preserve"> –</w:t>
      </w:r>
      <w:r w:rsidR="00BD1A7B" w:rsidRPr="007C4F3A">
        <w:rPr>
          <w:rFonts w:eastAsia="Calibri" w:cs="Arial"/>
          <w:color w:val="auto"/>
          <w:szCs w:val="38"/>
          <w:lang w:eastAsia="en-GB"/>
        </w:rPr>
        <w:t xml:space="preserve"> </w:t>
      </w:r>
      <w:r w:rsidR="00533E6C" w:rsidRPr="00AB4E0F">
        <w:rPr>
          <w:rFonts w:eastAsia="Cambria" w:cs="Arial"/>
          <w:color w:val="auto"/>
          <w:lang w:eastAsia="en-GB"/>
        </w:rPr>
        <w:t>Utenos rajono savivaldybė</w:t>
      </w:r>
      <w:r w:rsidR="00D405F2" w:rsidRPr="007C4F3A">
        <w:rPr>
          <w:rFonts w:eastAsia="Calibri" w:cs="Arial"/>
          <w:color w:val="auto"/>
          <w:szCs w:val="38"/>
          <w:lang w:eastAsia="en-GB"/>
        </w:rPr>
        <w:t>.</w:t>
      </w:r>
      <w:bookmarkStart w:id="170" w:name="_Hlk178842235"/>
      <w:bookmarkEnd w:id="169"/>
    </w:p>
    <w:p w14:paraId="07ADA078" w14:textId="77777777" w:rsidR="00D405F2" w:rsidRPr="007C4F3A" w:rsidRDefault="006F1D33" w:rsidP="00D405F2">
      <w:pPr>
        <w:suppressAutoHyphens/>
        <w:autoSpaceDN w:val="0"/>
        <w:textAlignment w:val="baseline"/>
        <w:rPr>
          <w:rFonts w:eastAsia="Calibri" w:cs="Arial"/>
          <w:szCs w:val="38"/>
          <w:lang w:eastAsia="en-GB"/>
        </w:rPr>
      </w:pPr>
      <w:r w:rsidRPr="007C4F3A">
        <w:rPr>
          <w:rFonts w:eastAsia="Calibri" w:cs="Arial"/>
          <w:b/>
          <w:bCs/>
          <w:color w:val="auto"/>
          <w:szCs w:val="38"/>
          <w:lang w:eastAsia="en-GB"/>
        </w:rPr>
        <w:t>Teisinės projekto ribos</w:t>
      </w:r>
      <w:r w:rsidRPr="007C4F3A">
        <w:rPr>
          <w:rFonts w:eastAsia="Calibri" w:cs="Arial"/>
          <w:color w:val="auto"/>
          <w:szCs w:val="38"/>
          <w:lang w:eastAsia="en-GB"/>
        </w:rPr>
        <w:t xml:space="preserve">: </w:t>
      </w:r>
      <w:r w:rsidR="00D405F2" w:rsidRPr="007C4F3A">
        <w:rPr>
          <w:rFonts w:eastAsia="Calibri" w:cs="Arial"/>
          <w:szCs w:val="38"/>
          <w:lang w:eastAsia="en-GB"/>
        </w:rPr>
        <w:t>teisinės projekto ribos aprašytos projekto 1.3. poskyryje „Teisinė aplinka”.</w:t>
      </w:r>
    </w:p>
    <w:p w14:paraId="432086E9" w14:textId="6549FFF0" w:rsidR="006F1D33" w:rsidRPr="007C4F3A" w:rsidRDefault="00D405F2" w:rsidP="00D1747A">
      <w:pPr>
        <w:suppressAutoHyphens/>
        <w:autoSpaceDN w:val="0"/>
        <w:spacing w:before="120" w:after="120"/>
        <w:textAlignment w:val="baseline"/>
        <w:rPr>
          <w:rFonts w:eastAsia="Calibri" w:cs="Arial"/>
          <w:color w:val="auto"/>
          <w:szCs w:val="38"/>
          <w:highlight w:val="yellow"/>
          <w:lang w:eastAsia="en-GB"/>
        </w:rPr>
      </w:pPr>
      <w:r w:rsidRPr="007C4F3A">
        <w:rPr>
          <w:rFonts w:eastAsia="Calibri" w:cs="Arial"/>
          <w:b/>
          <w:bCs/>
          <w:szCs w:val="38"/>
          <w:lang w:eastAsia="en-GB"/>
        </w:rPr>
        <w:t xml:space="preserve">Finansinės projekto ribos: </w:t>
      </w:r>
      <w:r w:rsidR="006F1D33" w:rsidRPr="00454E77">
        <w:rPr>
          <w:rFonts w:eastAsia="Calibri" w:cs="Arial"/>
          <w:color w:val="auto"/>
          <w:szCs w:val="38"/>
          <w:lang w:eastAsia="en-GB"/>
        </w:rPr>
        <w:t xml:space="preserve">projekto ribos </w:t>
      </w:r>
      <w:r w:rsidR="00454E77" w:rsidRPr="00454E77">
        <w:rPr>
          <w:rFonts w:eastAsia="Calibri" w:cs="Arial"/>
          <w:color w:val="auto"/>
          <w:szCs w:val="38"/>
          <w:lang w:eastAsia="en-GB"/>
        </w:rPr>
        <w:t>4 000 000,00</w:t>
      </w:r>
      <w:r w:rsidR="00811FC8" w:rsidRPr="00454E77">
        <w:rPr>
          <w:rFonts w:eastAsia="Calibri" w:cs="Arial"/>
          <w:color w:val="auto"/>
          <w:szCs w:val="38"/>
          <w:lang w:eastAsia="en-GB"/>
        </w:rPr>
        <w:t xml:space="preserve"> </w:t>
      </w:r>
      <w:r w:rsidR="004254FB" w:rsidRPr="00454E77">
        <w:rPr>
          <w:rFonts w:eastAsia="Calibri" w:cs="Arial"/>
          <w:color w:val="auto"/>
          <w:szCs w:val="38"/>
          <w:lang w:eastAsia="en-GB"/>
        </w:rPr>
        <w:t xml:space="preserve">Eur </w:t>
      </w:r>
      <w:r w:rsidR="0029646A" w:rsidRPr="00454E77">
        <w:rPr>
          <w:rFonts w:eastAsia="Calibri" w:cs="Arial"/>
          <w:color w:val="auto"/>
          <w:szCs w:val="38"/>
          <w:lang w:eastAsia="en-GB"/>
        </w:rPr>
        <w:t>su PVM.</w:t>
      </w:r>
    </w:p>
    <w:p w14:paraId="00CC671F" w14:textId="352EE192" w:rsidR="00D405F2" w:rsidRDefault="006F1D33" w:rsidP="00C659AB">
      <w:pPr>
        <w:suppressAutoHyphens/>
        <w:autoSpaceDN w:val="0"/>
        <w:spacing w:before="120" w:after="120"/>
        <w:textAlignment w:val="baseline"/>
        <w:rPr>
          <w:rFonts w:eastAsia="Calibri" w:cs="Arial"/>
          <w:color w:val="auto"/>
          <w:szCs w:val="38"/>
          <w:lang w:eastAsia="en-GB"/>
        </w:rPr>
      </w:pPr>
      <w:r w:rsidRPr="007C4F3A">
        <w:rPr>
          <w:rFonts w:eastAsia="Calibri" w:cs="Arial"/>
          <w:b/>
          <w:bCs/>
          <w:color w:val="auto"/>
          <w:szCs w:val="38"/>
          <w:lang w:eastAsia="en-GB"/>
        </w:rPr>
        <w:t>Įgyvendinimo laikotarpio projekto ribos</w:t>
      </w:r>
      <w:r w:rsidRPr="007C4F3A">
        <w:rPr>
          <w:rFonts w:eastAsia="Calibri" w:cs="Arial"/>
          <w:color w:val="auto"/>
          <w:szCs w:val="38"/>
          <w:lang w:eastAsia="en-GB"/>
        </w:rPr>
        <w:t xml:space="preserve">: </w:t>
      </w:r>
      <w:r w:rsidR="00713D30" w:rsidRPr="007C4F3A">
        <w:rPr>
          <w:rFonts w:eastAsia="Calibri" w:cs="Arial"/>
          <w:color w:val="auto"/>
          <w:szCs w:val="38"/>
          <w:lang w:eastAsia="en-GB"/>
        </w:rPr>
        <w:t>Projekto</w:t>
      </w:r>
      <w:r w:rsidR="009872E3" w:rsidRPr="007C4F3A">
        <w:rPr>
          <w:rFonts w:eastAsia="Calibri" w:cs="Arial"/>
          <w:color w:val="auto"/>
          <w:szCs w:val="38"/>
          <w:lang w:eastAsia="en-GB"/>
        </w:rPr>
        <w:t xml:space="preserve"> įgyvendinimo trukmė turi būti ne ilgesnė kaip iki 202</w:t>
      </w:r>
      <w:r w:rsidR="007D5D20">
        <w:rPr>
          <w:rFonts w:eastAsia="Calibri" w:cs="Arial"/>
          <w:color w:val="auto"/>
          <w:szCs w:val="38"/>
          <w:lang w:eastAsia="en-GB"/>
        </w:rPr>
        <w:t>8</w:t>
      </w:r>
      <w:r w:rsidR="009872E3" w:rsidRPr="007C4F3A">
        <w:rPr>
          <w:rFonts w:eastAsia="Calibri" w:cs="Arial"/>
          <w:color w:val="auto"/>
          <w:szCs w:val="38"/>
          <w:lang w:eastAsia="en-GB"/>
        </w:rPr>
        <w:t xml:space="preserve"> m. I</w:t>
      </w:r>
      <w:r w:rsidR="006709A2" w:rsidRPr="007C4F3A">
        <w:rPr>
          <w:rFonts w:eastAsia="Calibri" w:cs="Arial"/>
          <w:color w:val="auto"/>
          <w:szCs w:val="38"/>
          <w:lang w:eastAsia="en-GB"/>
        </w:rPr>
        <w:t>V</w:t>
      </w:r>
      <w:r w:rsidR="009872E3" w:rsidRPr="007C4F3A">
        <w:rPr>
          <w:rFonts w:eastAsia="Calibri" w:cs="Arial"/>
          <w:color w:val="auto"/>
          <w:szCs w:val="38"/>
          <w:lang w:eastAsia="en-GB"/>
        </w:rPr>
        <w:t xml:space="preserve"> </w:t>
      </w:r>
      <w:proofErr w:type="spellStart"/>
      <w:r w:rsidR="009872E3" w:rsidRPr="007C4F3A">
        <w:rPr>
          <w:rFonts w:eastAsia="Calibri" w:cs="Arial"/>
          <w:color w:val="auto"/>
          <w:szCs w:val="38"/>
          <w:lang w:eastAsia="en-GB"/>
        </w:rPr>
        <w:t>ketv</w:t>
      </w:r>
      <w:proofErr w:type="spellEnd"/>
      <w:r w:rsidR="009872E3" w:rsidRPr="007C4F3A">
        <w:rPr>
          <w:rFonts w:eastAsia="Calibri" w:cs="Arial"/>
          <w:color w:val="auto"/>
          <w:szCs w:val="38"/>
          <w:lang w:eastAsia="en-GB"/>
        </w:rPr>
        <w:t xml:space="preserve">. </w:t>
      </w:r>
      <w:r w:rsidR="00BD1A7B" w:rsidRPr="007C4F3A">
        <w:rPr>
          <w:rFonts w:eastAsia="Calibri" w:cs="Arial"/>
          <w:color w:val="auto"/>
          <w:szCs w:val="38"/>
          <w:lang w:eastAsia="en-GB"/>
        </w:rPr>
        <w:t>i</w:t>
      </w:r>
      <w:r w:rsidR="009872E3" w:rsidRPr="007C4F3A">
        <w:rPr>
          <w:rFonts w:eastAsia="Calibri" w:cs="Arial"/>
          <w:color w:val="auto"/>
          <w:szCs w:val="38"/>
          <w:lang w:eastAsia="en-GB"/>
        </w:rPr>
        <w:t>mtinai</w:t>
      </w:r>
      <w:bookmarkStart w:id="171" w:name="_Toc134521949"/>
      <w:bookmarkStart w:id="172" w:name="_Toc160544952"/>
      <w:bookmarkStart w:id="173" w:name="_Toc161166375"/>
      <w:bookmarkStart w:id="174" w:name="_Toc179180663"/>
      <w:bookmarkStart w:id="175" w:name="_Toc142569878"/>
      <w:bookmarkStart w:id="176" w:name="_Hlk178842362"/>
      <w:bookmarkEnd w:id="170"/>
      <w:r w:rsidR="00C659AB" w:rsidRPr="007C4F3A">
        <w:rPr>
          <w:rFonts w:eastAsia="Calibri" w:cs="Arial"/>
          <w:color w:val="auto"/>
          <w:szCs w:val="38"/>
          <w:lang w:eastAsia="en-GB"/>
        </w:rPr>
        <w:t>.</w:t>
      </w:r>
    </w:p>
    <w:p w14:paraId="197D0A76" w14:textId="77777777" w:rsidR="00C50ACA" w:rsidRPr="007C4F3A" w:rsidRDefault="00C50ACA" w:rsidP="00C659AB">
      <w:pPr>
        <w:suppressAutoHyphens/>
        <w:autoSpaceDN w:val="0"/>
        <w:spacing w:before="120" w:after="120"/>
        <w:textAlignment w:val="baseline"/>
        <w:rPr>
          <w:rFonts w:eastAsia="Calibri" w:cs="Arial"/>
          <w:color w:val="auto"/>
          <w:szCs w:val="38"/>
          <w:lang w:eastAsia="en-GB"/>
        </w:rPr>
      </w:pPr>
    </w:p>
    <w:p w14:paraId="600E5588" w14:textId="3E5C0514" w:rsidR="006F1D33" w:rsidRPr="007C4F3A" w:rsidRDefault="004265F3" w:rsidP="00D67B2F">
      <w:pPr>
        <w:pStyle w:val="Poskyris"/>
      </w:pPr>
      <w:r>
        <w:tab/>
      </w:r>
      <w:bookmarkStart w:id="177" w:name="_Toc197939619"/>
      <w:r w:rsidR="006F1D33" w:rsidRPr="007C4F3A">
        <w:t>2.4. Projekto organizacija</w:t>
      </w:r>
      <w:bookmarkEnd w:id="171"/>
      <w:bookmarkEnd w:id="172"/>
      <w:bookmarkEnd w:id="173"/>
      <w:bookmarkEnd w:id="174"/>
      <w:bookmarkEnd w:id="177"/>
      <w:r w:rsidR="006F1D33" w:rsidRPr="007C4F3A">
        <w:t xml:space="preserve"> </w:t>
      </w:r>
      <w:bookmarkEnd w:id="175"/>
    </w:p>
    <w:p w14:paraId="48A5438A" w14:textId="77777777" w:rsidR="00C05C65" w:rsidRPr="00AB4E0F" w:rsidRDefault="00C05C65" w:rsidP="00C05C65">
      <w:pPr>
        <w:spacing w:after="120" w:line="22" w:lineRule="atLeast"/>
        <w:rPr>
          <w:rFonts w:cs="Arial"/>
          <w:lang w:eastAsia="en-GB"/>
        </w:rPr>
      </w:pPr>
      <w:r w:rsidRPr="00AB4E0F">
        <w:rPr>
          <w:rFonts w:eastAsia="Times New Roman" w:cs="Arial"/>
          <w:b/>
          <w:lang w:eastAsia="en-GB"/>
        </w:rPr>
        <w:t>Projekto organizacija</w:t>
      </w:r>
      <w:r w:rsidRPr="00AB4E0F">
        <w:rPr>
          <w:rFonts w:eastAsia="Times New Roman" w:cs="Arial"/>
          <w:lang w:eastAsia="en-GB"/>
        </w:rPr>
        <w:t xml:space="preserve"> – </w:t>
      </w:r>
      <w:r w:rsidRPr="00AB4E0F">
        <w:rPr>
          <w:rFonts w:cs="Arial"/>
          <w:color w:val="auto"/>
          <w:lang w:eastAsia="en-GB"/>
        </w:rPr>
        <w:t>Utenos</w:t>
      </w:r>
      <w:r w:rsidRPr="00AB4E0F">
        <w:rPr>
          <w:rFonts w:cs="Arial"/>
          <w:lang w:eastAsia="en-GB"/>
        </w:rPr>
        <w:t xml:space="preserve"> rajono savivaldybės administracija (toliau – Administracija). Projekto įgyvendinimu rūpinasi Administracija, kuri atlieka ir projekto pareiškėjo funkcijas. Administracija yra Savivaldybės biudžetinė įstaiga, kurios veikla skirta įstatymams ir kitiems norminiams teisės aktams įgyvendinti, vietos savivaldos institucijų sprendimams įgyvendinti priimant administracinius sprendimus, </w:t>
      </w:r>
      <w:r w:rsidRPr="00AB4E0F">
        <w:rPr>
          <w:rFonts w:cs="Arial"/>
          <w:lang w:eastAsia="en-GB"/>
        </w:rPr>
        <w:lastRenderedPageBreak/>
        <w:t xml:space="preserve">teikiant įstatymų numatytas administracines paslaugas, administruojant </w:t>
      </w:r>
      <w:r w:rsidRPr="00CB5E47">
        <w:rPr>
          <w:rFonts w:cs="Arial"/>
          <w:lang w:eastAsia="en-GB"/>
        </w:rPr>
        <w:t xml:space="preserve">viešųjų paslaugų </w:t>
      </w:r>
      <w:r w:rsidRPr="00CB5E47">
        <w:rPr>
          <w:rFonts w:cs="Arial"/>
          <w:color w:val="auto"/>
          <w:lang w:eastAsia="en-GB"/>
        </w:rPr>
        <w:t>teikimą Utenos</w:t>
      </w:r>
      <w:r w:rsidRPr="00AB4E0F">
        <w:rPr>
          <w:rFonts w:cs="Arial"/>
          <w:color w:val="auto"/>
          <w:lang w:eastAsia="en-GB"/>
        </w:rPr>
        <w:t xml:space="preserve"> rajono savivaldybėje ir atliekant Utenos rajono savivaldybės administracijos vidaus administravimą.</w:t>
      </w:r>
    </w:p>
    <w:p w14:paraId="071CCF04" w14:textId="77777777" w:rsidR="00C05C65" w:rsidRPr="00AB4E0F" w:rsidRDefault="00C05C65" w:rsidP="00C05C65">
      <w:pPr>
        <w:pStyle w:val="Pagrindinis"/>
        <w:suppressAutoHyphens/>
        <w:spacing w:before="0" w:line="22" w:lineRule="atLeast"/>
      </w:pPr>
      <w:r w:rsidRPr="00AB4E0F">
        <w:rPr>
          <w:rFonts w:cs="Arial"/>
          <w:lang w:eastAsia="en-GB"/>
        </w:rPr>
        <w:t xml:space="preserve">Administracijos veiklos </w:t>
      </w:r>
      <w:r w:rsidRPr="00AB4E0F">
        <w:t>tikslas – įgyvendinti teisės aktų nustatytas funkcijas kuo efektyviau tenkinant bendruomenės interesus.</w:t>
      </w:r>
    </w:p>
    <w:p w14:paraId="773E83AC" w14:textId="77777777" w:rsidR="00C05C65" w:rsidRPr="00AB4E0F" w:rsidRDefault="00C05C65" w:rsidP="00C05C65">
      <w:pPr>
        <w:spacing w:after="120" w:line="22" w:lineRule="atLeast"/>
        <w:rPr>
          <w:rFonts w:cs="Arial"/>
          <w:color w:val="auto"/>
          <w:lang w:eastAsia="en-GB"/>
        </w:rPr>
      </w:pPr>
      <w:r w:rsidRPr="00AB4E0F">
        <w:rPr>
          <w:rFonts w:cs="Arial"/>
          <w:color w:val="auto"/>
          <w:lang w:eastAsia="en-GB"/>
        </w:rPr>
        <w:t>Administracija savo veikloje vadovaujasi Lietuvos Respublikos Konstitucija, Lietuvos Respublikos vietos savivaldos įstatymu, Lietuvos Respublikos viešojo administravimo įstatymu, kitais Lietuvos Respublikos įstatymais, Lietuvos Respublikos Seimo priimtais teisės aktais, Lietuvos Respublikos Prezidento dekretais, Lietuvos Respublikos Vyriausybės nutarimais, kitais teisės aktais, nustatančiais savivaldybių veiklą, savivaldybės tarybos sprendimais, savivaldybės mero potvarkiais, Administracijos direktoriaus įsakymais bei Administracijos nuostatais.</w:t>
      </w:r>
    </w:p>
    <w:p w14:paraId="344E58AB" w14:textId="08E73DA6" w:rsidR="00C05C65" w:rsidRPr="00AB4E0F" w:rsidRDefault="00C05C65" w:rsidP="00C05C65">
      <w:pPr>
        <w:pStyle w:val="Pagrindinis"/>
        <w:suppressAutoHyphens/>
        <w:spacing w:before="0" w:line="22" w:lineRule="atLeast"/>
      </w:pPr>
      <w:r w:rsidRPr="00AB4E0F">
        <w:rPr>
          <w:rFonts w:cs="Arial"/>
          <w:color w:val="auto"/>
          <w:lang w:eastAsia="en-GB"/>
        </w:rPr>
        <w:t xml:space="preserve">Utenos rajono </w:t>
      </w:r>
      <w:r w:rsidRPr="00AB4E0F">
        <w:rPr>
          <w:rFonts w:cs="Arial"/>
          <w:lang w:eastAsia="en-GB"/>
        </w:rPr>
        <w:t xml:space="preserve">savivaldybės administracija turi didelę patirtį įgyvendinant ir valdant įvairius infrastruktūros modernizavimo ir kūrimo projektus viešųjų pastatų modernizavimo, kelių plėtros ir rekonstravimo, vandentiekio ir nuotekų surinkimo tinklų plėtros ir rekonstravimo, viešųjų erdvių tvarkymo, socialinėje, švietimo ir kitose srityse. </w:t>
      </w:r>
      <w:r w:rsidRPr="00AB4E0F">
        <w:t xml:space="preserve">Didžioji dalis administruojamų projektų susieti su infrastruktūros atnaujinimu ir plėtra: pastatų atnaujinimas, rekonstrukcija, statyba ir pritaikymas visuomenės reikmėms, gatvių rekonstrukcija, turizmo infrastruktūros plėtra, viešųjų erdvių ir gyvenamosios aplinkos pritaikymas visuomenės reikmėms ir kita. </w:t>
      </w:r>
    </w:p>
    <w:p w14:paraId="3CAC6346" w14:textId="77777777" w:rsidR="00C05C65" w:rsidRPr="00AB4E0F" w:rsidRDefault="00C05C65" w:rsidP="00C05C65">
      <w:pPr>
        <w:pStyle w:val="Pagrindinis"/>
        <w:suppressAutoHyphens/>
        <w:spacing w:before="0" w:line="22" w:lineRule="atLeast"/>
      </w:pPr>
      <w:r w:rsidRPr="00AB4E0F">
        <w:t>Nuosekli Utenos rajono savivaldybės administracijos organizacijos struktūra ir jau įgyvendintų projektų patirtis leidžia daryti išvadą, kad projekto organizacija nepritrūks žmogiškųjų išteklių ir patirties investicijų projekto įgyvendinimui ir suvaldymui.</w:t>
      </w:r>
    </w:p>
    <w:p w14:paraId="3C695563" w14:textId="77777777" w:rsidR="00C05C65" w:rsidRPr="00AB4E0F" w:rsidRDefault="00C05C65" w:rsidP="00C05C65">
      <w:pPr>
        <w:pStyle w:val="Pagrindinis"/>
        <w:spacing w:before="0" w:line="22" w:lineRule="atLeast"/>
      </w:pPr>
      <w:r w:rsidRPr="00AB4E0F">
        <w:t>Administracijos rekvizitai pateikiami sekančioje lentelėje.</w:t>
      </w:r>
      <w:bookmarkStart w:id="178" w:name="_Toc440288812"/>
      <w:bookmarkStart w:id="179" w:name="_Toc72746014"/>
      <w:bookmarkStart w:id="180" w:name="_Toc76376745"/>
      <w:bookmarkStart w:id="181" w:name="_Toc76376790"/>
      <w:bookmarkStart w:id="182" w:name="_Toc76376892"/>
      <w:bookmarkStart w:id="183" w:name="_Hlk30405616"/>
    </w:p>
    <w:p w14:paraId="2FFD9274" w14:textId="77777777" w:rsidR="00C05C65" w:rsidRPr="00AB4E0F" w:rsidRDefault="00C05C65" w:rsidP="00C05C65">
      <w:pPr>
        <w:pStyle w:val="LentelsL"/>
        <w:spacing w:after="120" w:line="22" w:lineRule="atLeast"/>
      </w:pPr>
      <w:bookmarkStart w:id="184" w:name="_Toc163542536"/>
      <w:bookmarkStart w:id="185" w:name="_Toc178768903"/>
      <w:bookmarkStart w:id="186" w:name="_Toc182496438"/>
      <w:bookmarkStart w:id="187" w:name="_Toc198807817"/>
      <w:bookmarkEnd w:id="178"/>
      <w:bookmarkEnd w:id="179"/>
      <w:bookmarkEnd w:id="180"/>
      <w:bookmarkEnd w:id="181"/>
      <w:bookmarkEnd w:id="182"/>
      <w:bookmarkEnd w:id="183"/>
      <w:r w:rsidRPr="00AB4E0F">
        <w:t>2.4.1. lentelė. Projekto organizacijos rekvizitai</w:t>
      </w:r>
      <w:bookmarkEnd w:id="184"/>
      <w:bookmarkEnd w:id="185"/>
      <w:bookmarkEnd w:id="186"/>
      <w:bookmarkEnd w:id="187"/>
    </w:p>
    <w:tbl>
      <w:tblPr>
        <w:tblStyle w:val="1tinkleliolentelviesi-1parykinimas"/>
        <w:tblW w:w="3902" w:type="pct"/>
        <w:jc w:val="center"/>
        <w:tblBorders>
          <w:top w:val="single" w:sz="4" w:space="0" w:color="5B9BD5" w:themeColor="accent5"/>
          <w:left w:val="single" w:sz="4" w:space="0" w:color="5B9BD5" w:themeColor="accent5"/>
          <w:right w:val="single" w:sz="4" w:space="0" w:color="5B9BD5" w:themeColor="accent5"/>
          <w:insideH w:val="single" w:sz="4" w:space="0" w:color="5B9BD5" w:themeColor="accent5"/>
          <w:insideV w:val="single" w:sz="4" w:space="0" w:color="5B9BD5" w:themeColor="accent5"/>
        </w:tblBorders>
        <w:tblLook w:val="01E0" w:firstRow="1" w:lastRow="1" w:firstColumn="1" w:lastColumn="1" w:noHBand="0" w:noVBand="0"/>
      </w:tblPr>
      <w:tblGrid>
        <w:gridCol w:w="3397"/>
        <w:gridCol w:w="4559"/>
      </w:tblGrid>
      <w:tr w:rsidR="00C05C65" w:rsidRPr="00AB4E0F" w14:paraId="299AE416" w14:textId="77777777" w:rsidTr="00706EB1">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135" w:type="pct"/>
            <w:tcBorders>
              <w:bottom w:val="none" w:sz="0" w:space="0" w:color="auto"/>
            </w:tcBorders>
          </w:tcPr>
          <w:p w14:paraId="2DE83DAA" w14:textId="77777777" w:rsidR="00C05C65" w:rsidRPr="00CA1CF7" w:rsidRDefault="00C05C65" w:rsidP="00706EB1">
            <w:pPr>
              <w:keepNext/>
              <w:keepLines/>
              <w:ind w:firstLine="0"/>
              <w:contextualSpacing/>
              <w:jc w:val="right"/>
              <w:rPr>
                <w:rFonts w:eastAsia="Calibri" w:cs="Arial"/>
                <w:sz w:val="20"/>
                <w:szCs w:val="20"/>
                <w:lang w:eastAsia="en-GB"/>
              </w:rPr>
            </w:pPr>
            <w:r w:rsidRPr="00CA1CF7">
              <w:rPr>
                <w:rFonts w:eastAsia="Calibri" w:cs="Arial"/>
                <w:sz w:val="20"/>
                <w:szCs w:val="20"/>
                <w:lang w:eastAsia="en-GB"/>
              </w:rPr>
              <w:t>Juridinio asmens pavadinimas</w:t>
            </w:r>
          </w:p>
        </w:tc>
        <w:tc>
          <w:tcPr>
            <w:cnfStyle w:val="000100000000" w:firstRow="0" w:lastRow="0" w:firstColumn="0" w:lastColumn="1" w:oddVBand="0" w:evenVBand="0" w:oddHBand="0" w:evenHBand="0" w:firstRowFirstColumn="0" w:firstRowLastColumn="0" w:lastRowFirstColumn="0" w:lastRowLastColumn="0"/>
            <w:tcW w:w="2865" w:type="pct"/>
            <w:tcBorders>
              <w:bottom w:val="none" w:sz="0" w:space="0" w:color="auto"/>
            </w:tcBorders>
          </w:tcPr>
          <w:p w14:paraId="41926E36" w14:textId="77777777" w:rsidR="00C05C65" w:rsidRPr="00CA1CF7" w:rsidRDefault="00C05C65" w:rsidP="00706EB1">
            <w:pPr>
              <w:keepNext/>
              <w:keepLines/>
              <w:ind w:firstLine="0"/>
              <w:contextualSpacing/>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Utenos rajono savivaldybės administracija</w:t>
            </w:r>
          </w:p>
        </w:tc>
      </w:tr>
      <w:tr w:rsidR="00C05C65" w:rsidRPr="00AB4E0F" w14:paraId="580C0FC2" w14:textId="77777777" w:rsidTr="00706EB1">
        <w:trPr>
          <w:trHeight w:val="227"/>
          <w:jc w:val="center"/>
        </w:trPr>
        <w:tc>
          <w:tcPr>
            <w:cnfStyle w:val="001000000000" w:firstRow="0" w:lastRow="0" w:firstColumn="1" w:lastColumn="0" w:oddVBand="0" w:evenVBand="0" w:oddHBand="0" w:evenHBand="0" w:firstRowFirstColumn="0" w:firstRowLastColumn="0" w:lastRowFirstColumn="0" w:lastRowLastColumn="0"/>
            <w:tcW w:w="2135" w:type="pct"/>
          </w:tcPr>
          <w:p w14:paraId="362CEAFF" w14:textId="77777777" w:rsidR="00C05C65" w:rsidRPr="00CA1CF7" w:rsidRDefault="00C05C65" w:rsidP="00706EB1">
            <w:pPr>
              <w:keepNext/>
              <w:keepLines/>
              <w:ind w:firstLine="0"/>
              <w:jc w:val="right"/>
              <w:rPr>
                <w:rFonts w:eastAsia="Calibri" w:cs="Arial"/>
                <w:sz w:val="20"/>
                <w:szCs w:val="20"/>
                <w:lang w:eastAsia="en-GB"/>
              </w:rPr>
            </w:pPr>
            <w:r w:rsidRPr="00CA1CF7">
              <w:rPr>
                <w:rFonts w:eastAsia="Calibri" w:cs="Arial"/>
                <w:sz w:val="20"/>
                <w:szCs w:val="20"/>
                <w:lang w:eastAsia="en-GB"/>
              </w:rPr>
              <w:t>Adresas</w:t>
            </w:r>
          </w:p>
        </w:tc>
        <w:tc>
          <w:tcPr>
            <w:cnfStyle w:val="000100000000" w:firstRow="0" w:lastRow="0" w:firstColumn="0" w:lastColumn="1" w:oddVBand="0" w:evenVBand="0" w:oddHBand="0" w:evenHBand="0" w:firstRowFirstColumn="0" w:firstRowLastColumn="0" w:lastRowFirstColumn="0" w:lastRowLastColumn="0"/>
            <w:tcW w:w="2865" w:type="pct"/>
          </w:tcPr>
          <w:p w14:paraId="74400BA8" w14:textId="77777777" w:rsidR="00C05C65" w:rsidRPr="00CA1CF7" w:rsidRDefault="00C05C65" w:rsidP="00706EB1">
            <w:pPr>
              <w:keepNext/>
              <w:keepLines/>
              <w:ind w:firstLine="0"/>
              <w:jc w:val="left"/>
              <w:rPr>
                <w:rFonts w:eastAsia="Calibri" w:cs="Arial"/>
                <w:b w:val="0"/>
                <w:bCs w:val="0"/>
                <w:color w:val="auto"/>
                <w:sz w:val="20"/>
                <w:szCs w:val="20"/>
                <w:lang w:eastAsia="en-GB"/>
              </w:rPr>
            </w:pPr>
            <w:proofErr w:type="spellStart"/>
            <w:r w:rsidRPr="00CA1CF7">
              <w:rPr>
                <w:rFonts w:eastAsia="Calibri" w:cs="Arial"/>
                <w:b w:val="0"/>
                <w:bCs w:val="0"/>
                <w:color w:val="auto"/>
                <w:sz w:val="20"/>
                <w:szCs w:val="20"/>
                <w:lang w:eastAsia="en-GB"/>
              </w:rPr>
              <w:t>Utenio</w:t>
            </w:r>
            <w:proofErr w:type="spellEnd"/>
            <w:r w:rsidRPr="00CA1CF7">
              <w:rPr>
                <w:rFonts w:eastAsia="Calibri" w:cs="Arial"/>
                <w:b w:val="0"/>
                <w:bCs w:val="0"/>
                <w:color w:val="auto"/>
                <w:sz w:val="20"/>
                <w:szCs w:val="20"/>
                <w:lang w:eastAsia="en-GB"/>
              </w:rPr>
              <w:t xml:space="preserve"> a. 4, 28503, Utena</w:t>
            </w:r>
          </w:p>
        </w:tc>
      </w:tr>
      <w:tr w:rsidR="00C05C65" w:rsidRPr="00AB4E0F" w14:paraId="5F6C559C" w14:textId="77777777" w:rsidTr="00706EB1">
        <w:trPr>
          <w:trHeight w:val="227"/>
          <w:jc w:val="center"/>
        </w:trPr>
        <w:tc>
          <w:tcPr>
            <w:cnfStyle w:val="001000000000" w:firstRow="0" w:lastRow="0" w:firstColumn="1" w:lastColumn="0" w:oddVBand="0" w:evenVBand="0" w:oddHBand="0" w:evenHBand="0" w:firstRowFirstColumn="0" w:firstRowLastColumn="0" w:lastRowFirstColumn="0" w:lastRowLastColumn="0"/>
            <w:tcW w:w="2135" w:type="pct"/>
          </w:tcPr>
          <w:p w14:paraId="61C57CB0" w14:textId="77777777" w:rsidR="00C05C65" w:rsidRPr="00CA1CF7" w:rsidRDefault="00C05C65" w:rsidP="00706EB1">
            <w:pPr>
              <w:keepNext/>
              <w:keepLines/>
              <w:ind w:left="-433" w:firstLine="433"/>
              <w:jc w:val="right"/>
              <w:rPr>
                <w:rFonts w:eastAsia="Calibri" w:cs="Arial"/>
                <w:sz w:val="20"/>
                <w:szCs w:val="20"/>
                <w:lang w:eastAsia="en-GB"/>
              </w:rPr>
            </w:pPr>
            <w:r w:rsidRPr="00CA1CF7">
              <w:rPr>
                <w:rFonts w:eastAsia="Calibri" w:cs="Arial"/>
                <w:sz w:val="20"/>
                <w:szCs w:val="20"/>
                <w:lang w:eastAsia="en-GB"/>
              </w:rPr>
              <w:t>Įstaigos kodas</w:t>
            </w:r>
          </w:p>
        </w:tc>
        <w:tc>
          <w:tcPr>
            <w:cnfStyle w:val="000100000000" w:firstRow="0" w:lastRow="0" w:firstColumn="0" w:lastColumn="1" w:oddVBand="0" w:evenVBand="0" w:oddHBand="0" w:evenHBand="0" w:firstRowFirstColumn="0" w:firstRowLastColumn="0" w:lastRowFirstColumn="0" w:lastRowLastColumn="0"/>
            <w:tcW w:w="2865" w:type="pct"/>
          </w:tcPr>
          <w:p w14:paraId="704D4566" w14:textId="77777777" w:rsidR="00C05C65" w:rsidRPr="00CA1CF7" w:rsidRDefault="00C05C65" w:rsidP="00706EB1">
            <w:pPr>
              <w:keepNext/>
              <w:keepLines/>
              <w:ind w:left="-433" w:firstLine="433"/>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188710442</w:t>
            </w:r>
          </w:p>
        </w:tc>
      </w:tr>
      <w:tr w:rsidR="00C05C65" w:rsidRPr="00AB4E0F" w14:paraId="77FF8C35" w14:textId="77777777" w:rsidTr="00706EB1">
        <w:trPr>
          <w:trHeight w:val="227"/>
          <w:jc w:val="center"/>
        </w:trPr>
        <w:tc>
          <w:tcPr>
            <w:cnfStyle w:val="001000000000" w:firstRow="0" w:lastRow="0" w:firstColumn="1" w:lastColumn="0" w:oddVBand="0" w:evenVBand="0" w:oddHBand="0" w:evenHBand="0" w:firstRowFirstColumn="0" w:firstRowLastColumn="0" w:lastRowFirstColumn="0" w:lastRowLastColumn="0"/>
            <w:tcW w:w="2135" w:type="pct"/>
          </w:tcPr>
          <w:p w14:paraId="5A1D2FBE" w14:textId="77777777" w:rsidR="00C05C65" w:rsidRPr="00CA1CF7" w:rsidRDefault="00C05C65" w:rsidP="00706EB1">
            <w:pPr>
              <w:keepNext/>
              <w:keepLines/>
              <w:ind w:left="-433" w:firstLine="433"/>
              <w:jc w:val="right"/>
              <w:rPr>
                <w:rFonts w:eastAsia="Calibri" w:cs="Arial"/>
                <w:sz w:val="20"/>
                <w:szCs w:val="20"/>
                <w:lang w:eastAsia="en-GB"/>
              </w:rPr>
            </w:pPr>
            <w:r w:rsidRPr="00CA1CF7">
              <w:rPr>
                <w:rFonts w:eastAsia="Calibri" w:cs="Arial"/>
                <w:sz w:val="20"/>
                <w:szCs w:val="20"/>
                <w:lang w:eastAsia="en-GB"/>
              </w:rPr>
              <w:t>Teisinė forma</w:t>
            </w:r>
          </w:p>
        </w:tc>
        <w:tc>
          <w:tcPr>
            <w:cnfStyle w:val="000100000000" w:firstRow="0" w:lastRow="0" w:firstColumn="0" w:lastColumn="1" w:oddVBand="0" w:evenVBand="0" w:oddHBand="0" w:evenHBand="0" w:firstRowFirstColumn="0" w:firstRowLastColumn="0" w:lastRowFirstColumn="0" w:lastRowLastColumn="0"/>
            <w:tcW w:w="2865" w:type="pct"/>
          </w:tcPr>
          <w:p w14:paraId="2CBD5F58" w14:textId="77777777" w:rsidR="00C05C65" w:rsidRPr="00CA1CF7" w:rsidRDefault="00C05C65" w:rsidP="00706EB1">
            <w:pPr>
              <w:keepNext/>
              <w:keepLines/>
              <w:ind w:firstLine="0"/>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Biudžetinė įstaiga</w:t>
            </w:r>
          </w:p>
        </w:tc>
      </w:tr>
      <w:tr w:rsidR="00C05C65" w:rsidRPr="00AB4E0F" w14:paraId="7C6CF1C2" w14:textId="77777777" w:rsidTr="00706EB1">
        <w:trPr>
          <w:trHeight w:val="54"/>
          <w:jc w:val="center"/>
        </w:trPr>
        <w:tc>
          <w:tcPr>
            <w:cnfStyle w:val="001000000000" w:firstRow="0" w:lastRow="0" w:firstColumn="1" w:lastColumn="0" w:oddVBand="0" w:evenVBand="0" w:oddHBand="0" w:evenHBand="0" w:firstRowFirstColumn="0" w:firstRowLastColumn="0" w:lastRowFirstColumn="0" w:lastRowLastColumn="0"/>
            <w:tcW w:w="2135" w:type="pct"/>
          </w:tcPr>
          <w:p w14:paraId="21B2B3E8" w14:textId="77777777" w:rsidR="00C05C65" w:rsidRPr="00CA1CF7" w:rsidRDefault="00C05C65" w:rsidP="00706EB1">
            <w:pPr>
              <w:keepNext/>
              <w:keepLines/>
              <w:ind w:left="-433" w:firstLine="433"/>
              <w:jc w:val="right"/>
              <w:rPr>
                <w:rFonts w:eastAsia="Calibri" w:cs="Arial"/>
                <w:sz w:val="20"/>
                <w:szCs w:val="20"/>
                <w:lang w:eastAsia="en-GB"/>
              </w:rPr>
            </w:pPr>
            <w:r w:rsidRPr="00CA1CF7">
              <w:rPr>
                <w:rFonts w:eastAsia="Calibri" w:cs="Arial"/>
                <w:sz w:val="20"/>
                <w:szCs w:val="20"/>
                <w:lang w:eastAsia="en-GB"/>
              </w:rPr>
              <w:t>Telefonas</w:t>
            </w:r>
          </w:p>
        </w:tc>
        <w:tc>
          <w:tcPr>
            <w:cnfStyle w:val="000100000000" w:firstRow="0" w:lastRow="0" w:firstColumn="0" w:lastColumn="1" w:oddVBand="0" w:evenVBand="0" w:oddHBand="0" w:evenHBand="0" w:firstRowFirstColumn="0" w:firstRowLastColumn="0" w:lastRowFirstColumn="0" w:lastRowLastColumn="0"/>
            <w:tcW w:w="2865" w:type="pct"/>
          </w:tcPr>
          <w:p w14:paraId="5FAC9F6D" w14:textId="77777777" w:rsidR="00C05C65" w:rsidRPr="00CA1CF7" w:rsidRDefault="00C05C65" w:rsidP="00706EB1">
            <w:pPr>
              <w:keepNext/>
              <w:keepLines/>
              <w:ind w:left="-433" w:firstLine="433"/>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+370 389 64041</w:t>
            </w:r>
          </w:p>
        </w:tc>
      </w:tr>
      <w:tr w:rsidR="00C05C65" w:rsidRPr="00AB4E0F" w14:paraId="565985E8" w14:textId="77777777" w:rsidTr="00706EB1">
        <w:trPr>
          <w:trHeight w:val="227"/>
          <w:jc w:val="center"/>
        </w:trPr>
        <w:tc>
          <w:tcPr>
            <w:cnfStyle w:val="001000000000" w:firstRow="0" w:lastRow="0" w:firstColumn="1" w:lastColumn="0" w:oddVBand="0" w:evenVBand="0" w:oddHBand="0" w:evenHBand="0" w:firstRowFirstColumn="0" w:firstRowLastColumn="0" w:lastRowFirstColumn="0" w:lastRowLastColumn="0"/>
            <w:tcW w:w="2135" w:type="pct"/>
            <w:tcBorders>
              <w:bottom w:val="single" w:sz="4" w:space="0" w:color="5B9BD5" w:themeColor="accent5"/>
            </w:tcBorders>
          </w:tcPr>
          <w:p w14:paraId="7A83A585" w14:textId="77777777" w:rsidR="00C05C65" w:rsidRPr="00CA1CF7" w:rsidRDefault="00C05C65" w:rsidP="00706EB1">
            <w:pPr>
              <w:keepNext/>
              <w:keepLines/>
              <w:ind w:left="-433" w:firstLine="433"/>
              <w:jc w:val="right"/>
              <w:rPr>
                <w:rFonts w:eastAsia="Calibri" w:cs="Arial"/>
                <w:sz w:val="20"/>
                <w:szCs w:val="20"/>
                <w:lang w:eastAsia="en-GB"/>
              </w:rPr>
            </w:pPr>
            <w:r w:rsidRPr="00CA1CF7">
              <w:rPr>
                <w:rFonts w:eastAsia="Calibri" w:cs="Arial"/>
                <w:sz w:val="20"/>
                <w:szCs w:val="20"/>
                <w:lang w:eastAsia="en-GB"/>
              </w:rPr>
              <w:t>El. pašto adresas</w:t>
            </w:r>
          </w:p>
        </w:tc>
        <w:tc>
          <w:tcPr>
            <w:cnfStyle w:val="000100000000" w:firstRow="0" w:lastRow="0" w:firstColumn="0" w:lastColumn="1" w:oddVBand="0" w:evenVBand="0" w:oddHBand="0" w:evenHBand="0" w:firstRowFirstColumn="0" w:firstRowLastColumn="0" w:lastRowFirstColumn="0" w:lastRowLastColumn="0"/>
            <w:tcW w:w="2865" w:type="pct"/>
            <w:tcBorders>
              <w:bottom w:val="single" w:sz="4" w:space="0" w:color="5B9BD5" w:themeColor="accent5"/>
            </w:tcBorders>
          </w:tcPr>
          <w:p w14:paraId="2771DDDF" w14:textId="77777777" w:rsidR="00C05C65" w:rsidRPr="00CA1CF7" w:rsidRDefault="00C05C65" w:rsidP="00706EB1">
            <w:pPr>
              <w:keepNext/>
              <w:keepLines/>
              <w:ind w:left="-433" w:firstLine="433"/>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info@utena.lt</w:t>
            </w:r>
          </w:p>
        </w:tc>
      </w:tr>
      <w:tr w:rsidR="00C05C65" w:rsidRPr="00AB4E0F" w14:paraId="41D41B5D" w14:textId="77777777" w:rsidTr="00706EB1">
        <w:trPr>
          <w:cnfStyle w:val="010000000000" w:firstRow="0" w:lastRow="1"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35" w:type="pct"/>
            <w:tcBorders>
              <w:top w:val="none" w:sz="0" w:space="0" w:color="auto"/>
              <w:bottom w:val="single" w:sz="4" w:space="0" w:color="2E74B5" w:themeColor="accent5" w:themeShade="BF"/>
            </w:tcBorders>
          </w:tcPr>
          <w:p w14:paraId="43730393" w14:textId="77777777" w:rsidR="00C05C65" w:rsidRPr="00CA1CF7" w:rsidRDefault="00C05C65" w:rsidP="00706EB1">
            <w:pPr>
              <w:keepNext/>
              <w:keepLines/>
              <w:ind w:left="-431" w:firstLine="431"/>
              <w:contextualSpacing/>
              <w:jc w:val="right"/>
              <w:rPr>
                <w:rFonts w:eastAsia="Calibri" w:cs="Arial"/>
                <w:sz w:val="20"/>
                <w:szCs w:val="20"/>
                <w:lang w:eastAsia="en-GB"/>
              </w:rPr>
            </w:pPr>
            <w:r w:rsidRPr="00CA1CF7">
              <w:rPr>
                <w:rFonts w:eastAsia="Calibri" w:cs="Arial"/>
                <w:sz w:val="20"/>
                <w:szCs w:val="20"/>
                <w:lang w:eastAsia="en-GB"/>
              </w:rPr>
              <w:t>Interneto svetainės adresas</w:t>
            </w:r>
          </w:p>
        </w:tc>
        <w:tc>
          <w:tcPr>
            <w:cnfStyle w:val="000100000000" w:firstRow="0" w:lastRow="0" w:firstColumn="0" w:lastColumn="1" w:oddVBand="0" w:evenVBand="0" w:oddHBand="0" w:evenHBand="0" w:firstRowFirstColumn="0" w:firstRowLastColumn="0" w:lastRowFirstColumn="0" w:lastRowLastColumn="0"/>
            <w:tcW w:w="2865" w:type="pct"/>
            <w:tcBorders>
              <w:top w:val="none" w:sz="0" w:space="0" w:color="auto"/>
              <w:bottom w:val="single" w:sz="4" w:space="0" w:color="2E74B5" w:themeColor="accent5" w:themeShade="BF"/>
            </w:tcBorders>
          </w:tcPr>
          <w:p w14:paraId="2E5D06A1" w14:textId="77777777" w:rsidR="00C05C65" w:rsidRPr="00CA1CF7" w:rsidRDefault="00C05C65" w:rsidP="00706EB1">
            <w:pPr>
              <w:keepNext/>
              <w:keepLines/>
              <w:ind w:left="-431" w:firstLine="431"/>
              <w:contextualSpacing/>
              <w:jc w:val="left"/>
              <w:rPr>
                <w:rFonts w:eastAsia="Calibri" w:cs="Arial"/>
                <w:b w:val="0"/>
                <w:bCs w:val="0"/>
                <w:color w:val="auto"/>
                <w:sz w:val="20"/>
                <w:szCs w:val="20"/>
                <w:lang w:eastAsia="en-GB"/>
              </w:rPr>
            </w:pPr>
            <w:r w:rsidRPr="00CA1CF7">
              <w:rPr>
                <w:rFonts w:eastAsia="Calibri" w:cs="Arial"/>
                <w:b w:val="0"/>
                <w:bCs w:val="0"/>
                <w:color w:val="auto"/>
                <w:sz w:val="20"/>
                <w:szCs w:val="20"/>
                <w:lang w:eastAsia="en-GB"/>
              </w:rPr>
              <w:t>https://www.utena.lt/</w:t>
            </w:r>
          </w:p>
        </w:tc>
      </w:tr>
    </w:tbl>
    <w:p w14:paraId="012AA691" w14:textId="77777777" w:rsidR="00C05C65" w:rsidRPr="00AB4E0F" w:rsidRDefault="00C05C65" w:rsidP="00C05C65">
      <w:pPr>
        <w:spacing w:after="120" w:line="22" w:lineRule="atLeast"/>
        <w:ind w:firstLine="0"/>
        <w:jc w:val="center"/>
        <w:rPr>
          <w:rFonts w:cs="Arial"/>
          <w:i/>
          <w:sz w:val="20"/>
          <w:szCs w:val="20"/>
        </w:rPr>
      </w:pPr>
      <w:r w:rsidRPr="00AB4E0F">
        <w:rPr>
          <w:rFonts w:cs="Arial"/>
          <w:i/>
          <w:sz w:val="20"/>
          <w:szCs w:val="20"/>
        </w:rPr>
        <w:t xml:space="preserve">Šaltinis: sudaryta autorių, remiantis </w:t>
      </w:r>
      <w:r w:rsidRPr="00AB4E0F">
        <w:rPr>
          <w:i/>
          <w:sz w:val="20"/>
          <w:szCs w:val="20"/>
        </w:rPr>
        <w:t>Utenos rajono savivaldybės administracijos duomenimis</w:t>
      </w:r>
    </w:p>
    <w:p w14:paraId="5C44ABBE" w14:textId="46686FE5" w:rsidR="00C05C65" w:rsidRPr="00AB4E0F" w:rsidRDefault="00C05C65" w:rsidP="00C05C65">
      <w:pPr>
        <w:pStyle w:val="Pagrindinis"/>
        <w:suppressAutoHyphens/>
        <w:spacing w:before="0" w:line="22" w:lineRule="atLeast"/>
        <w:rPr>
          <w:color w:val="auto"/>
        </w:rPr>
      </w:pPr>
      <w:r w:rsidRPr="00AB4E0F">
        <w:rPr>
          <w:color w:val="auto"/>
        </w:rPr>
        <w:t>Projekto įgyvendinimas sukurs ne tik jaučiamą naudą Utenos rajono savivaldybės gyventojams, tačiau kartu tiesiogiai prisidės prie Utenos rajono savivaldybės strateginių dokumentų nuostatų, tikslų ir uždavinių įgyvendinimo.</w:t>
      </w:r>
    </w:p>
    <w:p w14:paraId="46FDD698" w14:textId="09C38DB3" w:rsidR="0073743A" w:rsidRDefault="00C05C65" w:rsidP="00C05C65">
      <w:pPr>
        <w:pStyle w:val="Pagrindinis"/>
        <w:suppressAutoHyphens/>
        <w:spacing w:before="0" w:line="22" w:lineRule="atLeast"/>
        <w:rPr>
          <w:rFonts w:eastAsia="Calibri" w:cs="Arial"/>
          <w:color w:val="auto"/>
          <w:szCs w:val="38"/>
          <w:lang w:eastAsia="en-GB"/>
        </w:rPr>
      </w:pPr>
      <w:r w:rsidRPr="00FD13EC">
        <w:rPr>
          <w:i/>
          <w:iCs/>
          <w:lang w:eastAsia="en-GB"/>
        </w:rPr>
        <w:t>Apibendrinim</w:t>
      </w:r>
      <w:r w:rsidR="005E7342">
        <w:rPr>
          <w:i/>
          <w:iCs/>
          <w:lang w:eastAsia="en-GB"/>
        </w:rPr>
        <w:t>as.</w:t>
      </w:r>
      <w:r w:rsidRPr="00AB4E0F">
        <w:rPr>
          <w:i/>
          <w:iCs/>
          <w:lang w:eastAsia="en-GB"/>
        </w:rPr>
        <w:t xml:space="preserve"> Projekto organizacija – </w:t>
      </w:r>
      <w:r w:rsidRPr="00AB4E0F">
        <w:rPr>
          <w:i/>
          <w:iCs/>
        </w:rPr>
        <w:t>Utenos rajono savivaldybės administracija</w:t>
      </w:r>
      <w:r w:rsidRPr="00AB4E0F">
        <w:rPr>
          <w:rFonts w:cstheme="minorBidi"/>
          <w:i/>
          <w:iCs/>
          <w:lang w:eastAsia="en-GB"/>
        </w:rPr>
        <w:t xml:space="preserve"> turi didelę patirtį įgyvendinant ir valdant įvairius ES lėšomis finansuojamus projektus. </w:t>
      </w:r>
      <w:r w:rsidRPr="00AB4E0F">
        <w:rPr>
          <w:rFonts w:cstheme="minorBidi"/>
          <w:i/>
          <w:iCs/>
        </w:rPr>
        <w:t>Apibendrinant galima spręsti, jog organizacija nepritrūks žmogiškųjų išteklių ir patirties įgyvendinant investicijų projektą</w:t>
      </w:r>
      <w:r w:rsidR="00AE7050" w:rsidRPr="00AE7050">
        <w:rPr>
          <w:rFonts w:eastAsia="Calibri" w:cs="Arial"/>
          <w:color w:val="auto"/>
          <w:szCs w:val="38"/>
          <w:lang w:eastAsia="en-GB"/>
        </w:rPr>
        <w:t>.</w:t>
      </w:r>
    </w:p>
    <w:p w14:paraId="1D9CA0C2" w14:textId="77777777" w:rsidR="003825D9" w:rsidRPr="00C05C65" w:rsidRDefault="003825D9" w:rsidP="00C05C65">
      <w:pPr>
        <w:pStyle w:val="Pagrindinis"/>
        <w:suppressAutoHyphens/>
        <w:spacing w:before="0" w:line="22" w:lineRule="atLeast"/>
        <w:rPr>
          <w:rFonts w:cstheme="minorBidi"/>
          <w:i/>
          <w:iCs/>
        </w:rPr>
      </w:pPr>
    </w:p>
    <w:p w14:paraId="78F7139D" w14:textId="6B3BB245" w:rsidR="006F1D33" w:rsidRPr="007C4F3A" w:rsidRDefault="004265F3" w:rsidP="00D67B2F">
      <w:pPr>
        <w:pStyle w:val="Poskyris"/>
      </w:pPr>
      <w:bookmarkStart w:id="188" w:name="_Toc160544953"/>
      <w:bookmarkStart w:id="189" w:name="_Toc161166376"/>
      <w:bookmarkStart w:id="190" w:name="_Toc179180664"/>
      <w:r>
        <w:tab/>
      </w:r>
      <w:bookmarkStart w:id="191" w:name="_Toc197939620"/>
      <w:r w:rsidR="006F1D33" w:rsidRPr="007C4F3A">
        <w:t>2.5. Paslaugos pokyčio rezultatas</w:t>
      </w:r>
      <w:bookmarkEnd w:id="188"/>
      <w:bookmarkEnd w:id="189"/>
      <w:bookmarkEnd w:id="190"/>
      <w:bookmarkEnd w:id="191"/>
    </w:p>
    <w:p w14:paraId="03288617" w14:textId="68FF6589" w:rsidR="00D405F2" w:rsidRPr="00F76090" w:rsidRDefault="0012529D" w:rsidP="00D405F2">
      <w:pPr>
        <w:suppressAutoHyphens/>
        <w:autoSpaceDN w:val="0"/>
        <w:textAlignment w:val="baseline"/>
        <w:rPr>
          <w:rFonts w:eastAsia="Calibri" w:cs="Arial"/>
          <w:szCs w:val="38"/>
          <w:lang w:eastAsia="en-GB"/>
        </w:rPr>
      </w:pPr>
      <w:r w:rsidRPr="00F76090">
        <w:rPr>
          <w:rFonts w:eastAsia="Calibri" w:cs="Arial"/>
          <w:szCs w:val="38"/>
          <w:lang w:eastAsia="en-GB"/>
        </w:rPr>
        <w:t>Projekto įgyvendinimas sudarys sąlygas pagerinti viešųjų erdvių kokybę, jų želdinimą ir prieinamumą Utenos miesto Aukštakalnio mikrorajone. Įgyvendinus projektą, žaliąją ir rekreacinę infrastruktūrą naudotis bus patogiau, saugiau ir universaliau – ji geriau atitiks įvairaus amžiaus gyventojų lūkesčius.</w:t>
      </w:r>
    </w:p>
    <w:p w14:paraId="44ACD93A" w14:textId="2C98E254" w:rsidR="00D405F2" w:rsidRPr="00F76090" w:rsidRDefault="00D405F2" w:rsidP="00FA0BEC">
      <w:pPr>
        <w:suppressAutoHyphens/>
        <w:autoSpaceDN w:val="0"/>
        <w:textAlignment w:val="baseline"/>
        <w:rPr>
          <w:rFonts w:eastAsia="Calibri" w:cs="Arial"/>
          <w:szCs w:val="38"/>
          <w:lang w:eastAsia="en-GB"/>
        </w:rPr>
      </w:pPr>
      <w:r w:rsidRPr="00F76090">
        <w:rPr>
          <w:rFonts w:eastAsia="Calibri" w:cs="Arial"/>
          <w:szCs w:val="38"/>
          <w:lang w:eastAsia="en-GB"/>
        </w:rPr>
        <w:t xml:space="preserve">Taigi, problemos sprendimo būdas – </w:t>
      </w:r>
      <w:r w:rsidR="00724A6C" w:rsidRPr="00F76090">
        <w:rPr>
          <w:rFonts w:eastAsia="Calibri" w:cs="Arial"/>
          <w:szCs w:val="38"/>
          <w:lang w:eastAsia="en-GB"/>
        </w:rPr>
        <w:t>Aukštakalnio mikrorajono daugiabučių namų teritorijos atgaivinimas ir žalinimas</w:t>
      </w:r>
      <w:r w:rsidR="00E701D7" w:rsidRPr="00F76090">
        <w:rPr>
          <w:rFonts w:eastAsia="Calibri" w:cs="Arial"/>
          <w:szCs w:val="38"/>
          <w:lang w:eastAsia="en-GB"/>
        </w:rPr>
        <w:t>:</w:t>
      </w:r>
    </w:p>
    <w:p w14:paraId="36165ABE" w14:textId="7DBC7839" w:rsidR="00D405F2" w:rsidRPr="00F76090" w:rsidRDefault="000462E3" w:rsidP="000D7B26">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 xml:space="preserve">Sutvarkant </w:t>
      </w:r>
      <w:r w:rsidR="00B367F9" w:rsidRPr="00F76090">
        <w:rPr>
          <w:rFonts w:ascii="Arial" w:eastAsia="Calibri" w:hAnsi="Arial" w:cs="Arial"/>
          <w:szCs w:val="38"/>
          <w:lang w:eastAsia="en-GB"/>
        </w:rPr>
        <w:t xml:space="preserve">ir tankinant esamus želdynus, įrengiant naujus </w:t>
      </w:r>
      <w:r w:rsidR="008B2B13" w:rsidRPr="00F76090">
        <w:rPr>
          <w:rFonts w:ascii="Arial" w:eastAsia="Calibri" w:hAnsi="Arial" w:cs="Arial"/>
          <w:szCs w:val="38"/>
          <w:lang w:eastAsia="en-GB"/>
        </w:rPr>
        <w:t>želdinius</w:t>
      </w:r>
      <w:r w:rsidR="00E24809" w:rsidRPr="00F76090">
        <w:rPr>
          <w:rFonts w:ascii="Arial" w:eastAsia="Calibri" w:hAnsi="Arial" w:cs="Arial"/>
          <w:szCs w:val="38"/>
          <w:lang w:eastAsia="en-GB"/>
        </w:rPr>
        <w:t>;</w:t>
      </w:r>
    </w:p>
    <w:p w14:paraId="12A3FF3F" w14:textId="09FCF73A" w:rsidR="00D405F2" w:rsidRPr="00F76090" w:rsidRDefault="008B2B13" w:rsidP="000D7B26">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 xml:space="preserve">Modernizuojant pėsčiųjų </w:t>
      </w:r>
      <w:r w:rsidR="00E24809" w:rsidRPr="00F76090">
        <w:rPr>
          <w:rFonts w:ascii="Arial" w:eastAsia="Calibri" w:hAnsi="Arial" w:cs="Arial"/>
          <w:szCs w:val="38"/>
          <w:lang w:eastAsia="en-GB"/>
        </w:rPr>
        <w:t>takų tinklą;</w:t>
      </w:r>
    </w:p>
    <w:p w14:paraId="3883CDA8" w14:textId="146EF1E0" w:rsidR="00D405F2" w:rsidRPr="00F76090" w:rsidRDefault="007E6D96" w:rsidP="000D7B26">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Įrengiant bendruomenės zonas su žaidimų aikštelėmis, poilsio erdvėmis ir mažąja architektūra</w:t>
      </w:r>
      <w:r w:rsidR="000B0BE7" w:rsidRPr="00F76090">
        <w:rPr>
          <w:rFonts w:ascii="Arial" w:eastAsia="Calibri" w:hAnsi="Arial" w:cs="Arial"/>
          <w:szCs w:val="38"/>
          <w:lang w:eastAsia="en-GB"/>
        </w:rPr>
        <w:t>;</w:t>
      </w:r>
    </w:p>
    <w:p w14:paraId="3FE98D8D" w14:textId="6658256B" w:rsidR="000B0BE7" w:rsidRPr="00F76090" w:rsidRDefault="000B0BE7" w:rsidP="000D7B26">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t>Įrengiant apšvietimą</w:t>
      </w:r>
      <w:r w:rsidR="00CB37A6" w:rsidRPr="00F76090">
        <w:rPr>
          <w:rFonts w:ascii="Arial" w:eastAsia="Calibri" w:hAnsi="Arial" w:cs="Arial"/>
          <w:szCs w:val="38"/>
          <w:lang w:eastAsia="en-GB"/>
        </w:rPr>
        <w:t>;</w:t>
      </w:r>
    </w:p>
    <w:p w14:paraId="7CA26759" w14:textId="51398B3B" w:rsidR="00CB37A6" w:rsidRPr="00F76090" w:rsidRDefault="00F76090" w:rsidP="000D7B26">
      <w:pPr>
        <w:pStyle w:val="Sraopastraipa"/>
        <w:numPr>
          <w:ilvl w:val="0"/>
          <w:numId w:val="19"/>
        </w:numPr>
        <w:suppressAutoHyphens/>
        <w:autoSpaceDN w:val="0"/>
        <w:spacing w:line="259" w:lineRule="auto"/>
        <w:ind w:left="1281" w:hanging="357"/>
        <w:textAlignment w:val="baseline"/>
        <w:rPr>
          <w:rFonts w:ascii="Arial" w:eastAsia="Calibri" w:hAnsi="Arial" w:cs="Arial"/>
          <w:szCs w:val="38"/>
          <w:lang w:eastAsia="en-GB"/>
        </w:rPr>
      </w:pPr>
      <w:r w:rsidRPr="00F76090">
        <w:rPr>
          <w:rFonts w:ascii="Arial" w:eastAsia="Calibri" w:hAnsi="Arial" w:cs="Arial"/>
          <w:szCs w:val="38"/>
          <w:lang w:eastAsia="en-GB"/>
        </w:rPr>
        <w:lastRenderedPageBreak/>
        <w:t>Įrengiant automobilių stovėjimo vietas, įskaitant pritaikytas asmenims su negalia</w:t>
      </w:r>
      <w:r w:rsidR="00BF059A" w:rsidRPr="00F76090">
        <w:rPr>
          <w:rFonts w:ascii="Arial" w:eastAsia="Calibri" w:hAnsi="Arial" w:cs="Arial"/>
          <w:szCs w:val="38"/>
          <w:lang w:eastAsia="en-GB"/>
        </w:rPr>
        <w:t>.</w:t>
      </w:r>
    </w:p>
    <w:p w14:paraId="43671D62" w14:textId="74C404AC" w:rsidR="00024522" w:rsidRPr="007C4F3A" w:rsidRDefault="00D405F2" w:rsidP="002F5F80">
      <w:pPr>
        <w:suppressAutoHyphens/>
        <w:autoSpaceDN w:val="0"/>
        <w:textAlignment w:val="baseline"/>
        <w:rPr>
          <w:rFonts w:eastAsia="Calibri" w:cs="Arial"/>
          <w:szCs w:val="38"/>
          <w:lang w:eastAsia="en-GB"/>
        </w:rPr>
      </w:pPr>
      <w:r w:rsidRPr="007C4F3A">
        <w:rPr>
          <w:rFonts w:eastAsia="Calibri" w:cs="Arial"/>
          <w:szCs w:val="38"/>
          <w:lang w:eastAsia="en-GB"/>
        </w:rPr>
        <w:t>Tokiu būdu nustatomi minimalūs siekiami IP rezultatai (pokytis).</w:t>
      </w:r>
    </w:p>
    <w:p w14:paraId="383AD1BB" w14:textId="77777777" w:rsidR="0085228F" w:rsidRPr="007C4F3A" w:rsidRDefault="0085228F" w:rsidP="0085228F">
      <w:pPr>
        <w:ind w:firstLine="0"/>
      </w:pPr>
      <w:r w:rsidRPr="007C4F3A">
        <w:rPr>
          <w:noProof/>
        </w:rPr>
        <w:drawing>
          <wp:inline distT="0" distB="0" distL="0" distR="0" wp14:anchorId="498C1AD7" wp14:editId="5F759876">
            <wp:extent cx="5756644" cy="3797935"/>
            <wp:effectExtent l="38100" t="19050" r="15875" b="3111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8CB7DE" w14:textId="77777777" w:rsidR="0085228F" w:rsidRPr="007C4F3A" w:rsidRDefault="0085228F" w:rsidP="00D5348A">
      <w:pPr>
        <w:pStyle w:val="PaveikslasL"/>
        <w:spacing w:after="0"/>
      </w:pPr>
      <w:bookmarkStart w:id="192" w:name="_Toc96920511"/>
      <w:bookmarkStart w:id="193" w:name="_Toc128051683"/>
      <w:bookmarkStart w:id="194" w:name="_Toc180654885"/>
      <w:bookmarkStart w:id="195" w:name="_Toc198807834"/>
      <w:r w:rsidRPr="007C4F3A">
        <w:t>2.5.1. pav. Projekto problemos, tikslų, uždavinių ir siekiamo pokyčio sąsaja</w:t>
      </w:r>
      <w:bookmarkEnd w:id="192"/>
      <w:bookmarkEnd w:id="193"/>
      <w:bookmarkEnd w:id="194"/>
      <w:bookmarkEnd w:id="195"/>
    </w:p>
    <w:p w14:paraId="6E466BCE" w14:textId="1206A7E6" w:rsidR="00D405F2" w:rsidRPr="007C4F3A" w:rsidRDefault="006B10B4" w:rsidP="000A301B">
      <w:pPr>
        <w:spacing w:after="120" w:line="22" w:lineRule="atLeast"/>
        <w:jc w:val="center"/>
        <w:rPr>
          <w:rFonts w:cs="Arial"/>
          <w:i/>
          <w:iCs/>
          <w:sz w:val="20"/>
          <w:szCs w:val="20"/>
        </w:rPr>
      </w:pPr>
      <w:r w:rsidRPr="007C4F3A">
        <w:rPr>
          <w:rFonts w:cs="Arial"/>
          <w:i/>
          <w:iCs/>
          <w:sz w:val="20"/>
          <w:szCs w:val="20"/>
        </w:rPr>
        <w:t>Šaltinis: sudaryta autorių</w:t>
      </w:r>
      <w:bookmarkStart w:id="196" w:name="_Toc123288112"/>
      <w:bookmarkStart w:id="197" w:name="_Toc159421945"/>
      <w:bookmarkStart w:id="198" w:name="_Toc160544954"/>
      <w:bookmarkStart w:id="199" w:name="_Toc161166377"/>
      <w:bookmarkStart w:id="200" w:name="_Toc179180665"/>
      <w:bookmarkEnd w:id="176"/>
      <w:r w:rsidR="00D405F2" w:rsidRPr="007C4F3A">
        <w:rPr>
          <w:rFonts w:eastAsia="Calibri" w:cs="Arial"/>
          <w:szCs w:val="38"/>
          <w:lang w:eastAsia="en-GB"/>
        </w:rPr>
        <w:br w:type="page"/>
      </w:r>
    </w:p>
    <w:p w14:paraId="20CBC111" w14:textId="571AD765" w:rsidR="006F1D33" w:rsidRPr="007C4F3A" w:rsidRDefault="006F1D33" w:rsidP="00E73936">
      <w:pPr>
        <w:pStyle w:val="Antrat1"/>
      </w:pPr>
      <w:bookmarkStart w:id="201" w:name="_Toc197939621"/>
      <w:r w:rsidRPr="007C4F3A">
        <w:lastRenderedPageBreak/>
        <w:t>3. Galimybės ir alternatyvos</w:t>
      </w:r>
      <w:bookmarkEnd w:id="196"/>
      <w:bookmarkEnd w:id="197"/>
      <w:bookmarkEnd w:id="198"/>
      <w:bookmarkEnd w:id="199"/>
      <w:bookmarkEnd w:id="200"/>
      <w:bookmarkEnd w:id="201"/>
    </w:p>
    <w:p w14:paraId="43BA63D8" w14:textId="6C32F162" w:rsidR="006F1D33" w:rsidRPr="007C4F3A" w:rsidRDefault="004265F3" w:rsidP="00D67B2F">
      <w:pPr>
        <w:pStyle w:val="Poskyris"/>
      </w:pPr>
      <w:bookmarkStart w:id="202" w:name="_Toc123288113"/>
      <w:bookmarkStart w:id="203" w:name="_Toc159421946"/>
      <w:bookmarkStart w:id="204" w:name="_Toc161166378"/>
      <w:bookmarkStart w:id="205" w:name="_Toc179180666"/>
      <w:r>
        <w:tab/>
      </w:r>
      <w:bookmarkStart w:id="206" w:name="_Toc197939622"/>
      <w:r w:rsidR="006F1D33" w:rsidRPr="007C4F3A">
        <w:t>3.1. Esamos situacijos aprašymas</w:t>
      </w:r>
      <w:bookmarkEnd w:id="202"/>
      <w:bookmarkEnd w:id="203"/>
      <w:bookmarkEnd w:id="204"/>
      <w:bookmarkEnd w:id="205"/>
      <w:bookmarkEnd w:id="206"/>
    </w:p>
    <w:p w14:paraId="49A5D8C5" w14:textId="7A79EA95" w:rsidR="00E948FB" w:rsidRDefault="006F1D33" w:rsidP="0010443F">
      <w:pPr>
        <w:suppressAutoHyphens/>
        <w:autoSpaceDN w:val="0"/>
        <w:spacing w:before="120" w:after="120"/>
        <w:textAlignment w:val="baseline"/>
        <w:rPr>
          <w:rFonts w:eastAsia="Calibri" w:cs="Arial"/>
          <w:color w:val="auto"/>
          <w:szCs w:val="38"/>
          <w:lang w:eastAsia="en-GB"/>
        </w:rPr>
      </w:pPr>
      <w:r w:rsidRPr="007C4F3A">
        <w:rPr>
          <w:rFonts w:eastAsia="Calibri" w:cs="Arial"/>
          <w:color w:val="auto"/>
          <w:szCs w:val="38"/>
          <w:lang w:eastAsia="en-GB"/>
        </w:rPr>
        <w:t>Šiame investicijų projekto skyriuje įvertinama padėtis, jei projekto organizacija tęstų veiklą nedarydama jokių investicijų, nurodomos galimos veiklos bei jų vertinimo kriterijai. Įvertinus veiklas, pasirenkamas analizės metodas.</w:t>
      </w:r>
    </w:p>
    <w:p w14:paraId="3F8483F3" w14:textId="77777777" w:rsidR="00E87A5A" w:rsidRPr="007C4F3A" w:rsidRDefault="00E87A5A" w:rsidP="0010443F">
      <w:pPr>
        <w:suppressAutoHyphens/>
        <w:autoSpaceDN w:val="0"/>
        <w:spacing w:before="120" w:after="120"/>
        <w:textAlignment w:val="baseline"/>
        <w:rPr>
          <w:rFonts w:eastAsia="Calibri" w:cs="Arial"/>
          <w:color w:val="auto"/>
          <w:szCs w:val="38"/>
          <w:lang w:eastAsia="en-GB"/>
        </w:rPr>
      </w:pPr>
    </w:p>
    <w:p w14:paraId="074B1F38" w14:textId="7963213A" w:rsidR="00A9222C" w:rsidRDefault="004265F3" w:rsidP="00D67B2F">
      <w:pPr>
        <w:pStyle w:val="Poskyris"/>
      </w:pPr>
      <w:bookmarkStart w:id="207" w:name="_Toc179180667"/>
      <w:r>
        <w:tab/>
      </w:r>
      <w:bookmarkStart w:id="208" w:name="_Toc197939623"/>
      <w:r w:rsidR="006F1D33" w:rsidRPr="007C4F3A">
        <w:t xml:space="preserve">3.2. </w:t>
      </w:r>
      <w:bookmarkStart w:id="209" w:name="_Toc2329980"/>
      <w:bookmarkStart w:id="210" w:name="_Toc26282865"/>
      <w:bookmarkStart w:id="211" w:name="_Toc135375787"/>
      <w:bookmarkStart w:id="212" w:name="_Toc161166379"/>
      <w:r w:rsidR="006F1D33" w:rsidRPr="007C4F3A">
        <w:t>Esama situacija</w:t>
      </w:r>
      <w:bookmarkEnd w:id="207"/>
      <w:bookmarkEnd w:id="208"/>
      <w:bookmarkEnd w:id="209"/>
      <w:bookmarkEnd w:id="210"/>
      <w:bookmarkEnd w:id="211"/>
      <w:bookmarkEnd w:id="212"/>
    </w:p>
    <w:p w14:paraId="3E35740E" w14:textId="34F7663A" w:rsidR="007326FA" w:rsidRPr="007C4F3A" w:rsidRDefault="00480F6D" w:rsidP="001F325F">
      <w:pPr>
        <w:pStyle w:val="Pagrindinis"/>
      </w:pPr>
      <w:r>
        <w:t>3.2.1. p</w:t>
      </w:r>
      <w:r w:rsidR="001F325F" w:rsidRPr="001F325F">
        <w:t>ateikt</w:t>
      </w:r>
      <w:r>
        <w:t>ame paveiksle</w:t>
      </w:r>
      <w:r w:rsidR="001F325F" w:rsidRPr="001F325F">
        <w:t xml:space="preserve"> vaizduojama Aukštakalnio mikrorajono dalis – viena tankiausiai apgyvendintų Utenos miesto teritorijų, kurioje vyrauja daugiabučių gyvenamųjų namų užstatymas. Šiuo metu teritorijoje stebima intensyvi urbanistinė apkrova, o esama infrastruktūra – pėsčiųjų takai, želdiniai, bendro naudojimo zonos – yra fiziškai nusidėvėjusi, fragmentuota ir ribotai pritaikyta įvairiems gyventojų poreikiams</w:t>
      </w:r>
      <w:r w:rsidR="001F325F">
        <w:t>, d</w:t>
      </w:r>
      <w:r w:rsidR="001F325F" w:rsidRPr="001F325F">
        <w:t>ėl to kyla</w:t>
      </w:r>
      <w:r w:rsidR="001F325F">
        <w:t xml:space="preserve"> poreikis</w:t>
      </w:r>
      <w:r w:rsidR="001F325F" w:rsidRPr="001F325F">
        <w:t xml:space="preserve"> kompleksiškai atnaujinti ir humanizuoti viešąsias erdves, gerinant jų kokybę, funkcionalumą ir prieinamumą.</w:t>
      </w:r>
    </w:p>
    <w:p w14:paraId="2301C9A4" w14:textId="54D74732" w:rsidR="00A45DF1" w:rsidRPr="00895DF3" w:rsidRDefault="00415E57" w:rsidP="003F17B2">
      <w:pPr>
        <w:suppressAutoHyphens/>
        <w:autoSpaceDN w:val="0"/>
        <w:spacing w:before="120" w:after="120"/>
        <w:jc w:val="center"/>
        <w:textAlignment w:val="baseline"/>
        <w:rPr>
          <w:rFonts w:eastAsia="Calibri" w:cs="Arial"/>
          <w:color w:val="auto"/>
          <w:szCs w:val="38"/>
          <w:highlight w:val="yellow"/>
          <w:lang w:eastAsia="en-GB"/>
        </w:rPr>
      </w:pPr>
      <w:r w:rsidRPr="00415E57">
        <w:rPr>
          <w:rFonts w:eastAsia="Calibri" w:cs="Arial"/>
          <w:noProof/>
          <w:color w:val="auto"/>
          <w:szCs w:val="38"/>
          <w:lang w:eastAsia="en-GB"/>
        </w:rPr>
        <w:drawing>
          <wp:inline distT="0" distB="0" distL="0" distR="0" wp14:anchorId="2FEAE329" wp14:editId="3DD80D72">
            <wp:extent cx="4534533" cy="3238952"/>
            <wp:effectExtent l="0" t="0" r="0" b="0"/>
            <wp:docPr id="475781986" name="Paveikslėlis 1" descr="Paveikslėlis, kuriame yra Fotografija iš oro, Vaizdas iš paukščio skrydžio, tekst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1986" name="Paveikslėlis 1" descr="Paveikslėlis, kuriame yra Fotografija iš oro, Vaizdas iš paukščio skrydžio, tekstas, iš oro&#10;&#10;Dirbtinio intelekto sugeneruotas turinys gali būti neteisingas."/>
                    <pic:cNvPicPr/>
                  </pic:nvPicPr>
                  <pic:blipFill>
                    <a:blip r:embed="rId23"/>
                    <a:stretch>
                      <a:fillRect/>
                    </a:stretch>
                  </pic:blipFill>
                  <pic:spPr>
                    <a:xfrm>
                      <a:off x="0" y="0"/>
                      <a:ext cx="4534533" cy="3238952"/>
                    </a:xfrm>
                    <a:prstGeom prst="rect">
                      <a:avLst/>
                    </a:prstGeom>
                    <a:effectLst>
                      <a:softEdge rad="127000"/>
                    </a:effectLst>
                  </pic:spPr>
                </pic:pic>
              </a:graphicData>
            </a:graphic>
          </wp:inline>
        </w:drawing>
      </w:r>
    </w:p>
    <w:p w14:paraId="23AAA484" w14:textId="7B774031" w:rsidR="003F17B2" w:rsidRPr="00F4618B" w:rsidRDefault="002B0A04" w:rsidP="0032755D">
      <w:pPr>
        <w:pStyle w:val="PaveikslasL"/>
        <w:rPr>
          <w:rFonts w:eastAsia="Calibri"/>
          <w:lang w:eastAsia="en-GB"/>
        </w:rPr>
      </w:pPr>
      <w:bookmarkStart w:id="213" w:name="_Toc198807835"/>
      <w:r w:rsidRPr="00F4618B">
        <w:rPr>
          <w:rFonts w:eastAsia="Calibri"/>
          <w:lang w:eastAsia="en-GB"/>
        </w:rPr>
        <w:t xml:space="preserve">3.2.1. pav. </w:t>
      </w:r>
      <w:r w:rsidR="00415E57" w:rsidRPr="00F4618B">
        <w:rPr>
          <w:rFonts w:eastAsia="Calibri"/>
          <w:lang w:eastAsia="en-GB"/>
        </w:rPr>
        <w:t>Teritorijos schema</w:t>
      </w:r>
      <w:bookmarkEnd w:id="213"/>
    </w:p>
    <w:p w14:paraId="592815B3" w14:textId="0487E249" w:rsidR="009F2815" w:rsidRDefault="00415E57" w:rsidP="009F2815">
      <w:pPr>
        <w:ind w:firstLine="0"/>
        <w:jc w:val="center"/>
        <w:rPr>
          <w:rFonts w:eastAsia="Calibri" w:cs="Arial"/>
          <w:i/>
          <w:color w:val="auto"/>
          <w:sz w:val="20"/>
          <w:szCs w:val="20"/>
          <w:lang w:eastAsia="lt-LT"/>
        </w:rPr>
      </w:pPr>
      <w:r w:rsidRPr="00F4618B">
        <w:rPr>
          <w:rFonts w:eastAsia="Calibri" w:cs="Arial"/>
          <w:i/>
          <w:color w:val="auto"/>
          <w:sz w:val="20"/>
          <w:szCs w:val="20"/>
          <w:lang w:eastAsia="lt-LT"/>
        </w:rPr>
        <w:t>Šaltinis: 2024-2029 m. Utenos miesto tvarios plėtros strategija</w:t>
      </w:r>
    </w:p>
    <w:p w14:paraId="0275AF0E" w14:textId="4B888779" w:rsidR="009E332E" w:rsidRPr="009E332E" w:rsidRDefault="00477B74" w:rsidP="009E332E">
      <w:pPr>
        <w:pStyle w:val="Pagrindinis"/>
        <w:rPr>
          <w:lang w:eastAsia="lt-LT"/>
        </w:rPr>
      </w:pPr>
      <w:r w:rsidRPr="00477B74">
        <w:rPr>
          <w:lang w:eastAsia="lt-LT"/>
        </w:rPr>
        <w:t xml:space="preserve">Projekte tvarkoma Aukštakalnio mikrorajono teritorija suskirstyta į dvi dalis – šiaurinę ir pietinę, kurių planiniai sprendiniai pateikiami atitinkamai 3.2.2 ir 3.2.3 paveiksluose. </w:t>
      </w:r>
      <w:r w:rsidR="009E332E" w:rsidRPr="009E332E">
        <w:rPr>
          <w:lang w:eastAsia="lt-LT"/>
        </w:rPr>
        <w:t>Šis suskirstymas leidžia sistemiškai planuoti viešųjų erdvių atnaujinimą ir pritaikymą pagal skirtingus funkcinės aplinkos poreikius.</w:t>
      </w:r>
      <w:r w:rsidR="009E332E">
        <w:rPr>
          <w:lang w:eastAsia="lt-LT"/>
        </w:rPr>
        <w:t xml:space="preserve"> </w:t>
      </w:r>
      <w:r w:rsidR="009E332E" w:rsidRPr="009E332E">
        <w:rPr>
          <w:lang w:eastAsia="lt-LT"/>
        </w:rPr>
        <w:t>Ryškiausia schemose dominuojanti rožinė spalva žymi projektuojamas dangas, kur planuojama naudoti esamus dangos pasluoksnius – tai sprendimas, padedantis racionaliai išnaudoti esamą infrastruktūrą ir optimizuoti įgyvendinimo kaštus. Žalia spalva schemose žymi projektuojamus želdynus – medžius, krūmus, veją ar gėlynus – kurie prisideda prie estetinės aplinkos kokybės ir ekologinio stabilumo gerinimo.</w:t>
      </w:r>
      <w:r w:rsidR="009E332E">
        <w:rPr>
          <w:lang w:eastAsia="lt-LT"/>
        </w:rPr>
        <w:t xml:space="preserve"> </w:t>
      </w:r>
      <w:r w:rsidR="009E332E" w:rsidRPr="009E332E">
        <w:rPr>
          <w:lang w:eastAsia="lt-LT"/>
        </w:rPr>
        <w:t>Taip pat numatytos bendruomenės veiklai skirtos zonos ir vaikų žaidimų aikštelės, kurios schemose pažymėtos atitinkamais ženklais. Kiti elementai, tokie kaip pėsčiųjų ir dviračių takai</w:t>
      </w:r>
      <w:r w:rsidR="00B2600D">
        <w:rPr>
          <w:lang w:eastAsia="lt-LT"/>
        </w:rPr>
        <w:t xml:space="preserve"> </w:t>
      </w:r>
      <w:r w:rsidR="009E332E" w:rsidRPr="009E332E">
        <w:rPr>
          <w:lang w:eastAsia="lt-LT"/>
        </w:rPr>
        <w:t>bei bendruomenės vietos, taip pat pažymėti kitomis legendos nurodytomis spalvomis ir ženklais, kurie leidžia lengvai identifikuoti konkrečias planuojamas priemones teritorijoje.</w:t>
      </w:r>
    </w:p>
    <w:p w14:paraId="72AB3B22" w14:textId="77C9707E" w:rsidR="009F2815" w:rsidRPr="00F4618B" w:rsidRDefault="009F2815" w:rsidP="009F2815">
      <w:pPr>
        <w:pStyle w:val="Pagrindinis"/>
        <w:rPr>
          <w:lang w:eastAsia="lt-LT"/>
        </w:rPr>
      </w:pPr>
    </w:p>
    <w:p w14:paraId="289E20D4" w14:textId="7D072508" w:rsidR="000C0A02" w:rsidRDefault="007E2387" w:rsidP="008E6F09">
      <w:pPr>
        <w:ind w:firstLine="0"/>
        <w:jc w:val="center"/>
        <w:rPr>
          <w:rFonts w:eastAsia="Calibri" w:cs="Arial"/>
          <w:i/>
          <w:color w:val="auto"/>
          <w:sz w:val="20"/>
          <w:szCs w:val="20"/>
          <w:highlight w:val="lightGray"/>
          <w:lang w:eastAsia="lt-LT"/>
        </w:rPr>
      </w:pPr>
      <w:r w:rsidRPr="007E2387">
        <w:rPr>
          <w:rFonts w:eastAsia="Calibri" w:cs="Arial"/>
          <w:i/>
          <w:noProof/>
          <w:color w:val="auto"/>
          <w:sz w:val="20"/>
          <w:szCs w:val="20"/>
          <w:lang w:eastAsia="lt-LT"/>
        </w:rPr>
        <w:lastRenderedPageBreak/>
        <w:drawing>
          <wp:inline distT="0" distB="0" distL="0" distR="0" wp14:anchorId="1624AB4E" wp14:editId="6FB5D45A">
            <wp:extent cx="4941817" cy="8534109"/>
            <wp:effectExtent l="0" t="0" r="0" b="635"/>
            <wp:docPr id="1403517563" name="Paveikslėlis 1" descr="Paveikslėlis, kuriame yra Planas, diagrama,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17563" name="Paveikslėlis 1" descr="Paveikslėlis, kuriame yra Planas, diagrama, tekstas, žemėlapis&#10;&#10;Dirbtinio intelekto sugeneruotas turinys gali būti neteisingas."/>
                    <pic:cNvPicPr/>
                  </pic:nvPicPr>
                  <pic:blipFill>
                    <a:blip r:embed="rId24"/>
                    <a:stretch>
                      <a:fillRect/>
                    </a:stretch>
                  </pic:blipFill>
                  <pic:spPr>
                    <a:xfrm>
                      <a:off x="0" y="0"/>
                      <a:ext cx="4956064" cy="8558712"/>
                    </a:xfrm>
                    <a:prstGeom prst="rect">
                      <a:avLst/>
                    </a:prstGeom>
                  </pic:spPr>
                </pic:pic>
              </a:graphicData>
            </a:graphic>
          </wp:inline>
        </w:drawing>
      </w:r>
    </w:p>
    <w:p w14:paraId="316F1822" w14:textId="4CB8B3BA" w:rsidR="003F20ED" w:rsidRPr="003F20ED" w:rsidRDefault="003F20ED" w:rsidP="003F20ED">
      <w:pPr>
        <w:pStyle w:val="PaveikslasL"/>
        <w:rPr>
          <w:rFonts w:eastAsia="Calibri"/>
          <w:lang w:eastAsia="en-GB"/>
        </w:rPr>
      </w:pPr>
      <w:bookmarkStart w:id="214" w:name="_Toc198807836"/>
      <w:r w:rsidRPr="00F4618B">
        <w:rPr>
          <w:rFonts w:eastAsia="Calibri"/>
          <w:lang w:eastAsia="en-GB"/>
        </w:rPr>
        <w:lastRenderedPageBreak/>
        <w:t>3.2.</w:t>
      </w:r>
      <w:r w:rsidR="008E6F09">
        <w:rPr>
          <w:rFonts w:eastAsia="Calibri"/>
          <w:lang w:eastAsia="en-GB"/>
        </w:rPr>
        <w:t>2</w:t>
      </w:r>
      <w:r w:rsidRPr="00F4618B">
        <w:rPr>
          <w:rFonts w:eastAsia="Calibri"/>
          <w:lang w:eastAsia="en-GB"/>
        </w:rPr>
        <w:t xml:space="preserve">. pav. </w:t>
      </w:r>
      <w:r w:rsidR="00A06BF8">
        <w:rPr>
          <w:rFonts w:eastAsia="Calibri"/>
          <w:lang w:eastAsia="en-GB"/>
        </w:rPr>
        <w:t xml:space="preserve">Šiaurinės dalies </w:t>
      </w:r>
      <w:r w:rsidR="008E6F09">
        <w:rPr>
          <w:rFonts w:eastAsia="Calibri"/>
          <w:lang w:eastAsia="en-GB"/>
        </w:rPr>
        <w:t>t</w:t>
      </w:r>
      <w:r w:rsidRPr="00F4618B">
        <w:rPr>
          <w:rFonts w:eastAsia="Calibri"/>
          <w:lang w:eastAsia="en-GB"/>
        </w:rPr>
        <w:t>eritorijos schema</w:t>
      </w:r>
      <w:bookmarkEnd w:id="214"/>
    </w:p>
    <w:p w14:paraId="4A387F3B" w14:textId="6209B235" w:rsidR="00BE5C66" w:rsidRPr="009F2815" w:rsidRDefault="003F20ED" w:rsidP="009F2815">
      <w:pPr>
        <w:ind w:firstLine="0"/>
        <w:jc w:val="center"/>
        <w:rPr>
          <w:rFonts w:eastAsia="Calibri" w:cs="Arial"/>
          <w:i/>
          <w:color w:val="auto"/>
          <w:sz w:val="20"/>
          <w:szCs w:val="20"/>
          <w:lang w:eastAsia="lt-LT"/>
        </w:rPr>
      </w:pPr>
      <w:r w:rsidRPr="000C0A02">
        <w:rPr>
          <w:rFonts w:eastAsia="Calibri" w:cs="Arial"/>
          <w:i/>
          <w:color w:val="auto"/>
          <w:sz w:val="20"/>
          <w:szCs w:val="20"/>
          <w:lang w:eastAsia="lt-LT"/>
        </w:rPr>
        <w:t>Šaltinis: Utenos rajono savivaldybės administracijos duomenys</w:t>
      </w:r>
    </w:p>
    <w:p w14:paraId="3A0DC0D3" w14:textId="145EE25E" w:rsidR="00E964C3" w:rsidRDefault="00E964C3" w:rsidP="008E6F09">
      <w:pPr>
        <w:ind w:firstLine="0"/>
        <w:jc w:val="center"/>
        <w:rPr>
          <w:rFonts w:eastAsia="Calibri" w:cs="Arial"/>
          <w:i/>
          <w:color w:val="auto"/>
          <w:sz w:val="20"/>
          <w:szCs w:val="20"/>
          <w:highlight w:val="lightGray"/>
          <w:lang w:eastAsia="lt-LT"/>
        </w:rPr>
      </w:pPr>
      <w:r w:rsidRPr="00E964C3">
        <w:rPr>
          <w:rFonts w:eastAsia="Calibri" w:cs="Arial"/>
          <w:i/>
          <w:noProof/>
          <w:color w:val="auto"/>
          <w:sz w:val="20"/>
          <w:szCs w:val="20"/>
          <w:lang w:eastAsia="lt-LT"/>
        </w:rPr>
        <w:drawing>
          <wp:inline distT="0" distB="0" distL="0" distR="0" wp14:anchorId="171EE2BA" wp14:editId="03F04105">
            <wp:extent cx="6480175" cy="3840480"/>
            <wp:effectExtent l="0" t="0" r="0" b="7620"/>
            <wp:docPr id="2030408963" name="Paveikslėlis 1" descr="Paveikslėlis, kuriame yra tekstas, žemėlapis, Plan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8963" name="Paveikslėlis 1" descr="Paveikslėlis, kuriame yra tekstas, žemėlapis, Planas, diagrama&#10;&#10;Dirbtinio intelekto sugeneruotas turinys gali būti neteisingas."/>
                    <pic:cNvPicPr/>
                  </pic:nvPicPr>
                  <pic:blipFill>
                    <a:blip r:embed="rId25"/>
                    <a:stretch>
                      <a:fillRect/>
                    </a:stretch>
                  </pic:blipFill>
                  <pic:spPr>
                    <a:xfrm>
                      <a:off x="0" y="0"/>
                      <a:ext cx="6480175" cy="3840480"/>
                    </a:xfrm>
                    <a:prstGeom prst="rect">
                      <a:avLst/>
                    </a:prstGeom>
                  </pic:spPr>
                </pic:pic>
              </a:graphicData>
            </a:graphic>
          </wp:inline>
        </w:drawing>
      </w:r>
    </w:p>
    <w:p w14:paraId="6376D591" w14:textId="29B1B784" w:rsidR="003F20ED" w:rsidRPr="003F20ED" w:rsidRDefault="003F20ED" w:rsidP="003F20ED">
      <w:pPr>
        <w:pStyle w:val="PaveikslasL"/>
        <w:rPr>
          <w:rFonts w:eastAsia="Calibri"/>
          <w:lang w:eastAsia="en-GB"/>
        </w:rPr>
      </w:pPr>
      <w:bookmarkStart w:id="215" w:name="_Toc198807837"/>
      <w:r w:rsidRPr="00F4618B">
        <w:rPr>
          <w:rFonts w:eastAsia="Calibri"/>
          <w:lang w:eastAsia="en-GB"/>
        </w:rPr>
        <w:t>3.2.</w:t>
      </w:r>
      <w:r w:rsidR="008E6F09">
        <w:rPr>
          <w:rFonts w:eastAsia="Calibri"/>
          <w:lang w:eastAsia="en-GB"/>
        </w:rPr>
        <w:t>3</w:t>
      </w:r>
      <w:r w:rsidRPr="00F4618B">
        <w:rPr>
          <w:rFonts w:eastAsia="Calibri"/>
          <w:lang w:eastAsia="en-GB"/>
        </w:rPr>
        <w:t xml:space="preserve">. pav. </w:t>
      </w:r>
      <w:r w:rsidR="008E6F09">
        <w:rPr>
          <w:rFonts w:eastAsia="Calibri"/>
          <w:lang w:eastAsia="en-GB"/>
        </w:rPr>
        <w:t>Pietinės dalies t</w:t>
      </w:r>
      <w:r w:rsidRPr="00F4618B">
        <w:rPr>
          <w:rFonts w:eastAsia="Calibri"/>
          <w:lang w:eastAsia="en-GB"/>
        </w:rPr>
        <w:t>eritorijos schema</w:t>
      </w:r>
      <w:bookmarkEnd w:id="215"/>
    </w:p>
    <w:p w14:paraId="40ECE419" w14:textId="5D460D3D" w:rsidR="00E964C3" w:rsidRPr="000C0A02" w:rsidRDefault="00E964C3" w:rsidP="008E6F09">
      <w:pPr>
        <w:ind w:firstLine="0"/>
        <w:jc w:val="center"/>
        <w:rPr>
          <w:rFonts w:eastAsia="Calibri" w:cs="Arial"/>
          <w:i/>
          <w:color w:val="auto"/>
          <w:sz w:val="20"/>
          <w:szCs w:val="20"/>
          <w:lang w:eastAsia="lt-LT"/>
        </w:rPr>
      </w:pPr>
      <w:r w:rsidRPr="000C0A02">
        <w:rPr>
          <w:rFonts w:eastAsia="Calibri" w:cs="Arial"/>
          <w:i/>
          <w:color w:val="auto"/>
          <w:sz w:val="20"/>
          <w:szCs w:val="20"/>
          <w:lang w:eastAsia="lt-LT"/>
        </w:rPr>
        <w:t>Šaltinis: Utenos rajono savivaldybės administracijos duomenys</w:t>
      </w:r>
    </w:p>
    <w:p w14:paraId="092E1A29" w14:textId="7B286DEE" w:rsidR="009E332E" w:rsidRDefault="00146788" w:rsidP="00146788">
      <w:pPr>
        <w:pStyle w:val="Pagrindinis"/>
        <w:rPr>
          <w:highlight w:val="lightGray"/>
          <w:lang w:eastAsia="lt-LT"/>
        </w:rPr>
      </w:pPr>
      <w:r w:rsidRPr="00146788">
        <w:rPr>
          <w:lang w:eastAsia="lt-LT"/>
        </w:rPr>
        <w:t>Detalūs planuojamų dangų, želdinių, mažosios architektūros elementų ir kitų infrastruktūrinių sprendinių kiekiai pagal kvartalo dalis pateikiami 3.2.1. lentelėje.</w:t>
      </w:r>
    </w:p>
    <w:p w14:paraId="19EC1CC3" w14:textId="605E3EA8" w:rsidR="000C0A02" w:rsidRPr="00F4618B" w:rsidRDefault="000C0A02" w:rsidP="000C0A02">
      <w:pPr>
        <w:pStyle w:val="LentelsL"/>
        <w:rPr>
          <w:rFonts w:eastAsia="Calibri"/>
          <w:color w:val="002060"/>
          <w:lang w:eastAsia="en-GB"/>
        </w:rPr>
      </w:pPr>
      <w:bookmarkStart w:id="216" w:name="_Toc198807818"/>
      <w:r w:rsidRPr="00F4618B">
        <w:rPr>
          <w:rFonts w:eastAsia="Calibri"/>
          <w:lang w:eastAsia="en-GB"/>
        </w:rPr>
        <w:t xml:space="preserve">3.2.1. lentelė. Aukštakalnio kvartalo </w:t>
      </w:r>
      <w:r w:rsidR="006653DC">
        <w:rPr>
          <w:rFonts w:eastAsia="Calibri"/>
          <w:lang w:eastAsia="en-GB"/>
        </w:rPr>
        <w:t>apimtys</w:t>
      </w:r>
      <w:bookmarkEnd w:id="216"/>
    </w:p>
    <w:tbl>
      <w:tblPr>
        <w:tblStyle w:val="LightList-Accent1114"/>
        <w:tblW w:w="10201" w:type="dxa"/>
        <w:tblLook w:val="04A0" w:firstRow="1" w:lastRow="0" w:firstColumn="1" w:lastColumn="0" w:noHBand="0" w:noVBand="1"/>
      </w:tblPr>
      <w:tblGrid>
        <w:gridCol w:w="2122"/>
        <w:gridCol w:w="3260"/>
        <w:gridCol w:w="1417"/>
        <w:gridCol w:w="1134"/>
        <w:gridCol w:w="1134"/>
        <w:gridCol w:w="1134"/>
      </w:tblGrid>
      <w:tr w:rsidR="008A1BA8" w:rsidRPr="006F139E" w14:paraId="7BF054A5" w14:textId="77777777" w:rsidTr="000C0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2" w:type="dxa"/>
            <w:gridSpan w:val="2"/>
            <w:vAlign w:val="center"/>
          </w:tcPr>
          <w:p w14:paraId="345455C4" w14:textId="01B6E522" w:rsidR="008A1BA8" w:rsidRPr="006F139E" w:rsidRDefault="008A1BA8" w:rsidP="00EA2177">
            <w:pPr>
              <w:ind w:firstLine="0"/>
              <w:jc w:val="left"/>
              <w:rPr>
                <w:rFonts w:eastAsia="Calibri" w:cs="Arial"/>
                <w:i/>
                <w:color w:val="FFFFFF" w:themeColor="background1"/>
                <w:sz w:val="20"/>
                <w:szCs w:val="20"/>
                <w:highlight w:val="lightGray"/>
              </w:rPr>
            </w:pPr>
            <w:r w:rsidRPr="006F139E">
              <w:rPr>
                <w:rFonts w:cs="Arial"/>
                <w:color w:val="FFFFFF" w:themeColor="background1"/>
                <w:sz w:val="20"/>
                <w:szCs w:val="20"/>
              </w:rPr>
              <w:t>DANGOS su panaudojamu senu pasluoksniu</w:t>
            </w:r>
          </w:p>
        </w:tc>
        <w:tc>
          <w:tcPr>
            <w:tcW w:w="1417" w:type="dxa"/>
            <w:vAlign w:val="center"/>
          </w:tcPr>
          <w:p w14:paraId="226B1D1E" w14:textId="0FC08E81" w:rsidR="008A1BA8" w:rsidRPr="006F139E" w:rsidRDefault="001F3A6E" w:rsidP="001F3A6E">
            <w:pPr>
              <w:ind w:firstLine="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FFFFFF" w:themeColor="background1"/>
                <w:sz w:val="20"/>
                <w:szCs w:val="20"/>
              </w:rPr>
              <w:t>m</w:t>
            </w:r>
            <w:r w:rsidRPr="006F139E">
              <w:rPr>
                <w:rFonts w:cs="Arial"/>
                <w:color w:val="FFFFFF" w:themeColor="background1"/>
                <w:sz w:val="20"/>
                <w:szCs w:val="20"/>
                <w:vertAlign w:val="superscript"/>
              </w:rPr>
              <w:t>2</w:t>
            </w:r>
            <w:r w:rsidRPr="006F139E">
              <w:rPr>
                <w:rFonts w:cs="Arial"/>
                <w:color w:val="FFFFFF" w:themeColor="background1"/>
                <w:sz w:val="20"/>
                <w:szCs w:val="20"/>
              </w:rPr>
              <w:t xml:space="preserve"> arba bendra vnt. suma</w:t>
            </w:r>
          </w:p>
        </w:tc>
        <w:tc>
          <w:tcPr>
            <w:tcW w:w="1134" w:type="dxa"/>
            <w:vAlign w:val="center"/>
          </w:tcPr>
          <w:p w14:paraId="0248C45F" w14:textId="4BC68E53" w:rsidR="008A1BA8" w:rsidRPr="006F139E" w:rsidRDefault="008A1BA8" w:rsidP="00EA2177">
            <w:pPr>
              <w:ind w:firstLine="0"/>
              <w:jc w:val="center"/>
              <w:cnfStyle w:val="100000000000" w:firstRow="1" w:lastRow="0" w:firstColumn="0" w:lastColumn="0" w:oddVBand="0" w:evenVBand="0" w:oddHBand="0" w:evenHBand="0" w:firstRowFirstColumn="0" w:firstRowLastColumn="0" w:lastRowFirstColumn="0" w:lastRowLastColumn="0"/>
              <w:rPr>
                <w:rFonts w:eastAsia="Calibri" w:cs="Arial"/>
                <w:i/>
                <w:color w:val="FFFFFF" w:themeColor="background1"/>
                <w:sz w:val="20"/>
                <w:szCs w:val="20"/>
                <w:highlight w:val="lightGray"/>
              </w:rPr>
            </w:pPr>
            <w:r w:rsidRPr="006F139E">
              <w:rPr>
                <w:rFonts w:cs="Arial"/>
                <w:color w:val="FFFFFF" w:themeColor="background1"/>
                <w:sz w:val="20"/>
                <w:szCs w:val="20"/>
              </w:rPr>
              <w:t>Šiaurinė dalis</w:t>
            </w:r>
          </w:p>
        </w:tc>
        <w:tc>
          <w:tcPr>
            <w:tcW w:w="1134" w:type="dxa"/>
            <w:vAlign w:val="center"/>
          </w:tcPr>
          <w:p w14:paraId="3CA21407" w14:textId="1B4ED175" w:rsidR="008A1BA8" w:rsidRPr="006F139E" w:rsidRDefault="008A1BA8" w:rsidP="00EA2177">
            <w:pPr>
              <w:ind w:firstLine="0"/>
              <w:jc w:val="center"/>
              <w:cnfStyle w:val="100000000000" w:firstRow="1" w:lastRow="0" w:firstColumn="0" w:lastColumn="0" w:oddVBand="0" w:evenVBand="0" w:oddHBand="0" w:evenHBand="0" w:firstRowFirstColumn="0" w:firstRowLastColumn="0" w:lastRowFirstColumn="0" w:lastRowLastColumn="0"/>
              <w:rPr>
                <w:rFonts w:eastAsia="Calibri" w:cs="Arial"/>
                <w:i/>
                <w:color w:val="FFFFFF" w:themeColor="background1"/>
                <w:sz w:val="20"/>
                <w:szCs w:val="20"/>
                <w:highlight w:val="lightGray"/>
              </w:rPr>
            </w:pPr>
            <w:r w:rsidRPr="006F139E">
              <w:rPr>
                <w:rFonts w:cs="Arial"/>
                <w:color w:val="FFFFFF" w:themeColor="background1"/>
                <w:sz w:val="20"/>
                <w:szCs w:val="20"/>
              </w:rPr>
              <w:t>Pietinė dalis</w:t>
            </w:r>
          </w:p>
        </w:tc>
        <w:tc>
          <w:tcPr>
            <w:tcW w:w="1134" w:type="dxa"/>
            <w:vAlign w:val="center"/>
          </w:tcPr>
          <w:p w14:paraId="30E72E22" w14:textId="185EABD8" w:rsidR="008A1BA8" w:rsidRPr="006F139E" w:rsidRDefault="008A1BA8" w:rsidP="00EA2177">
            <w:pPr>
              <w:ind w:firstLine="0"/>
              <w:jc w:val="center"/>
              <w:cnfStyle w:val="100000000000" w:firstRow="1" w:lastRow="0" w:firstColumn="0" w:lastColumn="0" w:oddVBand="0" w:evenVBand="0" w:oddHBand="0" w:evenHBand="0" w:firstRowFirstColumn="0" w:firstRowLastColumn="0" w:lastRowFirstColumn="0" w:lastRowLastColumn="0"/>
              <w:rPr>
                <w:rFonts w:eastAsia="Calibri" w:cs="Arial"/>
                <w:i/>
                <w:color w:val="FFFFFF" w:themeColor="background1"/>
                <w:sz w:val="20"/>
                <w:szCs w:val="20"/>
                <w:highlight w:val="lightGray"/>
              </w:rPr>
            </w:pPr>
            <w:r w:rsidRPr="006F139E">
              <w:rPr>
                <w:rFonts w:cs="Arial"/>
                <w:color w:val="FFFFFF" w:themeColor="background1"/>
                <w:sz w:val="20"/>
                <w:szCs w:val="20"/>
              </w:rPr>
              <w:t>Bendras dangos plotas</w:t>
            </w:r>
            <w:r w:rsidR="006F139E" w:rsidRPr="006F139E">
              <w:rPr>
                <w:rFonts w:cs="Arial"/>
                <w:color w:val="FFFFFF" w:themeColor="background1"/>
                <w:sz w:val="20"/>
                <w:szCs w:val="20"/>
              </w:rPr>
              <w:t>, m</w:t>
            </w:r>
            <w:r w:rsidR="006F139E" w:rsidRPr="006F139E">
              <w:rPr>
                <w:rFonts w:cs="Arial"/>
                <w:color w:val="FFFFFF" w:themeColor="background1"/>
                <w:sz w:val="20"/>
                <w:szCs w:val="20"/>
                <w:vertAlign w:val="superscript"/>
              </w:rPr>
              <w:t>2</w:t>
            </w:r>
          </w:p>
        </w:tc>
      </w:tr>
      <w:tr w:rsidR="00EB5848" w:rsidRPr="006F139E" w14:paraId="34910B72"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4DEC4616" w14:textId="049CA2EA" w:rsidR="00EB5848" w:rsidRPr="006F139E" w:rsidRDefault="00EB5848"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Automobilių stovėjimo vietos</w:t>
            </w:r>
          </w:p>
        </w:tc>
        <w:tc>
          <w:tcPr>
            <w:tcW w:w="3260" w:type="dxa"/>
          </w:tcPr>
          <w:p w14:paraId="7C49957A" w14:textId="0BBD9CA9" w:rsidR="00EB5848" w:rsidRPr="006F139E" w:rsidRDefault="00EB5848" w:rsidP="005A46EB">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Oficialių parkavimo vietų skaičius vnt.</w:t>
            </w:r>
          </w:p>
        </w:tc>
        <w:tc>
          <w:tcPr>
            <w:tcW w:w="1417" w:type="dxa"/>
            <w:vAlign w:val="center"/>
          </w:tcPr>
          <w:p w14:paraId="2DF86135" w14:textId="47CDAEDE"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636</w:t>
            </w:r>
          </w:p>
        </w:tc>
        <w:tc>
          <w:tcPr>
            <w:tcW w:w="1134" w:type="dxa"/>
            <w:vAlign w:val="center"/>
          </w:tcPr>
          <w:p w14:paraId="2CB5F9B5" w14:textId="38BA58AF"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248</w:t>
            </w:r>
          </w:p>
        </w:tc>
        <w:tc>
          <w:tcPr>
            <w:tcW w:w="1134" w:type="dxa"/>
            <w:vAlign w:val="center"/>
          </w:tcPr>
          <w:p w14:paraId="5C396B38" w14:textId="5FE909D7"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388</w:t>
            </w:r>
          </w:p>
        </w:tc>
        <w:tc>
          <w:tcPr>
            <w:tcW w:w="1134" w:type="dxa"/>
            <w:vMerge w:val="restart"/>
            <w:vAlign w:val="center"/>
          </w:tcPr>
          <w:p w14:paraId="21D334B6" w14:textId="126CD6D0" w:rsidR="00EB5848" w:rsidRPr="006F139E" w:rsidRDefault="00766F17"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Cs/>
                <w:color w:val="auto"/>
                <w:sz w:val="20"/>
                <w:szCs w:val="20"/>
              </w:rPr>
            </w:pPr>
            <w:r w:rsidRPr="006F139E">
              <w:rPr>
                <w:rFonts w:eastAsia="Calibri" w:cs="Arial"/>
                <w:iCs/>
                <w:color w:val="auto"/>
                <w:sz w:val="20"/>
                <w:szCs w:val="20"/>
              </w:rPr>
              <w:t>-</w:t>
            </w:r>
          </w:p>
        </w:tc>
      </w:tr>
      <w:tr w:rsidR="00EB5848" w:rsidRPr="006F139E" w14:paraId="22D3EBEA"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B70E530" w14:textId="77777777" w:rsidR="00EB5848" w:rsidRPr="006F139E" w:rsidRDefault="00EB5848" w:rsidP="00882BA8">
            <w:pPr>
              <w:ind w:firstLine="0"/>
              <w:jc w:val="left"/>
              <w:rPr>
                <w:rFonts w:eastAsia="Calibri" w:cs="Arial"/>
                <w:iCs/>
                <w:color w:val="auto"/>
                <w:sz w:val="20"/>
                <w:szCs w:val="20"/>
                <w:highlight w:val="lightGray"/>
              </w:rPr>
            </w:pPr>
          </w:p>
        </w:tc>
        <w:tc>
          <w:tcPr>
            <w:tcW w:w="3260" w:type="dxa"/>
          </w:tcPr>
          <w:p w14:paraId="751534EE" w14:textId="042FB26D" w:rsidR="00EB5848" w:rsidRPr="006F139E" w:rsidRDefault="00EB5848" w:rsidP="005A46EB">
            <w:pPr>
              <w:ind w:firstLine="0"/>
              <w:jc w:val="left"/>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ŽN parkavimo vietų skaičius vnt.</w:t>
            </w:r>
          </w:p>
        </w:tc>
        <w:tc>
          <w:tcPr>
            <w:tcW w:w="1417" w:type="dxa"/>
            <w:vAlign w:val="center"/>
          </w:tcPr>
          <w:p w14:paraId="499C8E23" w14:textId="0A2B55E6"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46</w:t>
            </w:r>
          </w:p>
        </w:tc>
        <w:tc>
          <w:tcPr>
            <w:tcW w:w="1134" w:type="dxa"/>
            <w:vAlign w:val="center"/>
          </w:tcPr>
          <w:p w14:paraId="1605C256" w14:textId="3B8B1566"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20</w:t>
            </w:r>
          </w:p>
        </w:tc>
        <w:tc>
          <w:tcPr>
            <w:tcW w:w="1134" w:type="dxa"/>
            <w:vAlign w:val="center"/>
          </w:tcPr>
          <w:p w14:paraId="75FD2D1D" w14:textId="61C0B069"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26</w:t>
            </w:r>
          </w:p>
        </w:tc>
        <w:tc>
          <w:tcPr>
            <w:tcW w:w="1134" w:type="dxa"/>
            <w:vMerge/>
            <w:vAlign w:val="center"/>
          </w:tcPr>
          <w:p w14:paraId="0CB8A381" w14:textId="77777777"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Cs/>
                <w:color w:val="auto"/>
                <w:sz w:val="20"/>
                <w:szCs w:val="20"/>
              </w:rPr>
            </w:pPr>
          </w:p>
        </w:tc>
      </w:tr>
      <w:tr w:rsidR="00EB5848" w:rsidRPr="006F139E" w14:paraId="141255AB"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370E3FA8" w14:textId="56AC85DA" w:rsidR="00EB5848" w:rsidRPr="006F139E" w:rsidRDefault="004B327E"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 xml:space="preserve">Asfalto danga </w:t>
            </w:r>
            <w:r w:rsidR="00EB5848" w:rsidRPr="006F139E">
              <w:rPr>
                <w:rFonts w:eastAsia="Calibri" w:cs="Arial"/>
                <w:iCs/>
                <w:color w:val="auto"/>
                <w:sz w:val="20"/>
                <w:szCs w:val="20"/>
              </w:rPr>
              <w:t>- Automobilių pravažiavimai</w:t>
            </w:r>
          </w:p>
        </w:tc>
        <w:tc>
          <w:tcPr>
            <w:tcW w:w="3260" w:type="dxa"/>
          </w:tcPr>
          <w:p w14:paraId="38ACED18" w14:textId="7BD51274" w:rsidR="00EB5848" w:rsidRPr="006F139E" w:rsidRDefault="00EB5848" w:rsidP="005A46EB">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Asfalto danga  (panaudojant seną pasluoksnį)</w:t>
            </w:r>
          </w:p>
        </w:tc>
        <w:tc>
          <w:tcPr>
            <w:tcW w:w="1417" w:type="dxa"/>
            <w:vAlign w:val="center"/>
          </w:tcPr>
          <w:p w14:paraId="5D107C1F" w14:textId="3831F7E2"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10179,58</w:t>
            </w:r>
          </w:p>
        </w:tc>
        <w:tc>
          <w:tcPr>
            <w:tcW w:w="1134" w:type="dxa"/>
            <w:vAlign w:val="center"/>
          </w:tcPr>
          <w:p w14:paraId="5C769943" w14:textId="6FFF69CC"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5675,69</w:t>
            </w:r>
          </w:p>
        </w:tc>
        <w:tc>
          <w:tcPr>
            <w:tcW w:w="1134" w:type="dxa"/>
            <w:vAlign w:val="center"/>
          </w:tcPr>
          <w:p w14:paraId="4CE27DAD" w14:textId="348AA900"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4503,89</w:t>
            </w:r>
          </w:p>
        </w:tc>
        <w:tc>
          <w:tcPr>
            <w:tcW w:w="1134" w:type="dxa"/>
            <w:vMerge w:val="restart"/>
            <w:vAlign w:val="center"/>
          </w:tcPr>
          <w:p w14:paraId="27FC23A0" w14:textId="478BE158" w:rsidR="00EB5848" w:rsidRPr="006F139E" w:rsidRDefault="00410524"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Cs/>
                <w:color w:val="auto"/>
                <w:sz w:val="20"/>
                <w:szCs w:val="20"/>
              </w:rPr>
            </w:pPr>
            <w:r w:rsidRPr="006F139E">
              <w:rPr>
                <w:rFonts w:eastAsia="Calibri" w:cs="Arial"/>
                <w:iCs/>
                <w:color w:val="auto"/>
                <w:sz w:val="20"/>
                <w:szCs w:val="20"/>
              </w:rPr>
              <w:t>14851,80</w:t>
            </w:r>
          </w:p>
        </w:tc>
      </w:tr>
      <w:tr w:rsidR="00EB5848" w:rsidRPr="006F139E" w14:paraId="1D8BF01D"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E6D3965" w14:textId="77777777" w:rsidR="00EB5848" w:rsidRPr="006F139E" w:rsidRDefault="00EB5848" w:rsidP="00882BA8">
            <w:pPr>
              <w:ind w:firstLine="0"/>
              <w:jc w:val="left"/>
              <w:rPr>
                <w:rFonts w:eastAsia="Calibri" w:cs="Arial"/>
                <w:iCs/>
                <w:color w:val="auto"/>
                <w:sz w:val="20"/>
                <w:szCs w:val="20"/>
                <w:highlight w:val="lightGray"/>
              </w:rPr>
            </w:pPr>
          </w:p>
        </w:tc>
        <w:tc>
          <w:tcPr>
            <w:tcW w:w="3260" w:type="dxa"/>
          </w:tcPr>
          <w:p w14:paraId="5F3F9AFA" w14:textId="4682426F" w:rsidR="00EB5848" w:rsidRPr="006F139E" w:rsidRDefault="00EB5848" w:rsidP="005A46EB">
            <w:pPr>
              <w:ind w:firstLine="0"/>
              <w:jc w:val="left"/>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Asfalto danga (darant naują pasluoksnį)</w:t>
            </w:r>
          </w:p>
        </w:tc>
        <w:tc>
          <w:tcPr>
            <w:tcW w:w="1417" w:type="dxa"/>
            <w:vAlign w:val="center"/>
          </w:tcPr>
          <w:p w14:paraId="26294702" w14:textId="0E3B8993"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4672,22</w:t>
            </w:r>
          </w:p>
        </w:tc>
        <w:tc>
          <w:tcPr>
            <w:tcW w:w="1134" w:type="dxa"/>
            <w:vAlign w:val="center"/>
          </w:tcPr>
          <w:p w14:paraId="1895D791" w14:textId="1D197970"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1316,11</w:t>
            </w:r>
          </w:p>
        </w:tc>
        <w:tc>
          <w:tcPr>
            <w:tcW w:w="1134" w:type="dxa"/>
            <w:vAlign w:val="center"/>
          </w:tcPr>
          <w:p w14:paraId="477BA639" w14:textId="75547787"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3356,11</w:t>
            </w:r>
          </w:p>
        </w:tc>
        <w:tc>
          <w:tcPr>
            <w:tcW w:w="1134" w:type="dxa"/>
            <w:vMerge/>
            <w:vAlign w:val="center"/>
          </w:tcPr>
          <w:p w14:paraId="6DA4BCA9" w14:textId="77777777"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Cs/>
                <w:color w:val="auto"/>
                <w:sz w:val="20"/>
                <w:szCs w:val="20"/>
              </w:rPr>
            </w:pPr>
          </w:p>
        </w:tc>
      </w:tr>
      <w:tr w:rsidR="00EB5848" w:rsidRPr="006F139E" w14:paraId="063C3FE4" w14:textId="77777777" w:rsidTr="00882BA8">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874395" w14:textId="62F52933" w:rsidR="00EB5848" w:rsidRPr="006F139E" w:rsidRDefault="004B327E"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 xml:space="preserve">Betono trinkelių korio danga </w:t>
            </w:r>
            <w:r w:rsidR="006051E5" w:rsidRPr="006F139E">
              <w:rPr>
                <w:rFonts w:eastAsia="Calibri" w:cs="Arial"/>
                <w:iCs/>
                <w:color w:val="auto"/>
                <w:sz w:val="20"/>
                <w:szCs w:val="20"/>
              </w:rPr>
              <w:t>- Automobilių stovėjimo vietos ir pravažiavimai</w:t>
            </w:r>
          </w:p>
        </w:tc>
        <w:tc>
          <w:tcPr>
            <w:tcW w:w="3260" w:type="dxa"/>
          </w:tcPr>
          <w:p w14:paraId="0C3863B4" w14:textId="1A5AC731" w:rsidR="00EB5848" w:rsidRPr="006F139E" w:rsidRDefault="00EB5848" w:rsidP="005A46EB">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Vejos korio danga (panaudojant seną pasluoksnį)</w:t>
            </w:r>
          </w:p>
        </w:tc>
        <w:tc>
          <w:tcPr>
            <w:tcW w:w="1417" w:type="dxa"/>
            <w:vAlign w:val="center"/>
          </w:tcPr>
          <w:p w14:paraId="6A55A92F" w14:textId="27985B86"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4896,44</w:t>
            </w:r>
          </w:p>
        </w:tc>
        <w:tc>
          <w:tcPr>
            <w:tcW w:w="1134" w:type="dxa"/>
            <w:vAlign w:val="center"/>
          </w:tcPr>
          <w:p w14:paraId="73486423" w14:textId="1AFBEA6A"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1669,5</w:t>
            </w:r>
          </w:p>
        </w:tc>
        <w:tc>
          <w:tcPr>
            <w:tcW w:w="1134" w:type="dxa"/>
            <w:vAlign w:val="center"/>
          </w:tcPr>
          <w:p w14:paraId="3B367A6B" w14:textId="4D5CA9F7" w:rsidR="00EB5848" w:rsidRPr="006F139E" w:rsidRDefault="00EB584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3226,94</w:t>
            </w:r>
          </w:p>
        </w:tc>
        <w:tc>
          <w:tcPr>
            <w:tcW w:w="1134" w:type="dxa"/>
            <w:vMerge w:val="restart"/>
            <w:vAlign w:val="center"/>
          </w:tcPr>
          <w:p w14:paraId="34031D55" w14:textId="53254E47" w:rsidR="00EB5848" w:rsidRPr="006F139E" w:rsidRDefault="00766F17"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Cs/>
                <w:color w:val="auto"/>
                <w:sz w:val="20"/>
                <w:szCs w:val="20"/>
              </w:rPr>
            </w:pPr>
            <w:r w:rsidRPr="006F139E">
              <w:rPr>
                <w:rFonts w:eastAsia="Calibri" w:cs="Arial"/>
                <w:iCs/>
                <w:color w:val="auto"/>
                <w:sz w:val="20"/>
                <w:szCs w:val="20"/>
              </w:rPr>
              <w:t>7662,86</w:t>
            </w:r>
          </w:p>
        </w:tc>
      </w:tr>
      <w:tr w:rsidR="00EB5848" w:rsidRPr="006F139E" w14:paraId="7BCC98C5"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53744DA" w14:textId="77777777" w:rsidR="00EB5848" w:rsidRPr="006F139E" w:rsidRDefault="00EB5848" w:rsidP="00882BA8">
            <w:pPr>
              <w:ind w:firstLine="0"/>
              <w:jc w:val="left"/>
              <w:rPr>
                <w:rFonts w:eastAsia="Calibri" w:cs="Arial"/>
                <w:iCs/>
                <w:color w:val="auto"/>
                <w:sz w:val="20"/>
                <w:szCs w:val="20"/>
                <w:highlight w:val="lightGray"/>
              </w:rPr>
            </w:pPr>
          </w:p>
        </w:tc>
        <w:tc>
          <w:tcPr>
            <w:tcW w:w="3260" w:type="dxa"/>
          </w:tcPr>
          <w:p w14:paraId="445933F0" w14:textId="76F1512D" w:rsidR="00EB5848" w:rsidRPr="006F139E" w:rsidRDefault="00EB5848" w:rsidP="005A46EB">
            <w:pPr>
              <w:ind w:firstLine="0"/>
              <w:jc w:val="left"/>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Vejos korio danga (darant naują pasluoksnį)</w:t>
            </w:r>
          </w:p>
        </w:tc>
        <w:tc>
          <w:tcPr>
            <w:tcW w:w="1417" w:type="dxa"/>
            <w:vAlign w:val="center"/>
          </w:tcPr>
          <w:p w14:paraId="2D2A68BD" w14:textId="22C4337F"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2766,42</w:t>
            </w:r>
          </w:p>
        </w:tc>
        <w:tc>
          <w:tcPr>
            <w:tcW w:w="1134" w:type="dxa"/>
            <w:vAlign w:val="center"/>
          </w:tcPr>
          <w:p w14:paraId="4F00D960" w14:textId="5BF84442"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1162,95</w:t>
            </w:r>
          </w:p>
        </w:tc>
        <w:tc>
          <w:tcPr>
            <w:tcW w:w="1134" w:type="dxa"/>
            <w:vAlign w:val="center"/>
          </w:tcPr>
          <w:p w14:paraId="6EA012FC" w14:textId="5E5F8FDC"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1603,47</w:t>
            </w:r>
          </w:p>
        </w:tc>
        <w:tc>
          <w:tcPr>
            <w:tcW w:w="1134" w:type="dxa"/>
            <w:vMerge/>
            <w:vAlign w:val="center"/>
          </w:tcPr>
          <w:p w14:paraId="0E0548F5" w14:textId="77777777" w:rsidR="00EB5848" w:rsidRPr="006F139E" w:rsidRDefault="00EB5848"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Cs/>
                <w:color w:val="auto"/>
                <w:sz w:val="20"/>
                <w:szCs w:val="20"/>
              </w:rPr>
            </w:pPr>
          </w:p>
        </w:tc>
      </w:tr>
      <w:tr w:rsidR="006051E5" w:rsidRPr="006F139E" w14:paraId="49A2345B" w14:textId="77777777" w:rsidTr="00882BA8">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2DFAC3B1" w14:textId="462DD15F" w:rsidR="006051E5" w:rsidRPr="006F139E" w:rsidRDefault="004B327E"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 xml:space="preserve">Betono trinkelių danga </w:t>
            </w:r>
            <w:r w:rsidR="00633760" w:rsidRPr="006F139E">
              <w:rPr>
                <w:rFonts w:eastAsia="Calibri" w:cs="Arial"/>
                <w:iCs/>
                <w:color w:val="auto"/>
                <w:sz w:val="20"/>
                <w:szCs w:val="20"/>
              </w:rPr>
              <w:t>- Automobilių stovėjimo ŽN vietos</w:t>
            </w:r>
          </w:p>
        </w:tc>
        <w:tc>
          <w:tcPr>
            <w:tcW w:w="3260" w:type="dxa"/>
          </w:tcPr>
          <w:p w14:paraId="083233EC" w14:textId="4B41E8D3" w:rsidR="006051E5" w:rsidRPr="006F139E" w:rsidRDefault="006051E5" w:rsidP="005A46EB">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Betono trinkelės (panaudojant seną pasluoksnį)</w:t>
            </w:r>
          </w:p>
        </w:tc>
        <w:tc>
          <w:tcPr>
            <w:tcW w:w="1417" w:type="dxa"/>
            <w:vAlign w:val="center"/>
          </w:tcPr>
          <w:p w14:paraId="08FE9751" w14:textId="3A8DC177" w:rsidR="006051E5" w:rsidRPr="006F139E" w:rsidRDefault="006051E5"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469,7</w:t>
            </w:r>
          </w:p>
        </w:tc>
        <w:tc>
          <w:tcPr>
            <w:tcW w:w="1134" w:type="dxa"/>
            <w:vAlign w:val="center"/>
          </w:tcPr>
          <w:p w14:paraId="29FFA2D8" w14:textId="6B43D1C3" w:rsidR="006051E5" w:rsidRPr="006F139E" w:rsidRDefault="006051E5"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171,3</w:t>
            </w:r>
          </w:p>
        </w:tc>
        <w:tc>
          <w:tcPr>
            <w:tcW w:w="1134" w:type="dxa"/>
            <w:vAlign w:val="center"/>
          </w:tcPr>
          <w:p w14:paraId="4F16F695" w14:textId="23D31662" w:rsidR="006051E5" w:rsidRPr="006F139E" w:rsidRDefault="006051E5"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298,4</w:t>
            </w:r>
          </w:p>
        </w:tc>
        <w:tc>
          <w:tcPr>
            <w:tcW w:w="1134" w:type="dxa"/>
            <w:vMerge w:val="restart"/>
            <w:vAlign w:val="center"/>
          </w:tcPr>
          <w:p w14:paraId="3EFEA239" w14:textId="6B6465C4" w:rsidR="006051E5" w:rsidRPr="006F139E" w:rsidRDefault="00B63E08"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Cs/>
                <w:color w:val="auto"/>
                <w:sz w:val="20"/>
                <w:szCs w:val="20"/>
              </w:rPr>
            </w:pPr>
            <w:r w:rsidRPr="006F139E">
              <w:rPr>
                <w:rFonts w:eastAsia="Calibri" w:cs="Arial"/>
                <w:iCs/>
                <w:color w:val="auto"/>
                <w:sz w:val="20"/>
                <w:szCs w:val="20"/>
              </w:rPr>
              <w:t>934,24</w:t>
            </w:r>
          </w:p>
        </w:tc>
      </w:tr>
      <w:tr w:rsidR="006051E5" w:rsidRPr="006F139E" w14:paraId="292BC7DB"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F4A916C" w14:textId="77777777" w:rsidR="006051E5" w:rsidRPr="006F139E" w:rsidRDefault="006051E5" w:rsidP="00882BA8">
            <w:pPr>
              <w:ind w:firstLine="0"/>
              <w:jc w:val="left"/>
              <w:rPr>
                <w:rFonts w:eastAsia="Calibri" w:cs="Arial"/>
                <w:iCs/>
                <w:color w:val="auto"/>
                <w:sz w:val="20"/>
                <w:szCs w:val="20"/>
                <w:highlight w:val="lightGray"/>
              </w:rPr>
            </w:pPr>
          </w:p>
        </w:tc>
        <w:tc>
          <w:tcPr>
            <w:tcW w:w="3260" w:type="dxa"/>
          </w:tcPr>
          <w:p w14:paraId="7AB9AD61" w14:textId="740E80D8" w:rsidR="006051E5" w:rsidRPr="006F139E" w:rsidRDefault="006051E5" w:rsidP="005A46EB">
            <w:pPr>
              <w:ind w:firstLine="0"/>
              <w:jc w:val="left"/>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Betono trinkelės (darant naują pasluoksnį)</w:t>
            </w:r>
          </w:p>
        </w:tc>
        <w:tc>
          <w:tcPr>
            <w:tcW w:w="1417" w:type="dxa"/>
            <w:vAlign w:val="center"/>
          </w:tcPr>
          <w:p w14:paraId="403D5794" w14:textId="6B71D71A" w:rsidR="006051E5" w:rsidRPr="006F139E" w:rsidRDefault="006051E5"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464,54</w:t>
            </w:r>
          </w:p>
        </w:tc>
        <w:tc>
          <w:tcPr>
            <w:tcW w:w="1134" w:type="dxa"/>
            <w:vAlign w:val="center"/>
          </w:tcPr>
          <w:p w14:paraId="0C558DA1" w14:textId="0955EB5F" w:rsidR="006051E5" w:rsidRPr="006F139E" w:rsidRDefault="006051E5"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224,11</w:t>
            </w:r>
          </w:p>
        </w:tc>
        <w:tc>
          <w:tcPr>
            <w:tcW w:w="1134" w:type="dxa"/>
            <w:vAlign w:val="center"/>
          </w:tcPr>
          <w:p w14:paraId="49270A31" w14:textId="403356C8" w:rsidR="006051E5" w:rsidRPr="006F139E" w:rsidRDefault="006051E5"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240,43</w:t>
            </w:r>
          </w:p>
        </w:tc>
        <w:tc>
          <w:tcPr>
            <w:tcW w:w="1134" w:type="dxa"/>
            <w:vMerge/>
            <w:vAlign w:val="center"/>
          </w:tcPr>
          <w:p w14:paraId="79BED62F" w14:textId="77777777" w:rsidR="006051E5" w:rsidRPr="006F139E" w:rsidRDefault="006051E5"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p>
        </w:tc>
      </w:tr>
      <w:tr w:rsidR="000C0A02" w:rsidRPr="006F139E" w14:paraId="675596F8"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7DE2F839" w14:textId="218C5A6A" w:rsidR="000C0A02" w:rsidRPr="006F139E" w:rsidRDefault="000C0A02" w:rsidP="00882BA8">
            <w:pPr>
              <w:ind w:firstLine="0"/>
              <w:jc w:val="left"/>
              <w:rPr>
                <w:rFonts w:eastAsiaTheme="minorHAnsi" w:cs="Arial"/>
                <w:iCs/>
                <w:color w:val="000000"/>
                <w:sz w:val="20"/>
                <w:szCs w:val="20"/>
                <w:lang w:eastAsia="en-US"/>
              </w:rPr>
            </w:pPr>
            <w:r w:rsidRPr="006F139E">
              <w:rPr>
                <w:rFonts w:cs="Arial"/>
                <w:iCs/>
                <w:color w:val="000000"/>
                <w:sz w:val="20"/>
                <w:szCs w:val="20"/>
              </w:rPr>
              <w:lastRenderedPageBreak/>
              <w:t>Pėsčiųjų takai</w:t>
            </w:r>
          </w:p>
        </w:tc>
        <w:tc>
          <w:tcPr>
            <w:tcW w:w="3260" w:type="dxa"/>
          </w:tcPr>
          <w:p w14:paraId="0759A89C" w14:textId="35ADD58D" w:rsidR="000C0A02" w:rsidRPr="006F139E" w:rsidRDefault="000C0A02" w:rsidP="005A46EB">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 xml:space="preserve">Betono trinkelės </w:t>
            </w:r>
          </w:p>
        </w:tc>
        <w:tc>
          <w:tcPr>
            <w:tcW w:w="1417" w:type="dxa"/>
            <w:vAlign w:val="center"/>
          </w:tcPr>
          <w:p w14:paraId="15A60C91" w14:textId="68E64E6C" w:rsidR="000C0A02" w:rsidRPr="006F139E" w:rsidRDefault="000C0A02"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10280,51</w:t>
            </w:r>
          </w:p>
        </w:tc>
        <w:tc>
          <w:tcPr>
            <w:tcW w:w="1134" w:type="dxa"/>
            <w:vAlign w:val="center"/>
          </w:tcPr>
          <w:p w14:paraId="1E3CCA61" w14:textId="665B7B05" w:rsidR="000C0A02" w:rsidRPr="006F139E" w:rsidRDefault="000C0A02"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5386,75</w:t>
            </w:r>
          </w:p>
        </w:tc>
        <w:tc>
          <w:tcPr>
            <w:tcW w:w="1134" w:type="dxa"/>
            <w:vAlign w:val="center"/>
          </w:tcPr>
          <w:p w14:paraId="1D2CAB74" w14:textId="5E8B5D56" w:rsidR="000C0A02" w:rsidRPr="006F139E" w:rsidRDefault="000C0A02" w:rsidP="00EA2177">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4893,76</w:t>
            </w:r>
          </w:p>
        </w:tc>
        <w:tc>
          <w:tcPr>
            <w:tcW w:w="1134" w:type="dxa"/>
            <w:vMerge w:val="restart"/>
            <w:vAlign w:val="center"/>
          </w:tcPr>
          <w:p w14:paraId="55BA4E2A" w14:textId="6AE5B9B7" w:rsidR="000C0A02" w:rsidRPr="006F139E" w:rsidRDefault="000C0A02" w:rsidP="000C0A02">
            <w:pPr>
              <w:ind w:firstLine="0"/>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10589,07</w:t>
            </w:r>
          </w:p>
        </w:tc>
      </w:tr>
      <w:tr w:rsidR="000C0A02" w:rsidRPr="006F139E" w14:paraId="1EFD8C11"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2EC39C4" w14:textId="77777777" w:rsidR="000C0A02" w:rsidRPr="006F139E" w:rsidRDefault="000C0A02" w:rsidP="00882BA8">
            <w:pPr>
              <w:ind w:firstLine="0"/>
              <w:jc w:val="left"/>
              <w:rPr>
                <w:rFonts w:eastAsia="Calibri" w:cs="Arial"/>
                <w:iCs/>
                <w:color w:val="auto"/>
                <w:sz w:val="20"/>
                <w:szCs w:val="20"/>
                <w:highlight w:val="lightGray"/>
              </w:rPr>
            </w:pPr>
          </w:p>
        </w:tc>
        <w:tc>
          <w:tcPr>
            <w:tcW w:w="3260" w:type="dxa"/>
          </w:tcPr>
          <w:p w14:paraId="4B70EEF1" w14:textId="4716CA9A" w:rsidR="000C0A02" w:rsidRPr="006F139E" w:rsidRDefault="000C0A02" w:rsidP="005A46EB">
            <w:pPr>
              <w:ind w:firstLine="0"/>
              <w:jc w:val="left"/>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po suoliukais (nišos, aikštelės)</w:t>
            </w:r>
          </w:p>
        </w:tc>
        <w:tc>
          <w:tcPr>
            <w:tcW w:w="1417" w:type="dxa"/>
            <w:vAlign w:val="center"/>
          </w:tcPr>
          <w:p w14:paraId="468B6C1E" w14:textId="50675ED8" w:rsidR="000C0A02" w:rsidRPr="006F139E" w:rsidRDefault="000C0A02"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136,17</w:t>
            </w:r>
          </w:p>
        </w:tc>
        <w:tc>
          <w:tcPr>
            <w:tcW w:w="1134" w:type="dxa"/>
            <w:vAlign w:val="center"/>
          </w:tcPr>
          <w:p w14:paraId="6DBF8932" w14:textId="28AE69B3" w:rsidR="000C0A02" w:rsidRPr="006F139E" w:rsidRDefault="000C0A02"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76,77</w:t>
            </w:r>
          </w:p>
        </w:tc>
        <w:tc>
          <w:tcPr>
            <w:tcW w:w="1134" w:type="dxa"/>
            <w:vAlign w:val="center"/>
          </w:tcPr>
          <w:p w14:paraId="67FF3C3F" w14:textId="4619BAB7" w:rsidR="000C0A02" w:rsidRPr="006F139E" w:rsidRDefault="000C0A02" w:rsidP="00EA2177">
            <w:pPr>
              <w:ind w:firstLine="0"/>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59,4</w:t>
            </w:r>
          </w:p>
        </w:tc>
        <w:tc>
          <w:tcPr>
            <w:tcW w:w="1134" w:type="dxa"/>
            <w:vMerge/>
            <w:vAlign w:val="center"/>
          </w:tcPr>
          <w:p w14:paraId="45B72B1B" w14:textId="0635D0F4" w:rsidR="000C0A02" w:rsidRPr="006F139E" w:rsidRDefault="000C0A02" w:rsidP="00B63E08">
            <w:pPr>
              <w:jc w:val="center"/>
              <w:cnfStyle w:val="000000000000" w:firstRow="0" w:lastRow="0" w:firstColumn="0" w:lastColumn="0" w:oddVBand="0" w:evenVBand="0" w:oddHBand="0" w:evenHBand="0" w:firstRowFirstColumn="0" w:firstRowLastColumn="0" w:lastRowFirstColumn="0" w:lastRowLastColumn="0"/>
              <w:rPr>
                <w:rFonts w:eastAsia="Calibri" w:cs="Arial"/>
                <w:i/>
                <w:color w:val="auto"/>
                <w:sz w:val="20"/>
                <w:szCs w:val="20"/>
                <w:highlight w:val="lightGray"/>
              </w:rPr>
            </w:pPr>
          </w:p>
        </w:tc>
      </w:tr>
      <w:tr w:rsidR="000C0A02" w:rsidRPr="006F139E" w14:paraId="003C8F58"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643BEA5" w14:textId="77777777" w:rsidR="000C0A02" w:rsidRPr="006F139E" w:rsidRDefault="000C0A02" w:rsidP="00882BA8">
            <w:pPr>
              <w:ind w:firstLine="0"/>
              <w:jc w:val="left"/>
              <w:rPr>
                <w:rFonts w:eastAsia="Calibri" w:cs="Arial"/>
                <w:iCs/>
                <w:color w:val="auto"/>
                <w:sz w:val="20"/>
                <w:szCs w:val="20"/>
                <w:highlight w:val="lightGray"/>
              </w:rPr>
            </w:pPr>
          </w:p>
        </w:tc>
        <w:tc>
          <w:tcPr>
            <w:tcW w:w="3260" w:type="dxa"/>
          </w:tcPr>
          <w:p w14:paraId="2FF58F5E" w14:textId="3FAF69F7" w:rsidR="000C0A02" w:rsidRPr="006F139E" w:rsidRDefault="000C0A02" w:rsidP="00B63E08">
            <w:pPr>
              <w:ind w:firstLine="0"/>
              <w:jc w:val="left"/>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po dviračių saugyklomis (jei reikės dangos ar pamatų)</w:t>
            </w:r>
          </w:p>
        </w:tc>
        <w:tc>
          <w:tcPr>
            <w:tcW w:w="1417" w:type="dxa"/>
            <w:vAlign w:val="center"/>
          </w:tcPr>
          <w:p w14:paraId="7A89E84E" w14:textId="4780F648" w:rsidR="000C0A02" w:rsidRPr="006F139E" w:rsidRDefault="000C0A02" w:rsidP="00B63E08">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172,39</w:t>
            </w:r>
          </w:p>
        </w:tc>
        <w:tc>
          <w:tcPr>
            <w:tcW w:w="1134" w:type="dxa"/>
            <w:vAlign w:val="center"/>
          </w:tcPr>
          <w:p w14:paraId="17A1EC67" w14:textId="397501EC" w:rsidR="000C0A02" w:rsidRPr="006F139E" w:rsidRDefault="000C0A02" w:rsidP="00B63E08">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71,83</w:t>
            </w:r>
          </w:p>
        </w:tc>
        <w:tc>
          <w:tcPr>
            <w:tcW w:w="1134" w:type="dxa"/>
            <w:vAlign w:val="center"/>
          </w:tcPr>
          <w:p w14:paraId="39F6ECD5" w14:textId="58D78570" w:rsidR="000C0A02" w:rsidRPr="006F139E" w:rsidRDefault="000C0A02" w:rsidP="00B63E08">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r w:rsidRPr="006F139E">
              <w:rPr>
                <w:rFonts w:cs="Arial"/>
                <w:color w:val="000000"/>
                <w:sz w:val="20"/>
                <w:szCs w:val="20"/>
              </w:rPr>
              <w:t>100,56</w:t>
            </w:r>
          </w:p>
        </w:tc>
        <w:tc>
          <w:tcPr>
            <w:tcW w:w="1134" w:type="dxa"/>
            <w:vMerge/>
            <w:vAlign w:val="center"/>
          </w:tcPr>
          <w:p w14:paraId="50E870CF" w14:textId="1479E67A" w:rsidR="000C0A02" w:rsidRPr="006F139E" w:rsidRDefault="000C0A02" w:rsidP="00B63E08">
            <w:pPr>
              <w:ind w:firstLine="0"/>
              <w:jc w:val="center"/>
              <w:cnfStyle w:val="000000100000" w:firstRow="0" w:lastRow="0" w:firstColumn="0" w:lastColumn="0" w:oddVBand="0" w:evenVBand="0" w:oddHBand="1" w:evenHBand="0" w:firstRowFirstColumn="0" w:firstRowLastColumn="0" w:lastRowFirstColumn="0" w:lastRowLastColumn="0"/>
              <w:rPr>
                <w:rFonts w:eastAsia="Calibri" w:cs="Arial"/>
                <w:i/>
                <w:color w:val="auto"/>
                <w:sz w:val="20"/>
                <w:szCs w:val="20"/>
                <w:highlight w:val="lightGray"/>
              </w:rPr>
            </w:pPr>
          </w:p>
        </w:tc>
      </w:tr>
      <w:tr w:rsidR="00B63E08" w:rsidRPr="006F139E" w14:paraId="3C3A8690"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BC65AFB" w14:textId="498E565F" w:rsidR="00B63E08" w:rsidRPr="006F139E" w:rsidRDefault="00B63E08"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Bortai</w:t>
            </w:r>
          </w:p>
        </w:tc>
        <w:tc>
          <w:tcPr>
            <w:tcW w:w="3260" w:type="dxa"/>
          </w:tcPr>
          <w:p w14:paraId="539D14CB" w14:textId="4F12BFEC"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Gatvės 15x30x100</w:t>
            </w:r>
          </w:p>
        </w:tc>
        <w:tc>
          <w:tcPr>
            <w:tcW w:w="1417" w:type="dxa"/>
            <w:vAlign w:val="center"/>
          </w:tcPr>
          <w:p w14:paraId="4C337FC5" w14:textId="1D599D93"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8004,17</w:t>
            </w:r>
          </w:p>
        </w:tc>
        <w:tc>
          <w:tcPr>
            <w:tcW w:w="1134" w:type="dxa"/>
            <w:vAlign w:val="center"/>
          </w:tcPr>
          <w:p w14:paraId="6EB9821A" w14:textId="11FEC5E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3410,03</w:t>
            </w:r>
          </w:p>
        </w:tc>
        <w:tc>
          <w:tcPr>
            <w:tcW w:w="1134" w:type="dxa"/>
            <w:vAlign w:val="center"/>
          </w:tcPr>
          <w:p w14:paraId="5DC121F8" w14:textId="75FAFCEA"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4594,14</w:t>
            </w:r>
          </w:p>
        </w:tc>
        <w:tc>
          <w:tcPr>
            <w:tcW w:w="1134" w:type="dxa"/>
            <w:vMerge w:val="restart"/>
            <w:vAlign w:val="center"/>
          </w:tcPr>
          <w:p w14:paraId="5541111E" w14:textId="1C120B58" w:rsidR="00B63E08" w:rsidRPr="006F139E" w:rsidRDefault="00903D41"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w:t>
            </w:r>
          </w:p>
        </w:tc>
      </w:tr>
      <w:tr w:rsidR="00B63E08" w:rsidRPr="006F139E" w14:paraId="1B0E0229"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BD25282"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5EB422BC" w14:textId="38C5A095"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Pėsčiųjų takų 8x20x100</w:t>
            </w:r>
          </w:p>
        </w:tc>
        <w:tc>
          <w:tcPr>
            <w:tcW w:w="1417" w:type="dxa"/>
            <w:vAlign w:val="center"/>
          </w:tcPr>
          <w:p w14:paraId="3FA57A83" w14:textId="10AE4C79"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color w:val="000000"/>
                <w:sz w:val="20"/>
                <w:szCs w:val="20"/>
              </w:rPr>
              <w:t>8361,34</w:t>
            </w:r>
          </w:p>
        </w:tc>
        <w:tc>
          <w:tcPr>
            <w:tcW w:w="1134" w:type="dxa"/>
            <w:vAlign w:val="center"/>
          </w:tcPr>
          <w:p w14:paraId="4A59C2DD" w14:textId="09B8775B"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4978,29</w:t>
            </w:r>
          </w:p>
        </w:tc>
        <w:tc>
          <w:tcPr>
            <w:tcW w:w="1134" w:type="dxa"/>
            <w:vAlign w:val="center"/>
          </w:tcPr>
          <w:p w14:paraId="709578DD" w14:textId="04C796C9"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3383,05</w:t>
            </w:r>
          </w:p>
        </w:tc>
        <w:tc>
          <w:tcPr>
            <w:tcW w:w="1134" w:type="dxa"/>
            <w:vMerge/>
            <w:vAlign w:val="center"/>
          </w:tcPr>
          <w:p w14:paraId="314ABBA9"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B63E08" w:rsidRPr="006F139E" w14:paraId="27BFCC23"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3583CE67" w14:textId="7F58538F" w:rsidR="00B63E08" w:rsidRPr="006F139E" w:rsidRDefault="00B63E08" w:rsidP="00882BA8">
            <w:pPr>
              <w:ind w:firstLine="0"/>
              <w:jc w:val="left"/>
              <w:rPr>
                <w:rFonts w:eastAsiaTheme="minorHAnsi" w:cs="Arial"/>
                <w:iCs/>
                <w:color w:val="000000"/>
                <w:sz w:val="20"/>
                <w:szCs w:val="20"/>
                <w:lang w:eastAsia="en-US"/>
              </w:rPr>
            </w:pPr>
            <w:r w:rsidRPr="006F139E">
              <w:rPr>
                <w:rFonts w:cs="Arial"/>
                <w:iCs/>
                <w:color w:val="000000"/>
                <w:sz w:val="20"/>
                <w:szCs w:val="20"/>
              </w:rPr>
              <w:t>Vaikų žaidimų aikštelės</w:t>
            </w:r>
          </w:p>
        </w:tc>
        <w:tc>
          <w:tcPr>
            <w:tcW w:w="3260" w:type="dxa"/>
          </w:tcPr>
          <w:p w14:paraId="1C92119F" w14:textId="2FA5A356"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1</w:t>
            </w:r>
          </w:p>
        </w:tc>
        <w:tc>
          <w:tcPr>
            <w:tcW w:w="1417" w:type="dxa"/>
            <w:vAlign w:val="center"/>
          </w:tcPr>
          <w:p w14:paraId="2ABAD030" w14:textId="0077DBCF"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175,5</w:t>
            </w:r>
          </w:p>
        </w:tc>
        <w:tc>
          <w:tcPr>
            <w:tcW w:w="1134" w:type="dxa"/>
            <w:vMerge w:val="restart"/>
            <w:vAlign w:val="center"/>
          </w:tcPr>
          <w:p w14:paraId="5BD18998" w14:textId="67D2789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842,50</w:t>
            </w:r>
          </w:p>
        </w:tc>
        <w:tc>
          <w:tcPr>
            <w:tcW w:w="1134" w:type="dxa"/>
            <w:vMerge w:val="restart"/>
            <w:vAlign w:val="center"/>
          </w:tcPr>
          <w:p w14:paraId="109862FD" w14:textId="426AF5C2"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537,26</w:t>
            </w:r>
          </w:p>
        </w:tc>
        <w:tc>
          <w:tcPr>
            <w:tcW w:w="1134" w:type="dxa"/>
            <w:vMerge w:val="restart"/>
            <w:vAlign w:val="center"/>
          </w:tcPr>
          <w:p w14:paraId="411A446C" w14:textId="569FE7E8"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1379,76</w:t>
            </w:r>
          </w:p>
        </w:tc>
      </w:tr>
      <w:tr w:rsidR="00B63E08" w:rsidRPr="006F139E" w14:paraId="1EB5753C"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7553B8A"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1BDA01EA" w14:textId="11384535"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2</w:t>
            </w:r>
          </w:p>
        </w:tc>
        <w:tc>
          <w:tcPr>
            <w:tcW w:w="1417" w:type="dxa"/>
            <w:vAlign w:val="center"/>
          </w:tcPr>
          <w:p w14:paraId="15882D53" w14:textId="36C3ADCA"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color w:val="000000"/>
                <w:sz w:val="20"/>
                <w:szCs w:val="20"/>
              </w:rPr>
              <w:t>236</w:t>
            </w:r>
          </w:p>
        </w:tc>
        <w:tc>
          <w:tcPr>
            <w:tcW w:w="1134" w:type="dxa"/>
            <w:vMerge/>
            <w:vAlign w:val="center"/>
          </w:tcPr>
          <w:p w14:paraId="243F8F4A"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3568BDF5"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0E4C4310"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B63E08" w:rsidRPr="006F139E" w14:paraId="1ADF58DA"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805F25A"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072F3885" w14:textId="0BEEF1D2"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3</w:t>
            </w:r>
          </w:p>
        </w:tc>
        <w:tc>
          <w:tcPr>
            <w:tcW w:w="1417" w:type="dxa"/>
            <w:vAlign w:val="center"/>
          </w:tcPr>
          <w:p w14:paraId="39980748" w14:textId="68BFAF66"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202</w:t>
            </w:r>
          </w:p>
        </w:tc>
        <w:tc>
          <w:tcPr>
            <w:tcW w:w="1134" w:type="dxa"/>
            <w:vMerge/>
            <w:vAlign w:val="center"/>
          </w:tcPr>
          <w:p w14:paraId="185C1B24"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208A0095"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69451910"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B63E08" w:rsidRPr="006F139E" w14:paraId="09B6CBA2"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7CBE9CCB"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37921B8C" w14:textId="1CB8B90B"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4</w:t>
            </w:r>
          </w:p>
        </w:tc>
        <w:tc>
          <w:tcPr>
            <w:tcW w:w="1417" w:type="dxa"/>
            <w:vAlign w:val="center"/>
          </w:tcPr>
          <w:p w14:paraId="7B3790D0" w14:textId="759F9E6E"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color w:val="000000"/>
                <w:sz w:val="20"/>
                <w:szCs w:val="20"/>
              </w:rPr>
              <w:t>229</w:t>
            </w:r>
          </w:p>
        </w:tc>
        <w:tc>
          <w:tcPr>
            <w:tcW w:w="1134" w:type="dxa"/>
            <w:vMerge/>
            <w:vAlign w:val="center"/>
          </w:tcPr>
          <w:p w14:paraId="1DBB7C4B"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3C9BFF1F"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479712BE"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B63E08" w:rsidRPr="006F139E" w14:paraId="5506B1DD"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FB0EE89"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51BBD80F" w14:textId="078DCE16"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5</w:t>
            </w:r>
          </w:p>
        </w:tc>
        <w:tc>
          <w:tcPr>
            <w:tcW w:w="1417" w:type="dxa"/>
            <w:vAlign w:val="center"/>
          </w:tcPr>
          <w:p w14:paraId="2E5C8C92" w14:textId="6627D9A9"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155</w:t>
            </w:r>
          </w:p>
        </w:tc>
        <w:tc>
          <w:tcPr>
            <w:tcW w:w="1134" w:type="dxa"/>
            <w:vMerge/>
            <w:vAlign w:val="center"/>
          </w:tcPr>
          <w:p w14:paraId="2F897DB4"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48A832DD"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77B42545"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B63E08" w:rsidRPr="006F139E" w14:paraId="00D84ED7"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BDA424E"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3F2E7723" w14:textId="21D62707"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6</w:t>
            </w:r>
          </w:p>
        </w:tc>
        <w:tc>
          <w:tcPr>
            <w:tcW w:w="1417" w:type="dxa"/>
            <w:vAlign w:val="center"/>
          </w:tcPr>
          <w:p w14:paraId="749D5A85" w14:textId="2FA3E9F9"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color w:val="000000"/>
                <w:sz w:val="20"/>
                <w:szCs w:val="20"/>
              </w:rPr>
              <w:t>172,4</w:t>
            </w:r>
          </w:p>
        </w:tc>
        <w:tc>
          <w:tcPr>
            <w:tcW w:w="1134" w:type="dxa"/>
            <w:vMerge/>
            <w:vAlign w:val="center"/>
          </w:tcPr>
          <w:p w14:paraId="53A6943B"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38917546"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vMerge/>
            <w:vAlign w:val="center"/>
          </w:tcPr>
          <w:p w14:paraId="3F4CD01A"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B63E08" w:rsidRPr="006F139E" w14:paraId="69BCD567"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5DFCECF3"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4B1B0D3A" w14:textId="3E53B24D"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Vaikų žaidimų aikštelė Nr. 7</w:t>
            </w:r>
          </w:p>
        </w:tc>
        <w:tc>
          <w:tcPr>
            <w:tcW w:w="1417" w:type="dxa"/>
            <w:vAlign w:val="center"/>
          </w:tcPr>
          <w:p w14:paraId="67D759F0" w14:textId="2BEBFA55"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210</w:t>
            </w:r>
          </w:p>
        </w:tc>
        <w:tc>
          <w:tcPr>
            <w:tcW w:w="1134" w:type="dxa"/>
            <w:vMerge/>
            <w:vAlign w:val="center"/>
          </w:tcPr>
          <w:p w14:paraId="4BA22D4B"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27B07FAC"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391EB2C4"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B63E08" w:rsidRPr="006F139E" w14:paraId="5DC101C2"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CA70EA" w14:textId="05AC8FD8" w:rsidR="00B63E08" w:rsidRPr="006F139E" w:rsidRDefault="00B63E08" w:rsidP="00882BA8">
            <w:pPr>
              <w:ind w:firstLine="0"/>
              <w:jc w:val="left"/>
              <w:rPr>
                <w:rFonts w:eastAsiaTheme="minorHAnsi" w:cs="Arial"/>
                <w:iCs/>
                <w:color w:val="000000"/>
                <w:sz w:val="20"/>
                <w:szCs w:val="20"/>
                <w:lang w:eastAsia="en-US"/>
              </w:rPr>
            </w:pPr>
            <w:r w:rsidRPr="006F139E">
              <w:rPr>
                <w:rFonts w:cs="Arial"/>
                <w:iCs/>
                <w:color w:val="000000"/>
                <w:sz w:val="20"/>
                <w:szCs w:val="20"/>
              </w:rPr>
              <w:t>Mažoji architektūra</w:t>
            </w:r>
          </w:p>
        </w:tc>
        <w:tc>
          <w:tcPr>
            <w:tcW w:w="3260" w:type="dxa"/>
          </w:tcPr>
          <w:p w14:paraId="645A7083" w14:textId="58E6E3A7"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Suolai</w:t>
            </w:r>
          </w:p>
        </w:tc>
        <w:tc>
          <w:tcPr>
            <w:tcW w:w="1417" w:type="dxa"/>
            <w:vAlign w:val="center"/>
          </w:tcPr>
          <w:p w14:paraId="7C9B3192" w14:textId="57F5D67C"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92</w:t>
            </w:r>
          </w:p>
        </w:tc>
        <w:tc>
          <w:tcPr>
            <w:tcW w:w="1134" w:type="dxa"/>
            <w:vAlign w:val="center"/>
          </w:tcPr>
          <w:p w14:paraId="68C9A207" w14:textId="0542E09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w:t>
            </w:r>
          </w:p>
        </w:tc>
        <w:tc>
          <w:tcPr>
            <w:tcW w:w="1134" w:type="dxa"/>
            <w:vAlign w:val="center"/>
          </w:tcPr>
          <w:p w14:paraId="1A59C747" w14:textId="71AEA32C"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w:t>
            </w:r>
          </w:p>
        </w:tc>
        <w:tc>
          <w:tcPr>
            <w:tcW w:w="1134" w:type="dxa"/>
            <w:vAlign w:val="center"/>
          </w:tcPr>
          <w:p w14:paraId="013EB561" w14:textId="53B6B02A"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w:t>
            </w:r>
          </w:p>
        </w:tc>
      </w:tr>
      <w:tr w:rsidR="00B63E08" w:rsidRPr="006F139E" w14:paraId="12BD818A" w14:textId="77777777" w:rsidTr="00882BA8">
        <w:tc>
          <w:tcPr>
            <w:cnfStyle w:val="001000000000" w:firstRow="0" w:lastRow="0" w:firstColumn="1" w:lastColumn="0" w:oddVBand="0" w:evenVBand="0" w:oddHBand="0" w:evenHBand="0" w:firstRowFirstColumn="0" w:firstRowLastColumn="0" w:lastRowFirstColumn="0" w:lastRowLastColumn="0"/>
            <w:tcW w:w="2122" w:type="dxa"/>
            <w:vAlign w:val="center"/>
          </w:tcPr>
          <w:p w14:paraId="1D2A5116" w14:textId="6990F622" w:rsidR="00B63E08" w:rsidRPr="006F139E" w:rsidRDefault="00B63E08" w:rsidP="00882BA8">
            <w:pPr>
              <w:ind w:firstLine="0"/>
              <w:jc w:val="left"/>
              <w:rPr>
                <w:rFonts w:eastAsiaTheme="minorHAnsi" w:cs="Arial"/>
                <w:iCs/>
                <w:color w:val="000000"/>
                <w:sz w:val="20"/>
                <w:szCs w:val="20"/>
                <w:lang w:eastAsia="en-US"/>
              </w:rPr>
            </w:pPr>
            <w:r w:rsidRPr="006F139E">
              <w:rPr>
                <w:rFonts w:cs="Arial"/>
                <w:iCs/>
                <w:color w:val="000000"/>
                <w:sz w:val="20"/>
                <w:szCs w:val="20"/>
              </w:rPr>
              <w:t>Esamos dangos ardymas</w:t>
            </w:r>
          </w:p>
        </w:tc>
        <w:tc>
          <w:tcPr>
            <w:tcW w:w="3260" w:type="dxa"/>
          </w:tcPr>
          <w:p w14:paraId="7B7572AF" w14:textId="57213055"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 xml:space="preserve">Asfalto - pravažiavimai, </w:t>
            </w:r>
            <w:proofErr w:type="spellStart"/>
            <w:r w:rsidRPr="006F139E">
              <w:rPr>
                <w:rFonts w:cs="Arial"/>
                <w:color w:val="000000"/>
                <w:sz w:val="20"/>
                <w:szCs w:val="20"/>
              </w:rPr>
              <w:t>parkingai</w:t>
            </w:r>
            <w:proofErr w:type="spellEnd"/>
          </w:p>
        </w:tc>
        <w:tc>
          <w:tcPr>
            <w:tcW w:w="1417" w:type="dxa"/>
            <w:vAlign w:val="center"/>
          </w:tcPr>
          <w:p w14:paraId="63BD9E88" w14:textId="593664EF"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1902,73</w:t>
            </w:r>
          </w:p>
        </w:tc>
        <w:tc>
          <w:tcPr>
            <w:tcW w:w="1134" w:type="dxa"/>
            <w:vAlign w:val="center"/>
          </w:tcPr>
          <w:p w14:paraId="7C77A417" w14:textId="16CB12F9"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1627,71</w:t>
            </w:r>
          </w:p>
        </w:tc>
        <w:tc>
          <w:tcPr>
            <w:tcW w:w="1134" w:type="dxa"/>
            <w:vAlign w:val="center"/>
          </w:tcPr>
          <w:p w14:paraId="14DEFAA6" w14:textId="07A38E63"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1902,73</w:t>
            </w:r>
          </w:p>
        </w:tc>
        <w:tc>
          <w:tcPr>
            <w:tcW w:w="1134" w:type="dxa"/>
            <w:vAlign w:val="center"/>
          </w:tcPr>
          <w:p w14:paraId="4942622F" w14:textId="3EC82C90"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w:t>
            </w:r>
          </w:p>
        </w:tc>
      </w:tr>
      <w:tr w:rsidR="00B63E08" w:rsidRPr="006F139E" w14:paraId="5A22F835"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A445C90" w14:textId="76AACE2A" w:rsidR="00B63E08" w:rsidRPr="006F139E" w:rsidRDefault="00B63E08" w:rsidP="00882BA8">
            <w:pPr>
              <w:ind w:firstLine="0"/>
              <w:jc w:val="left"/>
              <w:rPr>
                <w:rFonts w:eastAsiaTheme="minorHAnsi" w:cs="Arial"/>
                <w:iCs/>
                <w:color w:val="000000"/>
                <w:sz w:val="20"/>
                <w:szCs w:val="20"/>
                <w:lang w:eastAsia="en-US"/>
              </w:rPr>
            </w:pPr>
            <w:r w:rsidRPr="006F139E">
              <w:rPr>
                <w:rFonts w:cs="Arial"/>
                <w:iCs/>
                <w:color w:val="000000"/>
                <w:sz w:val="20"/>
                <w:szCs w:val="20"/>
              </w:rPr>
              <w:t>Želdinių plotai</w:t>
            </w:r>
          </w:p>
        </w:tc>
        <w:tc>
          <w:tcPr>
            <w:tcW w:w="3260" w:type="dxa"/>
          </w:tcPr>
          <w:p w14:paraId="4B9FCFA9" w14:textId="7C20A4C7"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 xml:space="preserve">Gėlynai (žalias </w:t>
            </w:r>
            <w:proofErr w:type="spellStart"/>
            <w:r w:rsidRPr="006F139E">
              <w:rPr>
                <w:rFonts w:cs="Arial"/>
                <w:color w:val="000000"/>
                <w:sz w:val="20"/>
                <w:szCs w:val="20"/>
              </w:rPr>
              <w:t>hatchas</w:t>
            </w:r>
            <w:proofErr w:type="spellEnd"/>
            <w:r w:rsidRPr="006F139E">
              <w:rPr>
                <w:rFonts w:cs="Arial"/>
                <w:color w:val="000000"/>
                <w:sz w:val="20"/>
                <w:szCs w:val="20"/>
              </w:rPr>
              <w:t>)</w:t>
            </w:r>
          </w:p>
        </w:tc>
        <w:tc>
          <w:tcPr>
            <w:tcW w:w="1417" w:type="dxa"/>
            <w:vAlign w:val="center"/>
          </w:tcPr>
          <w:p w14:paraId="4CEE6DF2" w14:textId="11E79CDF" w:rsidR="00B63E08" w:rsidRPr="006A731B" w:rsidRDefault="005C6A15"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A731B">
              <w:rPr>
                <w:rFonts w:cs="Arial"/>
                <w:color w:val="000000"/>
                <w:sz w:val="20"/>
                <w:szCs w:val="20"/>
              </w:rPr>
              <w:t>2000</w:t>
            </w:r>
          </w:p>
        </w:tc>
        <w:tc>
          <w:tcPr>
            <w:tcW w:w="1134" w:type="dxa"/>
            <w:vAlign w:val="center"/>
          </w:tcPr>
          <w:p w14:paraId="71FCB7CD" w14:textId="532DA28C" w:rsidR="00B63E08" w:rsidRPr="006F139E" w:rsidRDefault="005C6A15"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1200</w:t>
            </w:r>
          </w:p>
        </w:tc>
        <w:tc>
          <w:tcPr>
            <w:tcW w:w="1134" w:type="dxa"/>
            <w:vAlign w:val="center"/>
          </w:tcPr>
          <w:p w14:paraId="072419FA" w14:textId="3996CE15" w:rsidR="00B63E08" w:rsidRPr="006F139E" w:rsidRDefault="005C6A15"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800</w:t>
            </w:r>
          </w:p>
        </w:tc>
        <w:tc>
          <w:tcPr>
            <w:tcW w:w="1134" w:type="dxa"/>
            <w:vMerge w:val="restart"/>
            <w:vAlign w:val="center"/>
          </w:tcPr>
          <w:p w14:paraId="0F0551E2" w14:textId="5053ED6C"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w:t>
            </w:r>
          </w:p>
        </w:tc>
      </w:tr>
      <w:tr w:rsidR="00B63E08" w:rsidRPr="006F139E" w14:paraId="5EC9B2A9"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411DA7CD"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29BB31A0" w14:textId="0337ABBA"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Projektuojami krūmai</w:t>
            </w:r>
          </w:p>
        </w:tc>
        <w:tc>
          <w:tcPr>
            <w:tcW w:w="1417" w:type="dxa"/>
            <w:vAlign w:val="center"/>
          </w:tcPr>
          <w:p w14:paraId="0D6B8BEA" w14:textId="09C3AE61"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2008</w:t>
            </w:r>
          </w:p>
        </w:tc>
        <w:tc>
          <w:tcPr>
            <w:tcW w:w="1134" w:type="dxa"/>
            <w:vAlign w:val="center"/>
          </w:tcPr>
          <w:p w14:paraId="71E339BD" w14:textId="33056E5F"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962</w:t>
            </w:r>
          </w:p>
        </w:tc>
        <w:tc>
          <w:tcPr>
            <w:tcW w:w="1134" w:type="dxa"/>
            <w:vAlign w:val="center"/>
          </w:tcPr>
          <w:p w14:paraId="352B0E88" w14:textId="726806A5"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1046</w:t>
            </w:r>
          </w:p>
        </w:tc>
        <w:tc>
          <w:tcPr>
            <w:tcW w:w="1134" w:type="dxa"/>
            <w:vMerge/>
            <w:vAlign w:val="center"/>
          </w:tcPr>
          <w:p w14:paraId="4FD94F72"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B63E08" w:rsidRPr="006F139E" w14:paraId="12604D15"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01C6138F"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26E917B6" w14:textId="0C9F679D"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Projektuojami medžiai</w:t>
            </w:r>
          </w:p>
        </w:tc>
        <w:tc>
          <w:tcPr>
            <w:tcW w:w="1417" w:type="dxa"/>
            <w:vAlign w:val="center"/>
          </w:tcPr>
          <w:p w14:paraId="573F74E3" w14:textId="5A56B685"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color w:val="000000"/>
                <w:sz w:val="20"/>
                <w:szCs w:val="20"/>
              </w:rPr>
              <w:t>124</w:t>
            </w:r>
          </w:p>
        </w:tc>
        <w:tc>
          <w:tcPr>
            <w:tcW w:w="1134" w:type="dxa"/>
            <w:vAlign w:val="center"/>
          </w:tcPr>
          <w:p w14:paraId="38741C28" w14:textId="4BA4E6E8"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53</w:t>
            </w:r>
          </w:p>
        </w:tc>
        <w:tc>
          <w:tcPr>
            <w:tcW w:w="1134" w:type="dxa"/>
            <w:vAlign w:val="center"/>
          </w:tcPr>
          <w:p w14:paraId="5968EF64" w14:textId="103B1CEA"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71</w:t>
            </w:r>
          </w:p>
        </w:tc>
        <w:tc>
          <w:tcPr>
            <w:tcW w:w="1134" w:type="dxa"/>
            <w:vMerge/>
            <w:vAlign w:val="center"/>
          </w:tcPr>
          <w:p w14:paraId="29B4A666" w14:textId="77777777"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B63E08" w:rsidRPr="006F139E" w14:paraId="3BCFD03D" w14:textId="77777777" w:rsidTr="00882BA8">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2D421DFE" w14:textId="77777777" w:rsidR="00B63E08" w:rsidRPr="006F139E" w:rsidRDefault="00B63E08" w:rsidP="00882BA8">
            <w:pPr>
              <w:ind w:firstLine="0"/>
              <w:jc w:val="left"/>
              <w:rPr>
                <w:rFonts w:eastAsia="Calibri" w:cs="Arial"/>
                <w:iCs/>
                <w:color w:val="auto"/>
                <w:sz w:val="20"/>
                <w:szCs w:val="20"/>
                <w:highlight w:val="lightGray"/>
              </w:rPr>
            </w:pPr>
          </w:p>
        </w:tc>
        <w:tc>
          <w:tcPr>
            <w:tcW w:w="3260" w:type="dxa"/>
          </w:tcPr>
          <w:p w14:paraId="5C856ACB" w14:textId="46D0ED30" w:rsidR="00B63E08" w:rsidRPr="006F139E" w:rsidRDefault="00B63E08" w:rsidP="00B63E08">
            <w:pPr>
              <w:ind w:firstLine="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Kertami medžiai</w:t>
            </w:r>
          </w:p>
        </w:tc>
        <w:tc>
          <w:tcPr>
            <w:tcW w:w="1417" w:type="dxa"/>
            <w:vAlign w:val="center"/>
          </w:tcPr>
          <w:p w14:paraId="055EDF91" w14:textId="58281C68"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6F139E">
              <w:rPr>
                <w:rFonts w:cs="Arial"/>
                <w:color w:val="000000"/>
                <w:sz w:val="20"/>
                <w:szCs w:val="20"/>
              </w:rPr>
              <w:t>3</w:t>
            </w:r>
          </w:p>
        </w:tc>
        <w:tc>
          <w:tcPr>
            <w:tcW w:w="1134" w:type="dxa"/>
            <w:vAlign w:val="center"/>
          </w:tcPr>
          <w:p w14:paraId="23B36DC8" w14:textId="15D6B70C"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F139E">
              <w:rPr>
                <w:rFonts w:cs="Arial"/>
                <w:color w:val="000000"/>
                <w:sz w:val="20"/>
                <w:szCs w:val="20"/>
              </w:rPr>
              <w:t>3</w:t>
            </w:r>
          </w:p>
        </w:tc>
        <w:tc>
          <w:tcPr>
            <w:tcW w:w="1134" w:type="dxa"/>
            <w:vAlign w:val="center"/>
          </w:tcPr>
          <w:p w14:paraId="35875CA9" w14:textId="0E0674D9"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1134" w:type="dxa"/>
            <w:vMerge/>
            <w:vAlign w:val="center"/>
          </w:tcPr>
          <w:p w14:paraId="24FA926B" w14:textId="77777777" w:rsidR="00B63E08" w:rsidRPr="006F139E" w:rsidRDefault="00B63E08" w:rsidP="00B63E08">
            <w:pPr>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B63E08" w:rsidRPr="006F139E" w14:paraId="74C9D6EB" w14:textId="77777777" w:rsidTr="00882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187152" w14:textId="5F2A29A7" w:rsidR="00B63E08" w:rsidRPr="006F139E" w:rsidRDefault="00B63E08" w:rsidP="00882BA8">
            <w:pPr>
              <w:ind w:firstLine="0"/>
              <w:jc w:val="left"/>
              <w:rPr>
                <w:rFonts w:eastAsia="Calibri" w:cs="Arial"/>
                <w:iCs/>
                <w:color w:val="auto"/>
                <w:sz w:val="20"/>
                <w:szCs w:val="20"/>
                <w:highlight w:val="lightGray"/>
              </w:rPr>
            </w:pPr>
            <w:r w:rsidRPr="006F139E">
              <w:rPr>
                <w:rFonts w:eastAsia="Calibri" w:cs="Arial"/>
                <w:iCs/>
                <w:color w:val="auto"/>
                <w:sz w:val="20"/>
                <w:szCs w:val="20"/>
              </w:rPr>
              <w:t>Apšvietimas</w:t>
            </w:r>
          </w:p>
        </w:tc>
        <w:tc>
          <w:tcPr>
            <w:tcW w:w="3260" w:type="dxa"/>
          </w:tcPr>
          <w:p w14:paraId="62C02A8F" w14:textId="1C2E0E45" w:rsidR="00B63E08" w:rsidRPr="006F139E" w:rsidRDefault="00B63E08" w:rsidP="00B63E08">
            <w:pPr>
              <w:ind w:firstLine="0"/>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Projektuojamų apšvietimo atramų skaičius (seno TP kiekiai)</w:t>
            </w:r>
          </w:p>
        </w:tc>
        <w:tc>
          <w:tcPr>
            <w:tcW w:w="1417" w:type="dxa"/>
            <w:vAlign w:val="center"/>
          </w:tcPr>
          <w:p w14:paraId="012D8CA4" w14:textId="4E2DE81C"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6F139E">
              <w:rPr>
                <w:rFonts w:cs="Arial"/>
                <w:b/>
                <w:bCs/>
                <w:color w:val="000000"/>
                <w:sz w:val="20"/>
                <w:szCs w:val="20"/>
              </w:rPr>
              <w:t>-</w:t>
            </w:r>
          </w:p>
        </w:tc>
        <w:tc>
          <w:tcPr>
            <w:tcW w:w="1134" w:type="dxa"/>
            <w:vAlign w:val="center"/>
          </w:tcPr>
          <w:p w14:paraId="4B791724" w14:textId="4E4C6DD4"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110</w:t>
            </w:r>
          </w:p>
        </w:tc>
        <w:tc>
          <w:tcPr>
            <w:tcW w:w="1134" w:type="dxa"/>
            <w:vAlign w:val="center"/>
          </w:tcPr>
          <w:p w14:paraId="7F799651" w14:textId="651E414B"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90</w:t>
            </w:r>
          </w:p>
        </w:tc>
        <w:tc>
          <w:tcPr>
            <w:tcW w:w="1134" w:type="dxa"/>
            <w:vAlign w:val="center"/>
          </w:tcPr>
          <w:p w14:paraId="7688AFB6" w14:textId="54BBCDEF" w:rsidR="00B63E08" w:rsidRPr="006F139E" w:rsidRDefault="00B63E08" w:rsidP="00B63E08">
            <w:pPr>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6F139E">
              <w:rPr>
                <w:rFonts w:cs="Arial"/>
                <w:color w:val="000000"/>
                <w:sz w:val="20"/>
                <w:szCs w:val="20"/>
              </w:rPr>
              <w:t>200</w:t>
            </w:r>
          </w:p>
        </w:tc>
      </w:tr>
    </w:tbl>
    <w:p w14:paraId="449B2871" w14:textId="55BBB336" w:rsidR="00E61CAB" w:rsidRPr="000C0A02" w:rsidRDefault="000C0A02" w:rsidP="00A64EDD">
      <w:pPr>
        <w:spacing w:before="240"/>
        <w:ind w:firstLine="0"/>
        <w:jc w:val="center"/>
        <w:rPr>
          <w:rFonts w:eastAsia="Calibri" w:cs="Arial"/>
          <w:i/>
          <w:color w:val="auto"/>
          <w:sz w:val="20"/>
          <w:szCs w:val="20"/>
          <w:lang w:eastAsia="lt-LT"/>
        </w:rPr>
      </w:pPr>
      <w:r w:rsidRPr="000C0A02">
        <w:rPr>
          <w:rFonts w:eastAsia="Calibri" w:cs="Arial"/>
          <w:i/>
          <w:color w:val="auto"/>
          <w:sz w:val="20"/>
          <w:szCs w:val="20"/>
          <w:lang w:eastAsia="lt-LT"/>
        </w:rPr>
        <w:t>Šaltinis: Utenos rajono savivaldybės administracijos duomenys</w:t>
      </w:r>
    </w:p>
    <w:p w14:paraId="6C87F68A" w14:textId="77777777" w:rsidR="00146788" w:rsidRDefault="00146788" w:rsidP="00294E86">
      <w:pPr>
        <w:pStyle w:val="Pagrindinis"/>
      </w:pPr>
      <w:bookmarkStart w:id="217" w:name="_Toc135375788"/>
      <w:bookmarkStart w:id="218" w:name="_Toc161166380"/>
      <w:bookmarkStart w:id="219" w:name="_Toc179180668"/>
    </w:p>
    <w:p w14:paraId="31FD2FDD" w14:textId="24BC72AC" w:rsidR="006F1D33" w:rsidRPr="007C4F3A" w:rsidRDefault="004265F3" w:rsidP="00D67B2F">
      <w:pPr>
        <w:pStyle w:val="Poskyris"/>
      </w:pPr>
      <w:r>
        <w:tab/>
      </w:r>
      <w:bookmarkStart w:id="220" w:name="_Toc197939624"/>
      <w:r w:rsidR="006F1D33" w:rsidRPr="007C4F3A">
        <w:t>3.</w:t>
      </w:r>
      <w:r w:rsidR="006430C8" w:rsidRPr="007C4F3A">
        <w:t>3</w:t>
      </w:r>
      <w:r w:rsidR="006F1D33" w:rsidRPr="007C4F3A">
        <w:t>. Galimos projekto veiklos</w:t>
      </w:r>
      <w:bookmarkStart w:id="221" w:name="_Toc2329982"/>
      <w:bookmarkEnd w:id="217"/>
      <w:bookmarkEnd w:id="218"/>
      <w:bookmarkEnd w:id="219"/>
      <w:bookmarkEnd w:id="220"/>
      <w:r w:rsidR="006F1D33" w:rsidRPr="007C4F3A">
        <w:t xml:space="preserve"> </w:t>
      </w:r>
    </w:p>
    <w:p w14:paraId="068CCDE6" w14:textId="77777777" w:rsidR="00DB3129" w:rsidRPr="007C4F3A" w:rsidRDefault="00DB3129" w:rsidP="00DB3129">
      <w:pPr>
        <w:suppressAutoHyphens/>
        <w:autoSpaceDN w:val="0"/>
        <w:textAlignment w:val="baseline"/>
        <w:rPr>
          <w:rFonts w:eastAsia="Calibri" w:cs="Arial"/>
          <w:szCs w:val="38"/>
          <w:lang w:eastAsia="en-GB"/>
        </w:rPr>
      </w:pPr>
      <w:r w:rsidRPr="007C4F3A">
        <w:rPr>
          <w:rFonts w:eastAsia="Calibri" w:cs="Arial"/>
          <w:szCs w:val="38"/>
          <w:lang w:eastAsia="en-GB"/>
        </w:rPr>
        <w:t>Projektų, kuriems siekiama gauti finansavimą iš Europos Sąjungos struktūrinės paramos ir/ar valstybės biudžeto lėšų, rengimo metodikos 4 priedu, galimi investavimo objektai yra: pastatų projektai, inžinerinių statinių projektai, nematerialiojo turto projektai, įrenginių projektai ir transporto priemonių projektai. Šio projekto ribose aktualus vienas investavimo objektas:</w:t>
      </w:r>
    </w:p>
    <w:p w14:paraId="69017DB5" w14:textId="5EF165D1" w:rsidR="00FE579C" w:rsidRPr="00FC3162" w:rsidRDefault="00DB3129" w:rsidP="00FC3162">
      <w:pPr>
        <w:suppressAutoHyphens/>
        <w:autoSpaceDN w:val="0"/>
        <w:ind w:left="851" w:hanging="284"/>
        <w:textAlignment w:val="baseline"/>
        <w:rPr>
          <w:rFonts w:eastAsia="Calibri" w:cs="Arial"/>
          <w:szCs w:val="38"/>
          <w:lang w:eastAsia="en-GB"/>
        </w:rPr>
      </w:pPr>
      <w:r w:rsidRPr="007C4F3A">
        <w:rPr>
          <w:rFonts w:eastAsia="Calibri" w:cs="Arial"/>
          <w:szCs w:val="38"/>
          <w:lang w:eastAsia="en-GB"/>
        </w:rPr>
        <w:t>-</w:t>
      </w:r>
      <w:r w:rsidRPr="007C4F3A">
        <w:rPr>
          <w:rFonts w:eastAsia="Calibri" w:cs="Arial"/>
          <w:szCs w:val="38"/>
          <w:lang w:eastAsia="en-GB"/>
        </w:rPr>
        <w:tab/>
        <w:t>Investavimo objektas – inžinerinių statinių projektai.</w:t>
      </w:r>
    </w:p>
    <w:p w14:paraId="03E7FA4C" w14:textId="29791774" w:rsidR="00FD3D8E" w:rsidRDefault="004152A0" w:rsidP="00FC3162">
      <w:pPr>
        <w:spacing w:after="120"/>
        <w:rPr>
          <w:rFonts w:eastAsia="Calibri" w:cs="Arial"/>
          <w:lang w:eastAsia="lt-LT"/>
        </w:rPr>
      </w:pPr>
      <w:r>
        <w:rPr>
          <w:rFonts w:eastAsia="Calibri" w:cs="Arial"/>
          <w:b/>
          <w:bCs/>
          <w:lang w:eastAsia="lt-LT"/>
        </w:rPr>
        <w:t>Galimos projekto</w:t>
      </w:r>
      <w:r w:rsidR="00E15E65" w:rsidRPr="00E15E65">
        <w:rPr>
          <w:rFonts w:eastAsia="Calibri" w:cs="Arial"/>
          <w:b/>
          <w:bCs/>
          <w:lang w:eastAsia="lt-LT"/>
        </w:rPr>
        <w:t xml:space="preserve"> veiklos</w:t>
      </w:r>
      <w:r w:rsidR="00E15E65" w:rsidRPr="00FD3D8E">
        <w:rPr>
          <w:rFonts w:eastAsia="Calibri" w:cs="Arial"/>
          <w:lang w:eastAsia="lt-LT"/>
        </w:rPr>
        <w:t xml:space="preserve"> </w:t>
      </w:r>
      <w:r w:rsidR="00E15E65">
        <w:rPr>
          <w:rFonts w:eastAsia="Calibri" w:cs="Arial"/>
          <w:lang w:eastAsia="lt-LT"/>
        </w:rPr>
        <w:t xml:space="preserve">– </w:t>
      </w:r>
      <w:r w:rsidR="00130383" w:rsidRPr="00FD3D8E">
        <w:rPr>
          <w:rFonts w:eastAsia="Calibri" w:cs="Arial"/>
          <w:lang w:eastAsia="lt-LT"/>
        </w:rPr>
        <w:t xml:space="preserve">Utenos miesto Aukštakalnio daugiabučių namų mikrorajono dalies teritorijos (kurią riboja Aukštakalnio g., Taikos g., Kupiškio g. ir Vyžuonos parkas) atgaivinimas, humanizuojant viešąsias erdves pagal universalaus dizaino principus: </w:t>
      </w:r>
    </w:p>
    <w:p w14:paraId="62EF6BA4" w14:textId="77777777" w:rsidR="00FD3D8E"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 xml:space="preserve">modernizuojant privažiuojamuosius kelius, stovėjimo aikšteles/stovėjimo vietas ir pėsčiųjų takus pagal universalaus dizaino ir žalinimo principus; įrengiant automobilių stovėjimo vietas, skirtas asmenims su negalia; </w:t>
      </w:r>
    </w:p>
    <w:p w14:paraId="4FD9BD1F" w14:textId="77777777" w:rsidR="00FD3D8E"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 xml:space="preserve">paskirstant eismo srautus ir sukuriant sąlygas sumažinti eismo greitį kvartalo viduje; </w:t>
      </w:r>
    </w:p>
    <w:p w14:paraId="00736BB9" w14:textId="77777777" w:rsidR="00FD3D8E"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 xml:space="preserve">formuojant pėsčiųjų, poilsio zonas atskirtas nuo gatvių važiuojamosios dalies; </w:t>
      </w:r>
    </w:p>
    <w:p w14:paraId="5DC45286" w14:textId="77777777" w:rsidR="00FD3D8E"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 xml:space="preserve">sukuriant tarp namų apšviestas bendruomenių zonas/salas su žaidimų aikštelėmis ir poilsio infrastruktūra, prieinamas įvairaus amžiaus žmonėms bei suburiančias įvairių interesų bei amžiaus grupes, kartu prisitaikant prie esamų želdinių, juos išsaugant; </w:t>
      </w:r>
    </w:p>
    <w:p w14:paraId="18082D42" w14:textId="77777777" w:rsidR="00FD3D8E"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 xml:space="preserve">įrengiant apšvietimą, įrengiant bendro naudojimo dviračių saugyklas; </w:t>
      </w:r>
    </w:p>
    <w:p w14:paraId="7E77BBE9" w14:textId="4F9EBEBD" w:rsidR="00FC3162" w:rsidRPr="001669DF" w:rsidRDefault="00130383" w:rsidP="001669DF">
      <w:pPr>
        <w:pStyle w:val="Sraopastraipa"/>
        <w:numPr>
          <w:ilvl w:val="0"/>
          <w:numId w:val="27"/>
        </w:numPr>
        <w:rPr>
          <w:rFonts w:ascii="Arial" w:eastAsia="Calibri" w:hAnsi="Arial" w:cs="Arial"/>
          <w:lang w:eastAsia="lt-LT"/>
        </w:rPr>
      </w:pPr>
      <w:r w:rsidRPr="001669DF">
        <w:rPr>
          <w:rFonts w:ascii="Arial" w:eastAsia="Calibri" w:hAnsi="Arial" w:cs="Arial"/>
          <w:lang w:eastAsia="lt-LT"/>
        </w:rPr>
        <w:t>kitos prieinamumui didinti reikalingos viešosios infrastruktūros įrengimas.</w:t>
      </w:r>
      <w:r w:rsidR="00FC3162" w:rsidRPr="001669DF">
        <w:rPr>
          <w:rFonts w:ascii="Arial" w:eastAsia="Calibri" w:hAnsi="Arial" w:cs="Arial"/>
          <w:lang w:eastAsia="lt-LT"/>
        </w:rPr>
        <w:t xml:space="preserve"> </w:t>
      </w:r>
    </w:p>
    <w:p w14:paraId="59AE2321" w14:textId="126C80CC" w:rsidR="00130383" w:rsidRDefault="00FC3162" w:rsidP="00FE579C">
      <w:pPr>
        <w:spacing w:after="120"/>
        <w:rPr>
          <w:rFonts w:eastAsia="Calibri" w:cs="Arial"/>
          <w:lang w:eastAsia="lt-LT"/>
        </w:rPr>
      </w:pPr>
      <w:r w:rsidRPr="007C4F3A">
        <w:rPr>
          <w:rFonts w:eastAsia="Calibri" w:cs="Arial"/>
          <w:lang w:eastAsia="lt-LT"/>
        </w:rPr>
        <w:t xml:space="preserve">Neįgyvendinus </w:t>
      </w:r>
      <w:r w:rsidRPr="00FE579C">
        <w:rPr>
          <w:rFonts w:eastAsia="Calibri" w:cs="Arial"/>
          <w:lang w:eastAsia="lt-LT"/>
        </w:rPr>
        <w:t xml:space="preserve">projekto, infrastruktūros būklės palaikymo išlaidos būtų patiriamos tik tiek, kiek leistų turimi finansiniai ištekliai. </w:t>
      </w:r>
      <w:r w:rsidR="000B0B79" w:rsidRPr="000B0B79">
        <w:rPr>
          <w:rFonts w:eastAsia="Calibri" w:cs="Arial"/>
          <w:lang w:eastAsia="lt-LT"/>
        </w:rPr>
        <w:t xml:space="preserve">Aukštakalnio mikrorajono gyventojai ir toliau naudotųsi esamomis erdvėmis, tačiau nebūtų gerinama jų kokybė, neatnaujinami pėsčiųjų takai, neįrengiamos papildomos poilsio ar </w:t>
      </w:r>
      <w:r w:rsidR="000B0B79" w:rsidRPr="000B0B79">
        <w:rPr>
          <w:rFonts w:eastAsia="Calibri" w:cs="Arial"/>
          <w:lang w:eastAsia="lt-LT"/>
        </w:rPr>
        <w:lastRenderedPageBreak/>
        <w:t xml:space="preserve">žaidimų zonos, neplečiami želdynai ir nebūtų pritaikytos infrastruktūros priemonės asmenims su negalia bei kitoms gyventojų grupėms. Tai ilgainiui lemtų erdvių </w:t>
      </w:r>
      <w:r w:rsidR="004A29A5">
        <w:rPr>
          <w:rFonts w:eastAsia="Calibri" w:cs="Arial"/>
          <w:lang w:eastAsia="lt-LT"/>
        </w:rPr>
        <w:t xml:space="preserve">didelį </w:t>
      </w:r>
      <w:r w:rsidR="000B0B79" w:rsidRPr="000B0B79">
        <w:rPr>
          <w:rFonts w:eastAsia="Calibri" w:cs="Arial"/>
          <w:lang w:eastAsia="lt-LT"/>
        </w:rPr>
        <w:t xml:space="preserve">nusidėvėjimą, mažėjantį funkcionalumą ir </w:t>
      </w:r>
      <w:r w:rsidR="00206199">
        <w:rPr>
          <w:rFonts w:eastAsia="Calibri" w:cs="Arial"/>
          <w:lang w:eastAsia="lt-LT"/>
        </w:rPr>
        <w:t xml:space="preserve">dar </w:t>
      </w:r>
      <w:r w:rsidR="000B0B79" w:rsidRPr="000B0B79">
        <w:rPr>
          <w:rFonts w:eastAsia="Calibri" w:cs="Arial"/>
          <w:lang w:eastAsia="lt-LT"/>
        </w:rPr>
        <w:t>mažesnį jų patrauklumą kasdieniam naudojimui.</w:t>
      </w:r>
    </w:p>
    <w:p w14:paraId="0EE2D33F" w14:textId="77777777" w:rsidR="000B0B79" w:rsidRPr="00FE579C" w:rsidRDefault="000B0B79" w:rsidP="00FE579C">
      <w:pPr>
        <w:spacing w:after="120"/>
        <w:rPr>
          <w:rFonts w:eastAsia="Calibri" w:cs="Arial"/>
          <w:lang w:eastAsia="lt-LT"/>
        </w:rPr>
      </w:pPr>
    </w:p>
    <w:p w14:paraId="612C9F18" w14:textId="472008CC" w:rsidR="006F1D33" w:rsidRPr="007C4F3A" w:rsidRDefault="004265F3" w:rsidP="00D67B2F">
      <w:pPr>
        <w:pStyle w:val="Poskyris"/>
      </w:pPr>
      <w:bookmarkStart w:id="222" w:name="_Toc2329983"/>
      <w:bookmarkStart w:id="223" w:name="_Toc26282868"/>
      <w:bookmarkStart w:id="224" w:name="_Toc135375790"/>
      <w:bookmarkStart w:id="225" w:name="_Toc161166381"/>
      <w:bookmarkStart w:id="226" w:name="_Toc179180669"/>
      <w:bookmarkEnd w:id="221"/>
      <w:r>
        <w:tab/>
      </w:r>
      <w:bookmarkStart w:id="227" w:name="_Toc197939625"/>
      <w:r w:rsidR="006F1D33" w:rsidRPr="007C4F3A">
        <w:t>3.</w:t>
      </w:r>
      <w:r w:rsidR="006430C8" w:rsidRPr="007C4F3A">
        <w:t>4</w:t>
      </w:r>
      <w:r w:rsidR="006F1D33" w:rsidRPr="007C4F3A">
        <w:t xml:space="preserve">. </w:t>
      </w:r>
      <w:r w:rsidR="006F0D44" w:rsidRPr="007C4F3A">
        <w:t>P</w:t>
      </w:r>
      <w:r w:rsidR="006F1D33" w:rsidRPr="007C4F3A">
        <w:t>rojekto įgyvendinimo alternatyvos</w:t>
      </w:r>
      <w:bookmarkStart w:id="228" w:name="_Hlk479669208"/>
      <w:bookmarkEnd w:id="222"/>
      <w:bookmarkEnd w:id="223"/>
      <w:bookmarkEnd w:id="224"/>
      <w:bookmarkEnd w:id="225"/>
      <w:bookmarkEnd w:id="226"/>
      <w:bookmarkEnd w:id="227"/>
    </w:p>
    <w:p w14:paraId="272A3543" w14:textId="77777777" w:rsidR="00B2145A" w:rsidRPr="007C4F3A" w:rsidRDefault="00B2145A" w:rsidP="00B2145A">
      <w:pPr>
        <w:rPr>
          <w:rFonts w:ascii="Calibri" w:hAnsi="Calibri"/>
          <w:lang w:eastAsia="en-GB"/>
        </w:rPr>
      </w:pPr>
      <w:bookmarkStart w:id="229" w:name="_Hlk159589860"/>
      <w:bookmarkStart w:id="230" w:name="_Toc2329984"/>
      <w:bookmarkStart w:id="231" w:name="_Toc26282869"/>
      <w:bookmarkStart w:id="232" w:name="_Toc135375791"/>
      <w:bookmarkStart w:id="233" w:name="_Toc161166382"/>
      <w:bookmarkStart w:id="234" w:name="_Toc179180670"/>
      <w:bookmarkEnd w:id="228"/>
      <w:r w:rsidRPr="007C4F3A">
        <w:rPr>
          <w:lang w:eastAsia="en-GB"/>
        </w:rPr>
        <w:t>Pagal investicijų projektų rengimo metodiką atvejai, kada skaičiavimais gali būti analizuojamas vienas veiklų rinkinys:</w:t>
      </w:r>
    </w:p>
    <w:p w14:paraId="194A04D0" w14:textId="77777777" w:rsidR="00B2145A" w:rsidRPr="007C4F3A" w:rsidRDefault="00B2145A" w:rsidP="000D7B26">
      <w:pPr>
        <w:pStyle w:val="Sraopastraipa"/>
        <w:numPr>
          <w:ilvl w:val="0"/>
          <w:numId w:val="20"/>
        </w:numPr>
        <w:tabs>
          <w:tab w:val="left" w:pos="851"/>
        </w:tabs>
        <w:spacing w:before="0" w:line="259" w:lineRule="auto"/>
        <w:ind w:left="0" w:firstLine="567"/>
        <w:rPr>
          <w:rFonts w:ascii="Arial" w:hAnsi="Arial" w:cs="Arial"/>
          <w:lang w:eastAsia="en-GB"/>
        </w:rPr>
      </w:pPr>
      <w:r w:rsidRPr="007C4F3A">
        <w:rPr>
          <w:rFonts w:ascii="Arial" w:hAnsi="Arial" w:cs="Arial"/>
          <w:lang w:eastAsia="en-GB"/>
        </w:rPr>
        <w:t>Kai projekte numatomos veiklos ekstremalios situacijos ir force majeure sąlygų suvaldymui;</w:t>
      </w:r>
    </w:p>
    <w:p w14:paraId="47A75F40" w14:textId="77777777" w:rsidR="00B2145A" w:rsidRPr="007C4F3A" w:rsidRDefault="00B2145A" w:rsidP="000D7B26">
      <w:pPr>
        <w:pStyle w:val="Sraopastraipa"/>
        <w:numPr>
          <w:ilvl w:val="0"/>
          <w:numId w:val="20"/>
        </w:numPr>
        <w:tabs>
          <w:tab w:val="left" w:pos="851"/>
        </w:tabs>
        <w:spacing w:before="0" w:line="259" w:lineRule="auto"/>
        <w:ind w:left="0" w:firstLine="567"/>
        <w:rPr>
          <w:rFonts w:ascii="Arial" w:hAnsi="Arial" w:cs="Arial"/>
          <w:lang w:eastAsia="en-GB"/>
        </w:rPr>
      </w:pPr>
      <w:r w:rsidRPr="007C4F3A">
        <w:rPr>
          <w:rFonts w:ascii="Arial" w:hAnsi="Arial" w:cs="Arial"/>
          <w:lang w:eastAsia="en-GB"/>
        </w:rPr>
        <w:t>Kai konkretų projekto įgyvendinimo būdą nustato ES direktyvos, reglamentai, tarptautiniai įsipareigojimai, įstatymai, LRV programa;</w:t>
      </w:r>
    </w:p>
    <w:p w14:paraId="7AFE0339" w14:textId="77777777" w:rsidR="00B2145A" w:rsidRPr="007C4F3A" w:rsidRDefault="00B2145A" w:rsidP="000D7B26">
      <w:pPr>
        <w:pStyle w:val="Sraopastraipa"/>
        <w:numPr>
          <w:ilvl w:val="0"/>
          <w:numId w:val="20"/>
        </w:numPr>
        <w:tabs>
          <w:tab w:val="left" w:pos="851"/>
        </w:tabs>
        <w:spacing w:before="0" w:line="259" w:lineRule="auto"/>
        <w:ind w:left="0" w:firstLine="567"/>
        <w:rPr>
          <w:rFonts w:ascii="Arial" w:hAnsi="Arial" w:cs="Arial"/>
          <w:lang w:eastAsia="en-GB"/>
        </w:rPr>
      </w:pPr>
      <w:r w:rsidRPr="007C4F3A">
        <w:rPr>
          <w:rFonts w:ascii="Arial" w:hAnsi="Arial" w:cs="Arial"/>
          <w:lang w:eastAsia="en-GB"/>
        </w:rPr>
        <w:t>Kai objektyviai galima pagrįsti, kad projekto įgyvendinimo sprendinys yra vienas (egzistuoja teisiniai, fiziniai, finansavimo šaltinio prieinamumo, rinkos apribojimai, dėl kurių kiti sprendiniai negali būti įgyvendinami);</w:t>
      </w:r>
    </w:p>
    <w:p w14:paraId="7DCE8DE6" w14:textId="77777777" w:rsidR="00B2145A" w:rsidRPr="007C4F3A" w:rsidRDefault="00B2145A" w:rsidP="000D7B26">
      <w:pPr>
        <w:pStyle w:val="Sraopastraipa"/>
        <w:numPr>
          <w:ilvl w:val="0"/>
          <w:numId w:val="20"/>
        </w:numPr>
        <w:tabs>
          <w:tab w:val="left" w:pos="851"/>
        </w:tabs>
        <w:spacing w:before="0" w:line="259" w:lineRule="auto"/>
        <w:ind w:left="0" w:firstLine="567"/>
        <w:rPr>
          <w:rFonts w:ascii="Arial" w:hAnsi="Arial" w:cs="Arial"/>
          <w:lang w:eastAsia="en-GB"/>
        </w:rPr>
      </w:pPr>
      <w:r w:rsidRPr="007C4F3A">
        <w:rPr>
          <w:rFonts w:ascii="Arial" w:hAnsi="Arial" w:cs="Arial"/>
          <w:lang w:eastAsia="en-GB"/>
        </w:rPr>
        <w:t>Kai galimos alternatyvos pagal Metodikos reikalavimus jau įvertintos rengiant aukštesnio lygmens planavimo dokumentus, pagrįstas konkretus sprendinys ir esminės analizės prielaidos (techninės galimybės, kainų lygis, ekonominė aplinka, aktualumas ir pan.) nepasikeitė;</w:t>
      </w:r>
    </w:p>
    <w:p w14:paraId="7869CE51" w14:textId="6F114CE5" w:rsidR="00C5085B" w:rsidRPr="007C4F3A" w:rsidRDefault="00B2145A" w:rsidP="00C835E9">
      <w:pPr>
        <w:pStyle w:val="Sraopastraipa"/>
        <w:numPr>
          <w:ilvl w:val="0"/>
          <w:numId w:val="20"/>
        </w:numPr>
        <w:tabs>
          <w:tab w:val="left" w:pos="851"/>
        </w:tabs>
        <w:spacing w:before="0" w:line="259" w:lineRule="auto"/>
        <w:ind w:left="0" w:firstLine="567"/>
        <w:rPr>
          <w:rFonts w:ascii="Arial" w:hAnsi="Arial" w:cs="Arial"/>
          <w:lang w:eastAsia="en-GB"/>
        </w:rPr>
      </w:pPr>
      <w:r w:rsidRPr="007C4F3A">
        <w:rPr>
          <w:rFonts w:ascii="Arial" w:hAnsi="Arial" w:cs="Arial"/>
          <w:lang w:eastAsia="en-GB"/>
        </w:rPr>
        <w:t>Kai projekto investicijoms galimo skirti finansavimo suma neviršija 1 mln. eurų (be PVM).</w:t>
      </w:r>
      <w:bookmarkEnd w:id="229"/>
    </w:p>
    <w:p w14:paraId="6555A2D5" w14:textId="1D3BDE71" w:rsidR="00BF2235" w:rsidRDefault="00BF2235" w:rsidP="00B2145A">
      <w:pPr>
        <w:rPr>
          <w:rFonts w:cs="Arial"/>
          <w:color w:val="auto"/>
          <w:lang w:eastAsia="en-GB"/>
        </w:rPr>
      </w:pPr>
      <w:r w:rsidRPr="00C10AFC">
        <w:rPr>
          <w:rFonts w:cs="Arial"/>
          <w:color w:val="auto"/>
          <w:lang w:eastAsia="en-GB"/>
        </w:rPr>
        <w:t>Kadangi šiuo metu yra parengti konkretūs Aukštakalnio mikrorajono viešųjų erdvių atgaivinimo projektiniai sprendiniai, kuriuose numatyti pagrindiniai teritorijos pertvarkymo principai</w:t>
      </w:r>
      <w:r w:rsidR="00C10AFC" w:rsidRPr="00C10AFC">
        <w:rPr>
          <w:rFonts w:cs="Arial"/>
          <w:color w:val="auto"/>
          <w:lang w:eastAsia="en-GB"/>
        </w:rPr>
        <w:t>.</w:t>
      </w:r>
      <w:r w:rsidRPr="00C10AFC">
        <w:rPr>
          <w:rFonts w:cs="Arial"/>
          <w:color w:val="auto"/>
          <w:lang w:eastAsia="en-GB"/>
        </w:rPr>
        <w:t xml:space="preserve"> Atsižvelgiant į tai, papildomų alternatyvų analizė nėra vykdoma, kadangi jau turimi projektiniai sprendiniai sudaro pagrindą tolesniam įgyvendinimo etapui.</w:t>
      </w:r>
    </w:p>
    <w:p w14:paraId="0753E72A" w14:textId="6AFCB13D" w:rsidR="00B2145A" w:rsidRDefault="00974F32" w:rsidP="00B2145A">
      <w:pPr>
        <w:rPr>
          <w:rFonts w:cs="Arial"/>
          <w:lang w:eastAsia="en-GB"/>
        </w:rPr>
      </w:pPr>
      <w:r>
        <w:rPr>
          <w:rFonts w:cs="Arial"/>
          <w:noProof/>
          <w:color w:val="auto"/>
          <w:lang w:eastAsia="en-GB"/>
        </w:rPr>
        <w:t xml:space="preserve">Projekto </w:t>
      </w:r>
      <w:r w:rsidR="00B2145A" w:rsidRPr="00CA1E9B">
        <w:rPr>
          <w:rFonts w:cs="Arial"/>
          <w:noProof/>
          <w:color w:val="auto"/>
          <w:lang w:eastAsia="en-GB"/>
        </w:rPr>
        <w:t>įgyvendinimas teisiniu ir technologiniu požiūriu neturi jokių apribojimų</w:t>
      </w:r>
      <w:r w:rsidR="00060BF4" w:rsidRPr="00CA1E9B">
        <w:rPr>
          <w:rFonts w:cs="Arial"/>
          <w:lang w:eastAsia="en-GB"/>
        </w:rPr>
        <w:t>, išskyrus</w:t>
      </w:r>
      <w:r w:rsidR="00B2145A" w:rsidRPr="00CA1E9B">
        <w:rPr>
          <w:rFonts w:cs="Arial"/>
          <w:noProof/>
          <w:color w:val="auto"/>
          <w:lang w:eastAsia="en-GB"/>
        </w:rPr>
        <w:t xml:space="preserve"> </w:t>
      </w:r>
      <w:r w:rsidR="00172DA3" w:rsidRPr="00CA1E9B">
        <w:rPr>
          <w:rFonts w:cs="Arial"/>
          <w:lang w:eastAsia="en-GB"/>
        </w:rPr>
        <w:t>statinio projektavimo užduotyje numatytas prisijungimo prie susisiekimo komunikacijų sąlygas. Socialiniu ekonominiu požiūriu alternatyva sprendžia įvertintą problematiką.</w:t>
      </w:r>
    </w:p>
    <w:p w14:paraId="41B3E3FC" w14:textId="77777777" w:rsidR="00E87A5A" w:rsidRPr="007C4F3A" w:rsidRDefault="00E87A5A" w:rsidP="00B2145A">
      <w:pPr>
        <w:rPr>
          <w:rFonts w:cs="Arial"/>
          <w:noProof/>
          <w:color w:val="auto"/>
          <w:lang w:eastAsia="en-GB"/>
        </w:rPr>
      </w:pPr>
    </w:p>
    <w:p w14:paraId="5222ED4C" w14:textId="32FE5AD8" w:rsidR="006F1D33" w:rsidRPr="007C4F3A" w:rsidRDefault="004265F3" w:rsidP="00D67B2F">
      <w:pPr>
        <w:pStyle w:val="Poskyris"/>
      </w:pPr>
      <w:r>
        <w:tab/>
      </w:r>
      <w:bookmarkStart w:id="235" w:name="_Toc197939626"/>
      <w:r w:rsidR="006F1D33" w:rsidRPr="007C4F3A">
        <w:t>3.</w:t>
      </w:r>
      <w:r w:rsidR="006430C8" w:rsidRPr="007C4F3A">
        <w:t>5</w:t>
      </w:r>
      <w:r w:rsidR="006F1D33" w:rsidRPr="007C4F3A">
        <w:t>. Analizės metodo pasirinkimas</w:t>
      </w:r>
      <w:bookmarkEnd w:id="230"/>
      <w:bookmarkEnd w:id="231"/>
      <w:bookmarkEnd w:id="232"/>
      <w:bookmarkEnd w:id="233"/>
      <w:bookmarkEnd w:id="234"/>
      <w:bookmarkEnd w:id="235"/>
    </w:p>
    <w:p w14:paraId="20F67013" w14:textId="3914AC12" w:rsidR="00454E77" w:rsidRDefault="006F1D33" w:rsidP="00200C70">
      <w:pPr>
        <w:suppressAutoHyphens/>
        <w:autoSpaceDN w:val="0"/>
        <w:spacing w:before="120" w:after="120"/>
        <w:textAlignment w:val="baseline"/>
        <w:rPr>
          <w:rFonts w:eastAsia="Calibri" w:cs="Arial"/>
          <w:color w:val="auto"/>
          <w:szCs w:val="38"/>
          <w:lang w:eastAsia="en-GB"/>
        </w:rPr>
      </w:pPr>
      <w:bookmarkStart w:id="236" w:name="_Hlk178846779"/>
      <w:r w:rsidRPr="007C4F3A">
        <w:rPr>
          <w:rFonts w:eastAsia="Calibri" w:cs="Arial"/>
          <w:color w:val="auto"/>
          <w:szCs w:val="38"/>
          <w:lang w:eastAsia="en-GB"/>
        </w:rPr>
        <w:t>Vadovaujantis Metodikos nuostatomis, atsižvelgiant į pagrindinį investavimo objektą (</w:t>
      </w:r>
      <w:r w:rsidR="00AE7EF1" w:rsidRPr="007C4F3A">
        <w:rPr>
          <w:rFonts w:eastAsia="Calibri" w:cs="Arial"/>
          <w:color w:val="auto"/>
          <w:szCs w:val="38"/>
          <w:lang w:eastAsia="en-GB"/>
        </w:rPr>
        <w:t>inžineriniai statiniai</w:t>
      </w:r>
      <w:r w:rsidRPr="007C4F3A">
        <w:rPr>
          <w:rFonts w:eastAsia="Calibri" w:cs="Arial"/>
          <w:color w:val="auto"/>
          <w:szCs w:val="38"/>
          <w:lang w:eastAsia="en-GB"/>
        </w:rPr>
        <w:t xml:space="preserve">) bei į tai, kad veikla yra tęstinė, reikalaujanti visų sąnaudų įvertinimo per visą IP atskaitinį laikotarpį, alternatyvų palyginimui ir optimalios alternatyvos pasirinkimo pagrindimui bus naudojamas SNA metodas, kurio esmė – </w:t>
      </w:r>
      <w:r w:rsidR="00336DD5" w:rsidRPr="007C4F3A">
        <w:rPr>
          <w:rFonts w:eastAsia="Calibri" w:cs="Arial"/>
          <w:color w:val="auto"/>
          <w:szCs w:val="38"/>
          <w:lang w:eastAsia="en-GB"/>
        </w:rPr>
        <w:t>p</w:t>
      </w:r>
      <w:r w:rsidRPr="007C4F3A">
        <w:rPr>
          <w:rFonts w:eastAsia="Calibri" w:cs="Arial"/>
          <w:color w:val="auto"/>
          <w:szCs w:val="38"/>
          <w:lang w:eastAsia="en-GB"/>
        </w:rPr>
        <w:t>rojektui įgyvendinti reikalingų sąnaudų palyginimas su investicijų sukuriama socialine-ekonomine nauda. Įvertinimui papildomai pasirenkamas efektyvumo principas</w:t>
      </w:r>
      <w:bookmarkEnd w:id="58"/>
      <w:bookmarkEnd w:id="236"/>
      <w:r w:rsidR="007678C1">
        <w:rPr>
          <w:rFonts w:eastAsia="Calibri" w:cs="Arial"/>
          <w:color w:val="auto"/>
          <w:szCs w:val="38"/>
          <w:lang w:eastAsia="en-GB"/>
        </w:rPr>
        <w:t>.</w:t>
      </w:r>
    </w:p>
    <w:p w14:paraId="6919EE13" w14:textId="77777777" w:rsidR="00454E77" w:rsidRDefault="00454E77">
      <w:pPr>
        <w:ind w:firstLine="0"/>
        <w:jc w:val="left"/>
        <w:rPr>
          <w:rFonts w:eastAsia="Calibri" w:cs="Arial"/>
          <w:color w:val="auto"/>
          <w:szCs w:val="38"/>
          <w:lang w:eastAsia="en-GB"/>
        </w:rPr>
      </w:pPr>
      <w:r>
        <w:rPr>
          <w:rFonts w:eastAsia="Calibri" w:cs="Arial"/>
          <w:color w:val="auto"/>
          <w:szCs w:val="38"/>
          <w:lang w:eastAsia="en-GB"/>
        </w:rPr>
        <w:br w:type="page"/>
      </w:r>
    </w:p>
    <w:p w14:paraId="22CF504E" w14:textId="77777777" w:rsidR="00454E77" w:rsidRPr="006E0A53" w:rsidRDefault="00454E77" w:rsidP="00454E77">
      <w:pPr>
        <w:pStyle w:val="Antrat1"/>
      </w:pPr>
      <w:bookmarkStart w:id="237" w:name="_Toc123288117"/>
      <w:bookmarkStart w:id="238" w:name="_Toc159421950"/>
      <w:bookmarkStart w:id="239" w:name="_Toc160544955"/>
      <w:bookmarkStart w:id="240" w:name="_Toc161166383"/>
      <w:bookmarkStart w:id="241" w:name="_Toc165372628"/>
      <w:bookmarkStart w:id="242" w:name="_Toc171350841"/>
      <w:bookmarkStart w:id="243" w:name="_Toc171350971"/>
      <w:bookmarkStart w:id="244" w:name="_Toc171355457"/>
      <w:r w:rsidRPr="006E0A53">
        <w:lastRenderedPageBreak/>
        <w:t>4. Finansinė analizė</w:t>
      </w:r>
      <w:bookmarkEnd w:id="237"/>
      <w:bookmarkEnd w:id="238"/>
      <w:bookmarkEnd w:id="239"/>
      <w:bookmarkEnd w:id="240"/>
      <w:bookmarkEnd w:id="241"/>
      <w:bookmarkEnd w:id="242"/>
      <w:bookmarkEnd w:id="243"/>
      <w:bookmarkEnd w:id="244"/>
    </w:p>
    <w:p w14:paraId="06488E6A" w14:textId="77777777" w:rsidR="00454E77" w:rsidRPr="00033860" w:rsidRDefault="00454E77" w:rsidP="00454E77">
      <w:r w:rsidRPr="00033860">
        <w:t xml:space="preserve">Finansinė analizė atliekama nagrinėjant finansinius projekto įgyvendinimo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Pagrindiniai finansinės analizės rezultatų rodikliai – investicijų ir kapitalo finansinė grynoji dabartinė vertė ir vidinė grąžos norma (FGDV ir FVGN). Finansinė grynoji dabartine vertė (FGDV) gaunama sudėjus diskontuotų pinigų srautų per projekto gyvavimo laikotarpį, parodo projekto naudą, išreikštą dabartine pinigų verte. Finansinė vidinė grąžos norma (FVGN) – diskonto norma, kuriai esant investicijų vertė lygi grynųjų pinigų srautų vertei, t. y. diskonto norma, su kuria grynoji dabartinė investicijų vertė lygi nuliui. Jeigu FVGN didesnė už rinkoje esančią palūkanų normą, vadinasi, projektas duos didesnę naudą už lėšų skolinimosi išlaidas. </w:t>
      </w:r>
    </w:p>
    <w:p w14:paraId="288C3653" w14:textId="77777777" w:rsidR="00454E77" w:rsidRPr="00033860" w:rsidRDefault="00454E77" w:rsidP="00454E77">
      <w:r w:rsidRPr="00033860">
        <w:t>Projekto finansinė analizė toliau atliekama šiuo eiliškumu:</w:t>
      </w:r>
    </w:p>
    <w:p w14:paraId="260CE260" w14:textId="77777777" w:rsidR="00454E77" w:rsidRPr="00033860" w:rsidRDefault="00454E77" w:rsidP="00454E77">
      <w:pPr>
        <w:ind w:left="567" w:hanging="567"/>
      </w:pPr>
      <w:r w:rsidRPr="00033860">
        <w:t>1.</w:t>
      </w:r>
      <w:r w:rsidRPr="00033860">
        <w:tab/>
        <w:t>pasirenkamas Projekto ekonominės veiklos sektorius ir nurodomas Projekto ataskaitinis laikotarpis,</w:t>
      </w:r>
    </w:p>
    <w:p w14:paraId="575536A5" w14:textId="77777777" w:rsidR="00454E77" w:rsidRPr="00033860" w:rsidRDefault="00454E77" w:rsidP="00454E77">
      <w:pPr>
        <w:ind w:left="567" w:hanging="567"/>
      </w:pPr>
      <w:r w:rsidRPr="00033860">
        <w:t>2.</w:t>
      </w:r>
      <w:r w:rsidRPr="00033860">
        <w:tab/>
        <w:t>nurodoma finansinė diskonto norma (FDN);</w:t>
      </w:r>
    </w:p>
    <w:p w14:paraId="7B1E3380" w14:textId="77777777" w:rsidR="00454E77" w:rsidRPr="00033860" w:rsidRDefault="00454E77" w:rsidP="00454E77">
      <w:pPr>
        <w:ind w:left="567" w:hanging="567"/>
      </w:pPr>
      <w:r w:rsidRPr="00033860">
        <w:t>3.</w:t>
      </w:r>
      <w:r w:rsidRPr="00033860">
        <w:tab/>
        <w:t>nurodomi Projekto lėšų srautai (investicijos, investicijų likutinė vertė, veiklos pajamos, veiklos išlaidos, mokesčiai ir finansavimas), ir</w:t>
      </w:r>
    </w:p>
    <w:p w14:paraId="50AAB45A" w14:textId="77777777" w:rsidR="00454E77" w:rsidRPr="00033860" w:rsidRDefault="00454E77" w:rsidP="00454E77">
      <w:pPr>
        <w:ind w:left="567" w:hanging="567"/>
      </w:pPr>
      <w:r w:rsidRPr="00033860">
        <w:t>4.</w:t>
      </w:r>
      <w:r w:rsidRPr="00033860">
        <w:tab/>
        <w:t>apskaičiuojami finansiniai rodikliai ir pateikiama išvada dėl Projekto gyvybingumo.</w:t>
      </w:r>
    </w:p>
    <w:p w14:paraId="3FD5CE77" w14:textId="77777777" w:rsidR="00454E77" w:rsidRPr="006E0A53" w:rsidRDefault="00454E77" w:rsidP="00454E77">
      <w:pPr>
        <w:pStyle w:val="Poskyris"/>
      </w:pPr>
      <w:bookmarkStart w:id="245" w:name="_Toc123288118"/>
      <w:bookmarkStart w:id="246" w:name="_Toc159421951"/>
      <w:bookmarkStart w:id="247" w:name="_Toc161166384"/>
      <w:bookmarkStart w:id="248" w:name="_Toc165372629"/>
      <w:bookmarkStart w:id="249" w:name="_Toc171350842"/>
      <w:bookmarkStart w:id="250" w:name="_Toc171350972"/>
      <w:bookmarkStart w:id="251" w:name="_Toc171355458"/>
      <w:bookmarkStart w:id="252" w:name="Skyrius_4_1"/>
      <w:r w:rsidRPr="006E0A53">
        <w:t>4.1. Projekto ataskaitinis laikotarpis</w:t>
      </w:r>
      <w:bookmarkEnd w:id="245"/>
      <w:bookmarkEnd w:id="246"/>
      <w:bookmarkEnd w:id="247"/>
      <w:bookmarkEnd w:id="248"/>
      <w:bookmarkEnd w:id="249"/>
      <w:bookmarkEnd w:id="250"/>
      <w:bookmarkEnd w:id="251"/>
    </w:p>
    <w:bookmarkEnd w:id="252"/>
    <w:p w14:paraId="085E890B" w14:textId="77777777" w:rsidR="00454E77" w:rsidRPr="00033860" w:rsidRDefault="00454E77" w:rsidP="00454E77">
      <w:r w:rsidRPr="00033860">
        <w:t xml:space="preserve">Remiantis Metodika, investicijų projekto ataskaitinis laikotarpis – 15 metų, nes projektas priskiriamas prie „kitų sektorių“ projektų. </w:t>
      </w:r>
    </w:p>
    <w:p w14:paraId="2DBC2E5C" w14:textId="29A7ECEB" w:rsidR="00454E77" w:rsidRPr="00033860" w:rsidRDefault="00454E77" w:rsidP="00454E77">
      <w:bookmarkStart w:id="253" w:name="_Toc123288119"/>
      <w:bookmarkStart w:id="254" w:name="_Toc159421952"/>
      <w:bookmarkStart w:id="255" w:name="_Toc161166385"/>
      <w:bookmarkStart w:id="256" w:name="_Toc165372630"/>
      <w:r w:rsidRPr="00033860">
        <w:t>Projekto atveju pirmieji projekto įgyvendinimo metai – 2025 m., paskutiniai projekto analizės metai – 20</w:t>
      </w:r>
      <w:r>
        <w:t>40</w:t>
      </w:r>
      <w:r w:rsidRPr="00033860">
        <w:t xml:space="preserve"> m. </w:t>
      </w:r>
    </w:p>
    <w:p w14:paraId="274B3E37" w14:textId="77777777" w:rsidR="00454E77" w:rsidRPr="006E0A53" w:rsidRDefault="00454E77" w:rsidP="00454E77">
      <w:pPr>
        <w:pStyle w:val="Poskyris"/>
      </w:pPr>
      <w:bookmarkStart w:id="257" w:name="_Toc171350843"/>
      <w:bookmarkStart w:id="258" w:name="_Toc171350973"/>
      <w:bookmarkStart w:id="259" w:name="_Toc171355459"/>
      <w:r w:rsidRPr="006E0A53">
        <w:t>4.2. Finansinė diskonto norma</w:t>
      </w:r>
      <w:bookmarkEnd w:id="253"/>
      <w:bookmarkEnd w:id="254"/>
      <w:bookmarkEnd w:id="255"/>
      <w:bookmarkEnd w:id="256"/>
      <w:bookmarkEnd w:id="257"/>
      <w:bookmarkEnd w:id="258"/>
      <w:bookmarkEnd w:id="259"/>
    </w:p>
    <w:p w14:paraId="0C9E7FB4" w14:textId="77777777" w:rsidR="00454E77" w:rsidRPr="00033860" w:rsidRDefault="00454E77" w:rsidP="00454E77">
      <w:r w:rsidRPr="00033860">
        <w:t>Remiantis Europos Komisijos kaštų-naudos rengimo rekomendacijomis (</w:t>
      </w:r>
      <w:proofErr w:type="spellStart"/>
      <w:r w:rsidRPr="00033860">
        <w:t>Guide</w:t>
      </w:r>
      <w:proofErr w:type="spellEnd"/>
      <w:r w:rsidRPr="00033860">
        <w:t xml:space="preserve"> to </w:t>
      </w:r>
      <w:proofErr w:type="spellStart"/>
      <w:r w:rsidRPr="00033860">
        <w:t>Cost-Benefit</w:t>
      </w:r>
      <w:proofErr w:type="spellEnd"/>
      <w:r w:rsidRPr="00033860">
        <w:t xml:space="preserve"> </w:t>
      </w:r>
      <w:proofErr w:type="spellStart"/>
      <w:r w:rsidRPr="00033860">
        <w:t>Analysis</w:t>
      </w:r>
      <w:proofErr w:type="spellEnd"/>
      <w:r w:rsidRPr="00033860">
        <w:t xml:space="preserve"> </w:t>
      </w:r>
      <w:proofErr w:type="spellStart"/>
      <w:r w:rsidRPr="00033860">
        <w:t>of</w:t>
      </w:r>
      <w:proofErr w:type="spellEnd"/>
      <w:r w:rsidRPr="00033860">
        <w:t xml:space="preserve"> </w:t>
      </w:r>
      <w:proofErr w:type="spellStart"/>
      <w:r w:rsidRPr="00033860">
        <w:t>Investment</w:t>
      </w:r>
      <w:proofErr w:type="spellEnd"/>
      <w:r w:rsidRPr="00033860">
        <w:t xml:space="preserve"> </w:t>
      </w:r>
      <w:proofErr w:type="spellStart"/>
      <w:r w:rsidRPr="00033860">
        <w:t>Projects</w:t>
      </w:r>
      <w:proofErr w:type="spellEnd"/>
      <w:r w:rsidRPr="00033860">
        <w:t>),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4,</w:t>
      </w:r>
      <w:r>
        <w:t>00</w:t>
      </w:r>
      <w:r w:rsidRPr="00033860">
        <w:t xml:space="preserve"> proc. FDN.</w:t>
      </w:r>
    </w:p>
    <w:p w14:paraId="3795C6F3" w14:textId="77777777" w:rsidR="00454E77" w:rsidRPr="006E0A53" w:rsidRDefault="00454E77" w:rsidP="00454E77">
      <w:pPr>
        <w:pStyle w:val="Poskyris"/>
      </w:pPr>
      <w:bookmarkStart w:id="260" w:name="_Toc123288120"/>
      <w:bookmarkStart w:id="261" w:name="_Toc159421953"/>
      <w:bookmarkStart w:id="262" w:name="_Toc161166386"/>
      <w:bookmarkStart w:id="263" w:name="_Toc165372631"/>
      <w:bookmarkStart w:id="264" w:name="_Toc171350844"/>
      <w:bookmarkStart w:id="265" w:name="_Toc171350974"/>
      <w:bookmarkStart w:id="266" w:name="_Toc171355460"/>
      <w:r w:rsidRPr="006E0A53">
        <w:t>4.3. Projekto lėšų srautai</w:t>
      </w:r>
      <w:bookmarkEnd w:id="260"/>
      <w:bookmarkEnd w:id="261"/>
      <w:bookmarkEnd w:id="262"/>
      <w:bookmarkEnd w:id="263"/>
      <w:bookmarkEnd w:id="264"/>
      <w:bookmarkEnd w:id="265"/>
      <w:bookmarkEnd w:id="266"/>
    </w:p>
    <w:p w14:paraId="07FE38B7" w14:textId="77777777" w:rsidR="00454E77" w:rsidRPr="00033860" w:rsidRDefault="00454E77" w:rsidP="00454E77">
      <w:r w:rsidRPr="00033860">
        <w:t xml:space="preserve">Projekto lėšų srautų analizė apima projekto investicijų, projekto investicijų likutinės vertės, projekto veiklos pajamų, projekto veiklos išlaidų, projekto mokesčių ir projekto finansavimo analizę. </w:t>
      </w:r>
    </w:p>
    <w:p w14:paraId="3ED26F31" w14:textId="56E8B5E2" w:rsidR="00454E77" w:rsidRPr="00033860" w:rsidRDefault="00454E77" w:rsidP="00454E77">
      <w:r w:rsidRPr="00033860">
        <w:t xml:space="preserve">Pinigų srautai nurodomi su PVM nes </w:t>
      </w:r>
      <w:r w:rsidR="00E3484D">
        <w:t>Utenos rajono</w:t>
      </w:r>
      <w:r w:rsidRPr="00033860">
        <w:t xml:space="preserve"> savivaldybės administracija (Projekto organizacija) nevykdo PVM apmokestinamos veiklos ir neturi teises į PVM ataskaitą, o projekto rezultatai nėra ir nebus naudojami ekonominei PVM apmokestinamai veiklai vykdyti.</w:t>
      </w:r>
    </w:p>
    <w:p w14:paraId="2A0072CF" w14:textId="77777777" w:rsidR="00454E77" w:rsidRPr="006E0A53" w:rsidRDefault="00454E77" w:rsidP="00454E77">
      <w:pPr>
        <w:pStyle w:val="Paantrat"/>
        <w:rPr>
          <w:rFonts w:eastAsiaTheme="majorEastAsia"/>
          <w:noProof/>
        </w:rPr>
      </w:pPr>
      <w:bookmarkStart w:id="267" w:name="Skyrius_4_3_1"/>
      <w:bookmarkStart w:id="268" w:name="_Toc123288121"/>
      <w:bookmarkStart w:id="269" w:name="_Toc159421954"/>
      <w:bookmarkStart w:id="270" w:name="_Toc161166387"/>
      <w:bookmarkStart w:id="271" w:name="_Toc165372632"/>
      <w:bookmarkStart w:id="272" w:name="_Toc171350975"/>
      <w:bookmarkStart w:id="273" w:name="_Toc171355461"/>
      <w:bookmarkEnd w:id="267"/>
      <w:r w:rsidRPr="006E0A53">
        <w:rPr>
          <w:rFonts w:eastAsiaTheme="majorEastAsia"/>
          <w:noProof/>
        </w:rPr>
        <w:t>4.3.1. Projekto investicijos</w:t>
      </w:r>
      <w:bookmarkEnd w:id="268"/>
      <w:bookmarkEnd w:id="269"/>
      <w:bookmarkEnd w:id="270"/>
      <w:bookmarkEnd w:id="271"/>
      <w:bookmarkEnd w:id="272"/>
      <w:bookmarkEnd w:id="273"/>
      <w:r w:rsidRPr="006E0A53">
        <w:rPr>
          <w:rFonts w:eastAsiaTheme="majorEastAsia"/>
          <w:noProof/>
        </w:rPr>
        <w:t xml:space="preserve"> </w:t>
      </w:r>
    </w:p>
    <w:p w14:paraId="6E413807" w14:textId="77777777" w:rsidR="00454E77" w:rsidRPr="00C36330" w:rsidRDefault="00454E77" w:rsidP="00454E77">
      <w:r w:rsidRPr="00033860">
        <w:t xml:space="preserve">Projekto investicijos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 Visos, projektui reikalingos išlaidos buvo nustatytos remiantis patikimais šaltiniais ir organizacijos vykdomų projektų </w:t>
      </w:r>
      <w:r w:rsidRPr="00C36330">
        <w:t xml:space="preserve">patirtimi. </w:t>
      </w:r>
    </w:p>
    <w:p w14:paraId="3A3DC818" w14:textId="62828E22" w:rsidR="00BB7533" w:rsidRPr="00BB7533" w:rsidRDefault="00454E77" w:rsidP="00C36330">
      <w:pPr>
        <w:spacing w:after="120" w:line="254" w:lineRule="auto"/>
        <w:rPr>
          <w:color w:val="000000"/>
          <w:sz w:val="20"/>
        </w:rPr>
      </w:pPr>
      <w:r w:rsidRPr="00C36330">
        <w:lastRenderedPageBreak/>
        <w:t xml:space="preserve">Didžiąją investicijų dalį sudaro statybos, rekonstravimo ir kapitalinio remonto darbai, kurių bendra vertė sudaro 3 525 030,60 Eur su PVM. Šios išlaidos apima įvairiapusį Utenos miesto </w:t>
      </w:r>
      <w:r w:rsidR="00BB7533" w:rsidRPr="00C36330">
        <w:t>Aukštakalnio daugiabučių namų mikrorajono teritorijos modernizavimą (apribotą Aukštakalnio g., Taikos g., Kupiškio g. ir Vyžuonos parku), įgyvendinant universalaus dizaino principais grindžiamus sprendimus</w:t>
      </w:r>
      <w:r w:rsidRPr="00C36330">
        <w:t>. Įgyvendinant šiuos darbus numatyta</w:t>
      </w:r>
      <w:r w:rsidR="00BB7533" w:rsidRPr="00C36330">
        <w:t>:</w:t>
      </w:r>
      <w:r w:rsidR="00BB7533" w:rsidRPr="00BB7533">
        <w:t xml:space="preserve"> </w:t>
      </w:r>
    </w:p>
    <w:p w14:paraId="7A011CFE" w14:textId="77777777" w:rsidR="00BB7533" w:rsidRPr="00BB7533" w:rsidRDefault="00BB7533" w:rsidP="00C36330">
      <w:pPr>
        <w:pStyle w:val="Pagrindinis"/>
        <w:numPr>
          <w:ilvl w:val="0"/>
          <w:numId w:val="36"/>
        </w:numPr>
        <w:spacing w:before="0" w:line="254" w:lineRule="auto"/>
        <w:ind w:left="567" w:hanging="567"/>
      </w:pPr>
      <w:r w:rsidRPr="00BB7533">
        <w:rPr>
          <w:color w:val="000000"/>
          <w:sz w:val="20"/>
        </w:rPr>
        <w:t>modernizuoti privažiuojamuosius kelius, stovėjimo aikšteles / stovėjimo vietas ir pėsčiųjų takus pagal universalaus dizaino ir žalinimo principus, įrengti automobilių stovėjimo vietas, skirtas asmenims su negalia;</w:t>
      </w:r>
    </w:p>
    <w:p w14:paraId="552F689E" w14:textId="77777777" w:rsidR="00BB7533" w:rsidRPr="00BB7533" w:rsidRDefault="00BB7533" w:rsidP="00C36330">
      <w:pPr>
        <w:pStyle w:val="Pagrindinis"/>
        <w:numPr>
          <w:ilvl w:val="0"/>
          <w:numId w:val="36"/>
        </w:numPr>
        <w:spacing w:before="0" w:line="254" w:lineRule="auto"/>
        <w:ind w:left="567" w:hanging="567"/>
      </w:pPr>
      <w:r w:rsidRPr="00BB7533">
        <w:rPr>
          <w:color w:val="000000"/>
          <w:sz w:val="20"/>
        </w:rPr>
        <w:t>paskirstyti eismo srautus ir sukurti sąlygas sumažinti eismo greitį kvartalo viduje;</w:t>
      </w:r>
    </w:p>
    <w:p w14:paraId="1E2CB8DD" w14:textId="12014136" w:rsidR="00BB7533" w:rsidRPr="00BB7533" w:rsidRDefault="00BB7533" w:rsidP="00C36330">
      <w:pPr>
        <w:pStyle w:val="Pagrindinis"/>
        <w:numPr>
          <w:ilvl w:val="0"/>
          <w:numId w:val="36"/>
        </w:numPr>
        <w:spacing w:before="0" w:line="254" w:lineRule="auto"/>
        <w:ind w:left="567" w:hanging="567"/>
      </w:pPr>
      <w:r w:rsidRPr="00BB7533">
        <w:rPr>
          <w:color w:val="000000"/>
          <w:sz w:val="20"/>
        </w:rPr>
        <w:t>formuoti pėsčiųjų ir poilsio zonas, atskirtas nuo gatvių važiuojamosios dalies;</w:t>
      </w:r>
    </w:p>
    <w:p w14:paraId="5DCCC791" w14:textId="77777777" w:rsidR="00BB7533" w:rsidRPr="00BB7533" w:rsidRDefault="00BB7533" w:rsidP="00C36330">
      <w:pPr>
        <w:pStyle w:val="Pagrindinis"/>
        <w:numPr>
          <w:ilvl w:val="0"/>
          <w:numId w:val="36"/>
        </w:numPr>
        <w:spacing w:before="0" w:line="254" w:lineRule="auto"/>
        <w:ind w:left="567" w:hanging="567"/>
      </w:pPr>
      <w:r w:rsidRPr="00BB7533">
        <w:rPr>
          <w:color w:val="000000"/>
          <w:sz w:val="20"/>
        </w:rPr>
        <w:t>sukurti tarp namų apšviestas bendruomenių zonas / salas su žaidimų aikštelėmis ir poilsio infrastruktūra, prieinamas įvairaus amžiaus žmonėms bei suburiančias įvairių interesų ir amžiaus grupes, kartu prisitaikant prie esamų želdinių ir juos išsaugant;</w:t>
      </w:r>
    </w:p>
    <w:p w14:paraId="558B33B9" w14:textId="77777777" w:rsidR="00BB7533" w:rsidRPr="00BB7533" w:rsidRDefault="00BB7533" w:rsidP="00C36330">
      <w:pPr>
        <w:pStyle w:val="Pagrindinis"/>
        <w:numPr>
          <w:ilvl w:val="0"/>
          <w:numId w:val="36"/>
        </w:numPr>
        <w:spacing w:before="0" w:line="254" w:lineRule="auto"/>
        <w:ind w:left="567" w:hanging="567"/>
      </w:pPr>
      <w:r w:rsidRPr="00BB7533">
        <w:rPr>
          <w:color w:val="000000"/>
          <w:sz w:val="20"/>
        </w:rPr>
        <w:t>įrengti apšvietimą ir bendro naudojimo dviračių saugyklas;</w:t>
      </w:r>
    </w:p>
    <w:p w14:paraId="7B7605AF" w14:textId="77777777" w:rsidR="00BB7533" w:rsidRPr="00BB7533" w:rsidRDefault="00BB7533" w:rsidP="00C36330">
      <w:pPr>
        <w:pStyle w:val="Pagrindinis"/>
        <w:numPr>
          <w:ilvl w:val="0"/>
          <w:numId w:val="36"/>
        </w:numPr>
        <w:spacing w:before="0" w:line="254" w:lineRule="auto"/>
        <w:ind w:left="567" w:hanging="567"/>
      </w:pPr>
      <w:r w:rsidRPr="00BB7533">
        <w:rPr>
          <w:color w:val="000000"/>
          <w:sz w:val="20"/>
        </w:rPr>
        <w:t xml:space="preserve">įrengti kitą prieinamumui didinti reikalingą viešąją infrastruktūrą. </w:t>
      </w:r>
    </w:p>
    <w:p w14:paraId="7E8001AD" w14:textId="051F0777" w:rsidR="00454E77" w:rsidRPr="00C36330" w:rsidRDefault="00BB7533" w:rsidP="00C36330">
      <w:pPr>
        <w:pStyle w:val="Pagrindinis"/>
        <w:spacing w:before="0" w:line="254" w:lineRule="auto"/>
      </w:pPr>
      <w:r w:rsidRPr="00BB7533">
        <w:rPr>
          <w:rFonts w:eastAsia="MS Mincho"/>
          <w:iCs/>
          <w:sz w:val="20"/>
        </w:rPr>
        <w:t xml:space="preserve">Bendras sutvarkytas plotas bus </w:t>
      </w:r>
      <w:r w:rsidRPr="00BB7533">
        <w:rPr>
          <w:iCs/>
          <w:sz w:val="20"/>
        </w:rPr>
        <w:t xml:space="preserve">11,90 </w:t>
      </w:r>
      <w:r w:rsidRPr="00BB7533">
        <w:rPr>
          <w:rFonts w:eastAsia="MS Mincho"/>
          <w:iCs/>
          <w:sz w:val="20"/>
        </w:rPr>
        <w:t>ha.</w:t>
      </w:r>
      <w:r w:rsidRPr="00BB7533">
        <w:rPr>
          <w:iCs/>
        </w:rPr>
        <w:t xml:space="preserve"> </w:t>
      </w:r>
      <w:r w:rsidR="00454E77" w:rsidRPr="00BB7533">
        <w:t xml:space="preserve">Statybos </w:t>
      </w:r>
      <w:r w:rsidR="00C36330" w:rsidRPr="00C36330">
        <w:t xml:space="preserve">skaičiuojamosios kainos nustatymas parengtas vadovaujantis statinio statybos skaičiuojamosios kainos palyginamaisiais ekonominiais rodikliais, apskaičiuotais remiantis statinių analogų pagrindu pagal statybos darbų skaičiuojamųjų kainų nustatymo rekomendacijas, skaičiuojamųjų kainų nustatymo normatyvus, bei 2025 metų gegužės mėn. statybos resursų (darbo, medžiagų ir mechanizmų eksploatacijos) skaičiuojamąsias kainas. </w:t>
      </w:r>
    </w:p>
    <w:p w14:paraId="4B062157" w14:textId="0E08DB8C" w:rsidR="00C36330" w:rsidRDefault="00454E77" w:rsidP="00C36330">
      <w:pPr>
        <w:pStyle w:val="Pagrindinis"/>
      </w:pPr>
      <w:r w:rsidRPr="00C36330">
        <w:t xml:space="preserve">Projektavimo, techninės priežiūros ir ekspertinių paslaugų išlaidos sudaro </w:t>
      </w:r>
      <w:r w:rsidR="00C36330" w:rsidRPr="00C36330">
        <w:t>211 501,84</w:t>
      </w:r>
      <w:r w:rsidRPr="00C36330">
        <w:t xml:space="preserve"> Eur</w:t>
      </w:r>
      <w:r w:rsidR="00C36330" w:rsidRPr="00C36330">
        <w:t xml:space="preserve">. Projektavimas ir kitos inžinerinės paslaugos apskaičiuojamos nuo sklypo paruošimo, statinių ir jų dalių statybos bei įrengimo kainos statiniams rekonstruoti 6 proc. kai statinio skaičiuojamoji kaina daugiau kaip 1,45 mln. </w:t>
      </w:r>
      <w:r w:rsidR="00C36330">
        <w:t>E</w:t>
      </w:r>
      <w:r w:rsidR="00C36330" w:rsidRPr="00C36330">
        <w:t>ur.</w:t>
      </w:r>
      <w:r w:rsidR="00C36330">
        <w:t xml:space="preserve"> Skaičiuojama: </w:t>
      </w:r>
      <w:r w:rsidR="00C36330" w:rsidRPr="00C36330">
        <w:t>72% projektavimo darbams (projektavimo sąlygų gavimui, projekto parengimui)</w:t>
      </w:r>
      <w:r w:rsidR="00C36330">
        <w:t xml:space="preserve">; 7% projekto ekspertizei; 14% statinio projekto vykdymo priežiūrai; 7% statybos techninei priežiūrai. </w:t>
      </w:r>
    </w:p>
    <w:p w14:paraId="2BE7B429" w14:textId="43567A89" w:rsidR="00C36330" w:rsidRPr="00033860" w:rsidRDefault="00C36330" w:rsidP="00C36330">
      <w:r w:rsidRPr="00033860">
        <w:t xml:space="preserve">Netiesioginėms išlaidoms taikoma fiksuotoji 7 proc. norma </w:t>
      </w:r>
      <w:r>
        <w:t>tiesioginių investicijų</w:t>
      </w:r>
      <w:r w:rsidRPr="00033860">
        <w:t xml:space="preserve">.  Projekto biudžetas viršija 500 000 Eur, </w:t>
      </w:r>
      <w:bookmarkStart w:id="274" w:name="Skyrius_4_3_2"/>
      <w:bookmarkEnd w:id="274"/>
      <w:r w:rsidRPr="00033860">
        <w:t xml:space="preserve">todėl privaloma įrengti nuolatinę informacinę lentelę arba stendą, kuris bus įrengtas prasidėjus fizinėms investicijoms (veikloms). Lentelės (stendo) </w:t>
      </w:r>
      <w:r>
        <w:t xml:space="preserve">ir </w:t>
      </w:r>
      <w:r w:rsidRPr="00033860">
        <w:t xml:space="preserve"> </w:t>
      </w:r>
      <w:r>
        <w:rPr>
          <w:rFonts w:eastAsia="Times New Roman" w:cs="Arial"/>
          <w:color w:val="000000"/>
          <w:szCs w:val="20"/>
          <w:lang w:eastAsia="lt-LT"/>
        </w:rPr>
        <w:t xml:space="preserve">investicijų projekto parengimo kaina </w:t>
      </w:r>
      <w:r w:rsidRPr="00033860">
        <w:t>grindžiama Europos socialinio fondo agentūros pateikiamu 2021–2027 m. ES fondų lėšomis Supaprastintai apmokamų išlaidų dydžių registru (</w:t>
      </w:r>
      <w:r>
        <w:t>aktualia redakcija</w:t>
      </w:r>
      <w:r w:rsidRPr="00033860">
        <w:t xml:space="preserve">). </w:t>
      </w:r>
    </w:p>
    <w:p w14:paraId="570F53A9" w14:textId="7EDB631A" w:rsidR="00454E77" w:rsidRPr="00033860" w:rsidRDefault="00454E77" w:rsidP="00454E77">
      <w:r w:rsidRPr="00033860">
        <w:t xml:space="preserve">Projekto alternatyvos atveju, bendra investicijų </w:t>
      </w:r>
      <w:r w:rsidRPr="00033860">
        <w:rPr>
          <w:rFonts w:cs="Arial"/>
        </w:rPr>
        <w:t xml:space="preserve">vertė siekia </w:t>
      </w:r>
      <w:r>
        <w:rPr>
          <w:rFonts w:eastAsia="Times New Roman" w:cs="Arial"/>
          <w:color w:val="000000"/>
          <w:lang w:eastAsia="lt-LT"/>
        </w:rPr>
        <w:t>4 000 000,00</w:t>
      </w:r>
      <w:r w:rsidRPr="006E0A53">
        <w:rPr>
          <w:rFonts w:eastAsia="Times New Roman" w:cs="Arial"/>
          <w:color w:val="000000"/>
          <w:lang w:eastAsia="lt-LT"/>
        </w:rPr>
        <w:t xml:space="preserve"> </w:t>
      </w:r>
      <w:r w:rsidRPr="00033860">
        <w:t>Eur su PVM. Žemiau esančioje lentelėje pateikiamas investicijų pasiskirstymas pagal investavimo objektus.</w:t>
      </w:r>
    </w:p>
    <w:p w14:paraId="020962A0" w14:textId="77777777" w:rsidR="00454E77" w:rsidRPr="006E0A53" w:rsidRDefault="00454E77" w:rsidP="00454E77">
      <w:pPr>
        <w:pStyle w:val="LentelsL"/>
      </w:pPr>
      <w:bookmarkStart w:id="275" w:name="_Toc161166270"/>
      <w:bookmarkStart w:id="276" w:name="_Toc165367101"/>
      <w:bookmarkStart w:id="277" w:name="_Toc165372533"/>
      <w:bookmarkStart w:id="278" w:name="_Toc171355254"/>
      <w:bookmarkStart w:id="279" w:name="_Toc198807819"/>
      <w:r w:rsidRPr="006E0A53">
        <w:t>4.3.1.1. lentelė. Investicijų pasiskirstymas pagal metus</w:t>
      </w:r>
      <w:bookmarkEnd w:id="275"/>
      <w:bookmarkEnd w:id="276"/>
      <w:bookmarkEnd w:id="277"/>
      <w:bookmarkEnd w:id="278"/>
      <w:bookmarkEnd w:id="279"/>
    </w:p>
    <w:tbl>
      <w:tblPr>
        <w:tblStyle w:val="3sraolentel1parykinimas112"/>
        <w:tblW w:w="10485" w:type="dxa"/>
        <w:tblLayout w:type="fixed"/>
        <w:tblLook w:val="04A0" w:firstRow="1" w:lastRow="0" w:firstColumn="1" w:lastColumn="0" w:noHBand="0" w:noVBand="1"/>
      </w:tblPr>
      <w:tblGrid>
        <w:gridCol w:w="3256"/>
        <w:gridCol w:w="1418"/>
        <w:gridCol w:w="1267"/>
        <w:gridCol w:w="1567"/>
        <w:gridCol w:w="1559"/>
        <w:gridCol w:w="1418"/>
      </w:tblGrid>
      <w:tr w:rsidR="00454E77" w:rsidRPr="00454E77" w14:paraId="7EA1C5DA" w14:textId="77777777" w:rsidTr="00882BA8">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100" w:firstRow="0" w:lastRow="0" w:firstColumn="1" w:lastColumn="0" w:oddVBand="0" w:evenVBand="0" w:oddHBand="0" w:evenHBand="0" w:firstRowFirstColumn="1" w:firstRowLastColumn="0" w:lastRowFirstColumn="0" w:lastRowLastColumn="0"/>
            <w:tcW w:w="3256" w:type="dxa"/>
            <w:hideMark/>
          </w:tcPr>
          <w:p w14:paraId="63047246" w14:textId="77777777" w:rsidR="00454E77" w:rsidRPr="00454E77" w:rsidRDefault="00454E77" w:rsidP="00454E77">
            <w:pPr>
              <w:ind w:firstLine="0"/>
              <w:jc w:val="center"/>
              <w:rPr>
                <w:rFonts w:eastAsia="Times New Roman" w:cs="Arial"/>
                <w:color w:val="000000"/>
                <w:sz w:val="18"/>
                <w:szCs w:val="18"/>
                <w:lang w:eastAsia="lt-LT"/>
              </w:rPr>
            </w:pPr>
            <w:r w:rsidRPr="00454E77">
              <w:rPr>
                <w:rFonts w:eastAsia="Times New Roman" w:cs="Arial"/>
                <w:color w:val="000000"/>
                <w:sz w:val="18"/>
                <w:szCs w:val="18"/>
                <w:lang w:eastAsia="lt-LT"/>
              </w:rPr>
              <w:t> </w:t>
            </w:r>
          </w:p>
        </w:tc>
        <w:tc>
          <w:tcPr>
            <w:tcW w:w="1418" w:type="dxa"/>
            <w:vAlign w:val="center"/>
            <w:hideMark/>
          </w:tcPr>
          <w:p w14:paraId="3CA0CAB6" w14:textId="77777777" w:rsidR="00454E77" w:rsidRPr="00454E77" w:rsidRDefault="00454E77" w:rsidP="009F5A9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eastAsia="lt-LT"/>
              </w:rPr>
            </w:pPr>
            <w:r w:rsidRPr="00454E77">
              <w:rPr>
                <w:rFonts w:eastAsia="Times New Roman" w:cs="Arial"/>
                <w:color w:val="FFFFFF" w:themeColor="background1"/>
                <w:sz w:val="18"/>
                <w:szCs w:val="18"/>
                <w:lang w:eastAsia="lt-LT"/>
              </w:rPr>
              <w:t>Iš viso, Eur su PVM</w:t>
            </w:r>
          </w:p>
        </w:tc>
        <w:tc>
          <w:tcPr>
            <w:tcW w:w="1267" w:type="dxa"/>
            <w:vAlign w:val="center"/>
            <w:hideMark/>
          </w:tcPr>
          <w:p w14:paraId="7F8D7571" w14:textId="77777777" w:rsidR="00454E77" w:rsidRPr="00454E77" w:rsidRDefault="00454E77" w:rsidP="009F5A9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eastAsia="lt-LT"/>
              </w:rPr>
            </w:pPr>
            <w:r w:rsidRPr="00454E77">
              <w:rPr>
                <w:rFonts w:eastAsia="Times New Roman" w:cs="Arial"/>
                <w:color w:val="FFFFFF" w:themeColor="background1"/>
                <w:sz w:val="18"/>
                <w:szCs w:val="18"/>
                <w:lang w:eastAsia="lt-LT"/>
              </w:rPr>
              <w:t>2025</w:t>
            </w:r>
          </w:p>
        </w:tc>
        <w:tc>
          <w:tcPr>
            <w:tcW w:w="1567" w:type="dxa"/>
            <w:vAlign w:val="center"/>
            <w:hideMark/>
          </w:tcPr>
          <w:p w14:paraId="70DF5B45" w14:textId="77777777" w:rsidR="00454E77" w:rsidRPr="00454E77" w:rsidRDefault="00454E77" w:rsidP="009F5A9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eastAsia="lt-LT"/>
              </w:rPr>
            </w:pPr>
            <w:r w:rsidRPr="00454E77">
              <w:rPr>
                <w:rFonts w:eastAsia="Times New Roman" w:cs="Arial"/>
                <w:color w:val="FFFFFF" w:themeColor="background1"/>
                <w:sz w:val="18"/>
                <w:szCs w:val="18"/>
                <w:lang w:eastAsia="lt-LT"/>
              </w:rPr>
              <w:t>2026</w:t>
            </w:r>
          </w:p>
        </w:tc>
        <w:tc>
          <w:tcPr>
            <w:tcW w:w="1559" w:type="dxa"/>
            <w:vAlign w:val="center"/>
            <w:hideMark/>
          </w:tcPr>
          <w:p w14:paraId="43BD6392" w14:textId="77777777" w:rsidR="00454E77" w:rsidRPr="00454E77" w:rsidRDefault="00454E77" w:rsidP="009F5A9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eastAsia="lt-LT"/>
              </w:rPr>
            </w:pPr>
            <w:r w:rsidRPr="00454E77">
              <w:rPr>
                <w:rFonts w:eastAsia="Times New Roman" w:cs="Arial"/>
                <w:color w:val="FFFFFF" w:themeColor="background1"/>
                <w:sz w:val="18"/>
                <w:szCs w:val="18"/>
                <w:lang w:eastAsia="lt-LT"/>
              </w:rPr>
              <w:t>2027</w:t>
            </w:r>
          </w:p>
        </w:tc>
        <w:tc>
          <w:tcPr>
            <w:tcW w:w="1418" w:type="dxa"/>
            <w:vAlign w:val="center"/>
            <w:hideMark/>
          </w:tcPr>
          <w:p w14:paraId="53A1BB78" w14:textId="77777777" w:rsidR="00454E77" w:rsidRPr="00454E77" w:rsidRDefault="00454E77" w:rsidP="009F5A9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eastAsia="lt-LT"/>
              </w:rPr>
            </w:pPr>
            <w:r w:rsidRPr="00454E77">
              <w:rPr>
                <w:rFonts w:eastAsia="Times New Roman" w:cs="Arial"/>
                <w:color w:val="FFFFFF" w:themeColor="background1"/>
                <w:sz w:val="18"/>
                <w:szCs w:val="18"/>
                <w:lang w:eastAsia="lt-LT"/>
              </w:rPr>
              <w:t>2028</w:t>
            </w:r>
          </w:p>
        </w:tc>
      </w:tr>
      <w:tr w:rsidR="009F5A98" w:rsidRPr="00454E77" w14:paraId="01E3A409"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hideMark/>
          </w:tcPr>
          <w:p w14:paraId="1F30458B"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t>Žemė</w:t>
            </w:r>
          </w:p>
        </w:tc>
        <w:tc>
          <w:tcPr>
            <w:tcW w:w="1418" w:type="dxa"/>
            <w:vAlign w:val="center"/>
            <w:hideMark/>
          </w:tcPr>
          <w:p w14:paraId="19E89707"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267" w:type="dxa"/>
            <w:vAlign w:val="center"/>
            <w:hideMark/>
          </w:tcPr>
          <w:p w14:paraId="0AF69D7F"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3204BC3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59" w:type="dxa"/>
            <w:vAlign w:val="center"/>
            <w:hideMark/>
          </w:tcPr>
          <w:p w14:paraId="7AB59B30"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418" w:type="dxa"/>
            <w:vAlign w:val="center"/>
            <w:hideMark/>
          </w:tcPr>
          <w:p w14:paraId="240F8164"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r>
      <w:tr w:rsidR="009F5A98" w:rsidRPr="00454E77" w14:paraId="7A3848F3" w14:textId="77777777" w:rsidTr="009F5A98">
        <w:trPr>
          <w:trHeight w:hRule="exact" w:val="227"/>
        </w:trPr>
        <w:tc>
          <w:tcPr>
            <w:cnfStyle w:val="001000000000" w:firstRow="0" w:lastRow="0" w:firstColumn="1" w:lastColumn="0" w:oddVBand="0" w:evenVBand="0" w:oddHBand="0" w:evenHBand="0" w:firstRowFirstColumn="0" w:firstRowLastColumn="0" w:lastRowFirstColumn="0" w:lastRowLastColumn="0"/>
            <w:tcW w:w="3256" w:type="dxa"/>
            <w:hideMark/>
          </w:tcPr>
          <w:p w14:paraId="1518A46B"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t>Nekilnojamasis turtas</w:t>
            </w:r>
          </w:p>
        </w:tc>
        <w:tc>
          <w:tcPr>
            <w:tcW w:w="1418" w:type="dxa"/>
            <w:vAlign w:val="center"/>
            <w:hideMark/>
          </w:tcPr>
          <w:p w14:paraId="6D686AB9"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267" w:type="dxa"/>
            <w:vAlign w:val="center"/>
            <w:hideMark/>
          </w:tcPr>
          <w:p w14:paraId="59D3217C"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13B869A4"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59" w:type="dxa"/>
            <w:vAlign w:val="center"/>
            <w:hideMark/>
          </w:tcPr>
          <w:p w14:paraId="24B97905"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418" w:type="dxa"/>
            <w:vAlign w:val="center"/>
            <w:hideMark/>
          </w:tcPr>
          <w:p w14:paraId="7A647062"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r>
      <w:tr w:rsidR="00454E77" w:rsidRPr="00454E77" w14:paraId="7C0358F8" w14:textId="77777777" w:rsidTr="009F5A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shd w:val="clear" w:color="auto" w:fill="EDEDED" w:themeFill="accent3" w:themeFillTint="33"/>
            <w:hideMark/>
          </w:tcPr>
          <w:p w14:paraId="5C537B1A"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t>Statyba, rekonstravimas, kapitalinis remontas ir kiti darbai</w:t>
            </w:r>
          </w:p>
        </w:tc>
        <w:tc>
          <w:tcPr>
            <w:tcW w:w="1418" w:type="dxa"/>
            <w:shd w:val="clear" w:color="auto" w:fill="EDEDED" w:themeFill="accent3" w:themeFillTint="33"/>
            <w:vAlign w:val="center"/>
            <w:hideMark/>
          </w:tcPr>
          <w:p w14:paraId="09A672C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3 525 030,60 €</w:t>
            </w:r>
          </w:p>
        </w:tc>
        <w:tc>
          <w:tcPr>
            <w:tcW w:w="1267" w:type="dxa"/>
            <w:shd w:val="clear" w:color="auto" w:fill="EDEDED" w:themeFill="accent3" w:themeFillTint="33"/>
            <w:vAlign w:val="center"/>
            <w:hideMark/>
          </w:tcPr>
          <w:p w14:paraId="518E306E"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567" w:type="dxa"/>
            <w:shd w:val="clear" w:color="auto" w:fill="EDEDED" w:themeFill="accent3" w:themeFillTint="33"/>
            <w:vAlign w:val="center"/>
            <w:hideMark/>
          </w:tcPr>
          <w:p w14:paraId="56E4DAA1"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1 233 760,71 €</w:t>
            </w:r>
          </w:p>
        </w:tc>
        <w:tc>
          <w:tcPr>
            <w:tcW w:w="1559" w:type="dxa"/>
            <w:shd w:val="clear" w:color="auto" w:fill="EDEDED" w:themeFill="accent3" w:themeFillTint="33"/>
            <w:vAlign w:val="center"/>
            <w:hideMark/>
          </w:tcPr>
          <w:p w14:paraId="24A43732"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1 233 760,71 €</w:t>
            </w:r>
          </w:p>
        </w:tc>
        <w:tc>
          <w:tcPr>
            <w:tcW w:w="1418" w:type="dxa"/>
            <w:shd w:val="clear" w:color="auto" w:fill="EDEDED" w:themeFill="accent3" w:themeFillTint="33"/>
            <w:vAlign w:val="center"/>
            <w:hideMark/>
          </w:tcPr>
          <w:p w14:paraId="4AE6316F"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1 057 509,18 €</w:t>
            </w:r>
          </w:p>
        </w:tc>
      </w:tr>
      <w:tr w:rsidR="009F5A98" w:rsidRPr="00454E77" w14:paraId="7F1AED87" w14:textId="77777777" w:rsidTr="009F5A98">
        <w:trPr>
          <w:trHeight w:val="804"/>
        </w:trPr>
        <w:tc>
          <w:tcPr>
            <w:cnfStyle w:val="001000000000" w:firstRow="0" w:lastRow="0" w:firstColumn="1" w:lastColumn="0" w:oddVBand="0" w:evenVBand="0" w:oddHBand="0" w:evenHBand="0" w:firstRowFirstColumn="0" w:firstRowLastColumn="0" w:lastRowFirstColumn="0" w:lastRowLastColumn="0"/>
            <w:tcW w:w="3256" w:type="dxa"/>
            <w:hideMark/>
          </w:tcPr>
          <w:p w14:paraId="277926A5"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Aukštakalnio daugiabučių namų mikrorajono teritorijos modernizavimas (apribotą Aukštakalnio g., Taikos g., Kupiškio g. ir Vyžuonos parku), įgyvendinant universalaus dizaino principais grindžiamus sprendimus</w:t>
            </w:r>
          </w:p>
        </w:tc>
        <w:tc>
          <w:tcPr>
            <w:tcW w:w="1418" w:type="dxa"/>
            <w:vAlign w:val="center"/>
            <w:hideMark/>
          </w:tcPr>
          <w:p w14:paraId="6DCC47DA"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3 525 030,60 €</w:t>
            </w:r>
          </w:p>
        </w:tc>
        <w:tc>
          <w:tcPr>
            <w:tcW w:w="1267" w:type="dxa"/>
            <w:vAlign w:val="center"/>
            <w:hideMark/>
          </w:tcPr>
          <w:p w14:paraId="50ED741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408ADCBC"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1 233 760,71 €</w:t>
            </w:r>
          </w:p>
        </w:tc>
        <w:tc>
          <w:tcPr>
            <w:tcW w:w="1559" w:type="dxa"/>
            <w:vAlign w:val="center"/>
            <w:hideMark/>
          </w:tcPr>
          <w:p w14:paraId="2A42FE5A"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1 233 760,71 €</w:t>
            </w:r>
          </w:p>
        </w:tc>
        <w:tc>
          <w:tcPr>
            <w:tcW w:w="1418" w:type="dxa"/>
            <w:vAlign w:val="center"/>
            <w:hideMark/>
          </w:tcPr>
          <w:p w14:paraId="6724854E"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1 057 509,18 €</w:t>
            </w:r>
          </w:p>
        </w:tc>
      </w:tr>
      <w:tr w:rsidR="009F5A98" w:rsidRPr="00454E77" w14:paraId="7AADCC3C" w14:textId="77777777" w:rsidTr="009F5A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hideMark/>
          </w:tcPr>
          <w:p w14:paraId="47175F56"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Įranga, įrenginiai ir kitas ilgalaikis turtas</w:t>
            </w:r>
          </w:p>
        </w:tc>
        <w:tc>
          <w:tcPr>
            <w:tcW w:w="1418" w:type="dxa"/>
            <w:vAlign w:val="center"/>
            <w:hideMark/>
          </w:tcPr>
          <w:p w14:paraId="66B1337E"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267" w:type="dxa"/>
            <w:vAlign w:val="center"/>
            <w:hideMark/>
          </w:tcPr>
          <w:p w14:paraId="37114D07"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567" w:type="dxa"/>
            <w:vAlign w:val="center"/>
            <w:hideMark/>
          </w:tcPr>
          <w:p w14:paraId="2DC4E0BB"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559" w:type="dxa"/>
            <w:vAlign w:val="center"/>
            <w:hideMark/>
          </w:tcPr>
          <w:p w14:paraId="74EE41F1"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418" w:type="dxa"/>
            <w:vAlign w:val="center"/>
            <w:hideMark/>
          </w:tcPr>
          <w:p w14:paraId="7364BCD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r>
      <w:tr w:rsidR="00454E77" w:rsidRPr="00454E77" w14:paraId="0967995F" w14:textId="77777777" w:rsidTr="009F5A98">
        <w:trPr>
          <w:trHeight w:val="540"/>
        </w:trPr>
        <w:tc>
          <w:tcPr>
            <w:cnfStyle w:val="001000000000" w:firstRow="0" w:lastRow="0" w:firstColumn="1" w:lastColumn="0" w:oddVBand="0" w:evenVBand="0" w:oddHBand="0" w:evenHBand="0" w:firstRowFirstColumn="0" w:firstRowLastColumn="0" w:lastRowFirstColumn="0" w:lastRowLastColumn="0"/>
            <w:tcW w:w="3256" w:type="dxa"/>
            <w:shd w:val="clear" w:color="auto" w:fill="EDEDED" w:themeFill="accent3" w:themeFillTint="33"/>
            <w:hideMark/>
          </w:tcPr>
          <w:p w14:paraId="7881204A"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lastRenderedPageBreak/>
              <w:t>Projektavimo, techninės priežiūros ir kitos su investicijomis į ilgalaikį turtą (A.1.-A.4.) susijusios paslaugos</w:t>
            </w:r>
          </w:p>
        </w:tc>
        <w:tc>
          <w:tcPr>
            <w:tcW w:w="1418" w:type="dxa"/>
            <w:shd w:val="clear" w:color="auto" w:fill="EDEDED" w:themeFill="accent3" w:themeFillTint="33"/>
            <w:vAlign w:val="center"/>
            <w:hideMark/>
          </w:tcPr>
          <w:p w14:paraId="0CC0B8E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211 501,84 €</w:t>
            </w:r>
          </w:p>
        </w:tc>
        <w:tc>
          <w:tcPr>
            <w:tcW w:w="1267" w:type="dxa"/>
            <w:shd w:val="clear" w:color="auto" w:fill="EDEDED" w:themeFill="accent3" w:themeFillTint="33"/>
            <w:vAlign w:val="center"/>
            <w:hideMark/>
          </w:tcPr>
          <w:p w14:paraId="588195A2"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167 086,45 €</w:t>
            </w:r>
          </w:p>
        </w:tc>
        <w:tc>
          <w:tcPr>
            <w:tcW w:w="1567" w:type="dxa"/>
            <w:shd w:val="clear" w:color="auto" w:fill="EDEDED" w:themeFill="accent3" w:themeFillTint="33"/>
            <w:vAlign w:val="center"/>
            <w:hideMark/>
          </w:tcPr>
          <w:p w14:paraId="7E565864"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15 545,38 €</w:t>
            </w:r>
          </w:p>
        </w:tc>
        <w:tc>
          <w:tcPr>
            <w:tcW w:w="1559" w:type="dxa"/>
            <w:shd w:val="clear" w:color="auto" w:fill="EDEDED" w:themeFill="accent3" w:themeFillTint="33"/>
            <w:vAlign w:val="center"/>
            <w:hideMark/>
          </w:tcPr>
          <w:p w14:paraId="5189EDC9"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15 545,38 €</w:t>
            </w:r>
          </w:p>
        </w:tc>
        <w:tc>
          <w:tcPr>
            <w:tcW w:w="1418" w:type="dxa"/>
            <w:shd w:val="clear" w:color="auto" w:fill="EDEDED" w:themeFill="accent3" w:themeFillTint="33"/>
            <w:vAlign w:val="center"/>
            <w:hideMark/>
          </w:tcPr>
          <w:p w14:paraId="337422CB"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13 324,62 €</w:t>
            </w:r>
          </w:p>
        </w:tc>
      </w:tr>
      <w:tr w:rsidR="009F5A98" w:rsidRPr="00454E77" w14:paraId="062D3831"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67379E5"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Projektavimo paslaugos</w:t>
            </w:r>
          </w:p>
        </w:tc>
        <w:tc>
          <w:tcPr>
            <w:tcW w:w="1418" w:type="dxa"/>
            <w:vAlign w:val="center"/>
            <w:hideMark/>
          </w:tcPr>
          <w:p w14:paraId="771842B8"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152 281,32 €</w:t>
            </w:r>
          </w:p>
        </w:tc>
        <w:tc>
          <w:tcPr>
            <w:tcW w:w="1267" w:type="dxa"/>
            <w:vAlign w:val="center"/>
            <w:hideMark/>
          </w:tcPr>
          <w:p w14:paraId="78C488B2"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152 281,32 €</w:t>
            </w:r>
          </w:p>
        </w:tc>
        <w:tc>
          <w:tcPr>
            <w:tcW w:w="1567" w:type="dxa"/>
            <w:vAlign w:val="center"/>
            <w:hideMark/>
          </w:tcPr>
          <w:p w14:paraId="26BD1E9C"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59" w:type="dxa"/>
            <w:vAlign w:val="center"/>
            <w:hideMark/>
          </w:tcPr>
          <w:p w14:paraId="404C0995"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418" w:type="dxa"/>
            <w:vAlign w:val="center"/>
            <w:hideMark/>
          </w:tcPr>
          <w:p w14:paraId="40187AD6"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r>
      <w:tr w:rsidR="009F5A98" w:rsidRPr="00454E77" w14:paraId="5CC452E8" w14:textId="77777777" w:rsidTr="009F5A98">
        <w:trPr>
          <w:trHeight w:hRule="exact" w:val="227"/>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FD1581E"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Ekspertizė</w:t>
            </w:r>
          </w:p>
        </w:tc>
        <w:tc>
          <w:tcPr>
            <w:tcW w:w="1418" w:type="dxa"/>
            <w:noWrap/>
            <w:vAlign w:val="center"/>
            <w:hideMark/>
          </w:tcPr>
          <w:p w14:paraId="6D2E1FBB"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14 805,13 €</w:t>
            </w:r>
          </w:p>
        </w:tc>
        <w:tc>
          <w:tcPr>
            <w:tcW w:w="1267" w:type="dxa"/>
            <w:vAlign w:val="center"/>
            <w:hideMark/>
          </w:tcPr>
          <w:p w14:paraId="1D8448EA"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14 805,13 €</w:t>
            </w:r>
          </w:p>
        </w:tc>
        <w:tc>
          <w:tcPr>
            <w:tcW w:w="1567" w:type="dxa"/>
            <w:vAlign w:val="center"/>
            <w:hideMark/>
          </w:tcPr>
          <w:p w14:paraId="76EDF5C6"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59" w:type="dxa"/>
            <w:vAlign w:val="center"/>
            <w:hideMark/>
          </w:tcPr>
          <w:p w14:paraId="21FA92AF"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418" w:type="dxa"/>
            <w:vAlign w:val="center"/>
            <w:hideMark/>
          </w:tcPr>
          <w:p w14:paraId="24DA10D4"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r>
      <w:tr w:rsidR="009F5A98" w:rsidRPr="00454E77" w14:paraId="63A34C60"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2AD6977"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Techninės priežiūros paslaugos</w:t>
            </w:r>
          </w:p>
        </w:tc>
        <w:tc>
          <w:tcPr>
            <w:tcW w:w="1418" w:type="dxa"/>
            <w:vAlign w:val="center"/>
            <w:hideMark/>
          </w:tcPr>
          <w:p w14:paraId="01B3FC9C"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29 610,26 €</w:t>
            </w:r>
          </w:p>
        </w:tc>
        <w:tc>
          <w:tcPr>
            <w:tcW w:w="1267" w:type="dxa"/>
            <w:vAlign w:val="center"/>
            <w:hideMark/>
          </w:tcPr>
          <w:p w14:paraId="70EEA23E"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0DD31FDC"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10 363,59 €</w:t>
            </w:r>
          </w:p>
        </w:tc>
        <w:tc>
          <w:tcPr>
            <w:tcW w:w="1559" w:type="dxa"/>
            <w:vAlign w:val="center"/>
            <w:hideMark/>
          </w:tcPr>
          <w:p w14:paraId="777A04B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10 363,59 €</w:t>
            </w:r>
          </w:p>
        </w:tc>
        <w:tc>
          <w:tcPr>
            <w:tcW w:w="1418" w:type="dxa"/>
            <w:vAlign w:val="center"/>
            <w:hideMark/>
          </w:tcPr>
          <w:p w14:paraId="1F142A31"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8 883,08 €</w:t>
            </w:r>
          </w:p>
        </w:tc>
      </w:tr>
      <w:tr w:rsidR="009F5A98" w:rsidRPr="00454E77" w14:paraId="51079B6C" w14:textId="77777777" w:rsidTr="009F5A98">
        <w:trPr>
          <w:trHeight w:hRule="exact" w:val="227"/>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B5F005"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Projekto vykdymo priežiūra</w:t>
            </w:r>
          </w:p>
        </w:tc>
        <w:tc>
          <w:tcPr>
            <w:tcW w:w="1418" w:type="dxa"/>
            <w:vAlign w:val="center"/>
            <w:hideMark/>
          </w:tcPr>
          <w:p w14:paraId="00C5ADF0"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14 805,13 €</w:t>
            </w:r>
          </w:p>
        </w:tc>
        <w:tc>
          <w:tcPr>
            <w:tcW w:w="1267" w:type="dxa"/>
            <w:vAlign w:val="center"/>
            <w:hideMark/>
          </w:tcPr>
          <w:p w14:paraId="3AAE738E"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5193DE3C"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5 181,79 €</w:t>
            </w:r>
          </w:p>
        </w:tc>
        <w:tc>
          <w:tcPr>
            <w:tcW w:w="1559" w:type="dxa"/>
            <w:vAlign w:val="center"/>
            <w:hideMark/>
          </w:tcPr>
          <w:p w14:paraId="30C18C5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5 181,79 €</w:t>
            </w:r>
          </w:p>
        </w:tc>
        <w:tc>
          <w:tcPr>
            <w:tcW w:w="1418" w:type="dxa"/>
            <w:vAlign w:val="center"/>
            <w:hideMark/>
          </w:tcPr>
          <w:p w14:paraId="0C310E8B"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4 441,54 €</w:t>
            </w:r>
          </w:p>
        </w:tc>
      </w:tr>
      <w:tr w:rsidR="00454E77" w:rsidRPr="00454E77" w14:paraId="3EBB0285"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shd w:val="clear" w:color="auto" w:fill="EDEDED" w:themeFill="accent3" w:themeFillTint="33"/>
            <w:hideMark/>
          </w:tcPr>
          <w:p w14:paraId="2BE26F87"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t>Administravimas ir vykdymas</w:t>
            </w:r>
          </w:p>
        </w:tc>
        <w:tc>
          <w:tcPr>
            <w:tcW w:w="1418" w:type="dxa"/>
            <w:shd w:val="clear" w:color="auto" w:fill="EDEDED" w:themeFill="accent3" w:themeFillTint="33"/>
            <w:vAlign w:val="center"/>
            <w:hideMark/>
          </w:tcPr>
          <w:p w14:paraId="28DD5A1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261 682,24 €</w:t>
            </w:r>
          </w:p>
        </w:tc>
        <w:tc>
          <w:tcPr>
            <w:tcW w:w="1267" w:type="dxa"/>
            <w:shd w:val="clear" w:color="auto" w:fill="EDEDED" w:themeFill="accent3" w:themeFillTint="33"/>
            <w:vAlign w:val="center"/>
            <w:hideMark/>
          </w:tcPr>
          <w:p w14:paraId="4ED63292"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11 696,05 €</w:t>
            </w:r>
          </w:p>
        </w:tc>
        <w:tc>
          <w:tcPr>
            <w:tcW w:w="1567" w:type="dxa"/>
            <w:shd w:val="clear" w:color="auto" w:fill="EDEDED" w:themeFill="accent3" w:themeFillTint="33"/>
            <w:vAlign w:val="center"/>
            <w:hideMark/>
          </w:tcPr>
          <w:p w14:paraId="0A5EDB71"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87 576,40 €</w:t>
            </w:r>
          </w:p>
        </w:tc>
        <w:tc>
          <w:tcPr>
            <w:tcW w:w="1559" w:type="dxa"/>
            <w:shd w:val="clear" w:color="auto" w:fill="EDEDED" w:themeFill="accent3" w:themeFillTint="33"/>
            <w:vAlign w:val="center"/>
            <w:hideMark/>
          </w:tcPr>
          <w:p w14:paraId="74152DB4"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87 451,43 €</w:t>
            </w:r>
          </w:p>
        </w:tc>
        <w:tc>
          <w:tcPr>
            <w:tcW w:w="1418" w:type="dxa"/>
            <w:shd w:val="clear" w:color="auto" w:fill="EDEDED" w:themeFill="accent3" w:themeFillTint="33"/>
            <w:vAlign w:val="center"/>
            <w:hideMark/>
          </w:tcPr>
          <w:p w14:paraId="6B87404F"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74 958,37 €</w:t>
            </w:r>
          </w:p>
        </w:tc>
      </w:tr>
      <w:tr w:rsidR="009F5A98" w:rsidRPr="00454E77" w14:paraId="68475C6C" w14:textId="77777777" w:rsidTr="009F5A98">
        <w:trPr>
          <w:trHeight w:hRule="exact" w:val="227"/>
        </w:trPr>
        <w:tc>
          <w:tcPr>
            <w:cnfStyle w:val="001000000000" w:firstRow="0" w:lastRow="0" w:firstColumn="1" w:lastColumn="0" w:oddVBand="0" w:evenVBand="0" w:oddHBand="0" w:evenHBand="0" w:firstRowFirstColumn="0" w:firstRowLastColumn="0" w:lastRowFirstColumn="0" w:lastRowLastColumn="0"/>
            <w:tcW w:w="3256" w:type="dxa"/>
            <w:hideMark/>
          </w:tcPr>
          <w:p w14:paraId="275C90D8" w14:textId="77777777" w:rsidR="00454E77" w:rsidRPr="00454E77" w:rsidRDefault="00454E77" w:rsidP="00454E77">
            <w:pPr>
              <w:ind w:firstLineChars="12" w:firstLine="22"/>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Projekto netiesioginės išlaidos</w:t>
            </w:r>
          </w:p>
        </w:tc>
        <w:tc>
          <w:tcPr>
            <w:tcW w:w="1418" w:type="dxa"/>
            <w:vAlign w:val="center"/>
            <w:hideMark/>
          </w:tcPr>
          <w:p w14:paraId="252D70DB"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261 682,24 €</w:t>
            </w:r>
          </w:p>
        </w:tc>
        <w:tc>
          <w:tcPr>
            <w:tcW w:w="1267" w:type="dxa"/>
            <w:vAlign w:val="center"/>
            <w:hideMark/>
          </w:tcPr>
          <w:p w14:paraId="5B4F58D9"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11 696,05 €</w:t>
            </w:r>
          </w:p>
        </w:tc>
        <w:tc>
          <w:tcPr>
            <w:tcW w:w="1567" w:type="dxa"/>
            <w:vAlign w:val="center"/>
            <w:hideMark/>
          </w:tcPr>
          <w:p w14:paraId="0E106E21"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87 576,40 €</w:t>
            </w:r>
          </w:p>
        </w:tc>
        <w:tc>
          <w:tcPr>
            <w:tcW w:w="1559" w:type="dxa"/>
            <w:vAlign w:val="center"/>
            <w:hideMark/>
          </w:tcPr>
          <w:p w14:paraId="275D8DAE"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87 451,43 €</w:t>
            </w:r>
          </w:p>
        </w:tc>
        <w:tc>
          <w:tcPr>
            <w:tcW w:w="1418" w:type="dxa"/>
            <w:vAlign w:val="center"/>
            <w:hideMark/>
          </w:tcPr>
          <w:p w14:paraId="4B110DB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74 958,37 €</w:t>
            </w:r>
          </w:p>
        </w:tc>
      </w:tr>
      <w:tr w:rsidR="00454E77" w:rsidRPr="00454E77" w14:paraId="021C8EB7"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shd w:val="clear" w:color="auto" w:fill="EDEDED" w:themeFill="accent3" w:themeFillTint="33"/>
            <w:hideMark/>
          </w:tcPr>
          <w:p w14:paraId="14B1979E" w14:textId="77777777" w:rsidR="00454E77" w:rsidRPr="00454E77" w:rsidRDefault="00454E77" w:rsidP="00454E77">
            <w:pPr>
              <w:ind w:firstLine="0"/>
              <w:jc w:val="left"/>
              <w:rPr>
                <w:rFonts w:eastAsia="Times New Roman" w:cs="Arial"/>
                <w:color w:val="000000"/>
                <w:sz w:val="18"/>
                <w:szCs w:val="18"/>
                <w:lang w:eastAsia="lt-LT"/>
              </w:rPr>
            </w:pPr>
            <w:r w:rsidRPr="00454E77">
              <w:rPr>
                <w:rFonts w:eastAsia="Times New Roman" w:cs="Arial"/>
                <w:color w:val="000000"/>
                <w:sz w:val="18"/>
                <w:szCs w:val="18"/>
                <w:lang w:eastAsia="lt-LT"/>
              </w:rPr>
              <w:t>Kitos paslaugos ir išlaidos</w:t>
            </w:r>
          </w:p>
        </w:tc>
        <w:tc>
          <w:tcPr>
            <w:tcW w:w="1418" w:type="dxa"/>
            <w:shd w:val="clear" w:color="auto" w:fill="EDEDED" w:themeFill="accent3" w:themeFillTint="33"/>
            <w:vAlign w:val="center"/>
            <w:hideMark/>
          </w:tcPr>
          <w:p w14:paraId="7C124FF4"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1 785,32 €</w:t>
            </w:r>
          </w:p>
        </w:tc>
        <w:tc>
          <w:tcPr>
            <w:tcW w:w="1267" w:type="dxa"/>
            <w:shd w:val="clear" w:color="auto" w:fill="EDEDED" w:themeFill="accent3" w:themeFillTint="33"/>
            <w:vAlign w:val="center"/>
            <w:hideMark/>
          </w:tcPr>
          <w:p w14:paraId="65922F63"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567" w:type="dxa"/>
            <w:shd w:val="clear" w:color="auto" w:fill="EDEDED" w:themeFill="accent3" w:themeFillTint="33"/>
            <w:vAlign w:val="center"/>
            <w:hideMark/>
          </w:tcPr>
          <w:p w14:paraId="3430CA99"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1 785,32 €</w:t>
            </w:r>
          </w:p>
        </w:tc>
        <w:tc>
          <w:tcPr>
            <w:tcW w:w="1559" w:type="dxa"/>
            <w:shd w:val="clear" w:color="auto" w:fill="EDEDED" w:themeFill="accent3" w:themeFillTint="33"/>
            <w:vAlign w:val="center"/>
            <w:hideMark/>
          </w:tcPr>
          <w:p w14:paraId="4ED91D0F"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c>
          <w:tcPr>
            <w:tcW w:w="1418" w:type="dxa"/>
            <w:shd w:val="clear" w:color="auto" w:fill="EDEDED" w:themeFill="accent3" w:themeFillTint="33"/>
            <w:vAlign w:val="center"/>
            <w:hideMark/>
          </w:tcPr>
          <w:p w14:paraId="7A3C9B3E"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0,00 €</w:t>
            </w:r>
          </w:p>
        </w:tc>
      </w:tr>
      <w:tr w:rsidR="009F5A98" w:rsidRPr="00454E77" w14:paraId="599B2A3F" w14:textId="77777777" w:rsidTr="009F5A98">
        <w:trPr>
          <w:trHeight w:hRule="exact" w:val="227"/>
        </w:trPr>
        <w:tc>
          <w:tcPr>
            <w:cnfStyle w:val="001000000000" w:firstRow="0" w:lastRow="0" w:firstColumn="1" w:lastColumn="0" w:oddVBand="0" w:evenVBand="0" w:oddHBand="0" w:evenHBand="0" w:firstRowFirstColumn="0" w:firstRowLastColumn="0" w:lastRowFirstColumn="0" w:lastRowLastColumn="0"/>
            <w:tcW w:w="3256" w:type="dxa"/>
            <w:hideMark/>
          </w:tcPr>
          <w:p w14:paraId="1C9BB941" w14:textId="77777777" w:rsidR="00454E77" w:rsidRPr="00454E77" w:rsidRDefault="00454E77" w:rsidP="00454E77">
            <w:pPr>
              <w:ind w:firstLine="0"/>
              <w:jc w:val="left"/>
              <w:rPr>
                <w:rFonts w:eastAsia="Times New Roman" w:cs="Arial"/>
                <w:b w:val="0"/>
                <w:bCs w:val="0"/>
                <w:color w:val="000000"/>
                <w:sz w:val="18"/>
                <w:szCs w:val="18"/>
                <w:lang w:eastAsia="lt-LT"/>
              </w:rPr>
            </w:pPr>
            <w:r w:rsidRPr="00454E77">
              <w:rPr>
                <w:rFonts w:eastAsia="Times New Roman" w:cs="Arial"/>
                <w:b w:val="0"/>
                <w:bCs w:val="0"/>
                <w:color w:val="000000"/>
                <w:sz w:val="18"/>
                <w:szCs w:val="18"/>
                <w:lang w:eastAsia="lt-LT"/>
              </w:rPr>
              <w:t>Projekto viešinimas</w:t>
            </w:r>
          </w:p>
        </w:tc>
        <w:tc>
          <w:tcPr>
            <w:tcW w:w="1418" w:type="dxa"/>
            <w:noWrap/>
            <w:vAlign w:val="center"/>
            <w:hideMark/>
          </w:tcPr>
          <w:p w14:paraId="1D1EC3FD"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1 785,32 €</w:t>
            </w:r>
          </w:p>
        </w:tc>
        <w:tc>
          <w:tcPr>
            <w:tcW w:w="1267" w:type="dxa"/>
            <w:noWrap/>
            <w:vAlign w:val="center"/>
            <w:hideMark/>
          </w:tcPr>
          <w:p w14:paraId="4051956E"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567" w:type="dxa"/>
            <w:vAlign w:val="center"/>
            <w:hideMark/>
          </w:tcPr>
          <w:p w14:paraId="14DE729B"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1 785,32 €</w:t>
            </w:r>
          </w:p>
        </w:tc>
        <w:tc>
          <w:tcPr>
            <w:tcW w:w="1559" w:type="dxa"/>
            <w:noWrap/>
            <w:vAlign w:val="center"/>
            <w:hideMark/>
          </w:tcPr>
          <w:p w14:paraId="34DF6F6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c>
          <w:tcPr>
            <w:tcW w:w="1418" w:type="dxa"/>
            <w:noWrap/>
            <w:vAlign w:val="center"/>
            <w:hideMark/>
          </w:tcPr>
          <w:p w14:paraId="7AC102F3" w14:textId="77777777" w:rsidR="00454E77" w:rsidRPr="00454E77" w:rsidRDefault="00454E77" w:rsidP="009F5A98">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454E77">
              <w:rPr>
                <w:rFonts w:eastAsia="Times New Roman" w:cs="Arial"/>
                <w:color w:val="000000"/>
                <w:sz w:val="18"/>
                <w:szCs w:val="18"/>
                <w:lang w:eastAsia="lt-LT"/>
              </w:rPr>
              <w:t>0,00 €</w:t>
            </w:r>
          </w:p>
        </w:tc>
      </w:tr>
      <w:tr w:rsidR="00454E77" w:rsidRPr="00454E77" w14:paraId="18232394" w14:textId="77777777" w:rsidTr="009F5A98">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256" w:type="dxa"/>
            <w:shd w:val="clear" w:color="auto" w:fill="DBDBDB" w:themeFill="accent3" w:themeFillTint="66"/>
            <w:hideMark/>
          </w:tcPr>
          <w:p w14:paraId="30B0AA66" w14:textId="77777777" w:rsidR="00454E77" w:rsidRPr="00454E77" w:rsidRDefault="00454E77" w:rsidP="00454E77">
            <w:pPr>
              <w:ind w:firstLine="0"/>
              <w:jc w:val="right"/>
              <w:rPr>
                <w:rFonts w:eastAsia="Times New Roman" w:cs="Arial"/>
                <w:color w:val="000000"/>
                <w:sz w:val="18"/>
                <w:szCs w:val="18"/>
                <w:lang w:eastAsia="lt-LT"/>
              </w:rPr>
            </w:pPr>
            <w:r w:rsidRPr="00454E77">
              <w:rPr>
                <w:rFonts w:eastAsia="Times New Roman" w:cs="Arial"/>
                <w:color w:val="000000"/>
                <w:sz w:val="18"/>
                <w:szCs w:val="18"/>
                <w:lang w:eastAsia="lt-LT"/>
              </w:rPr>
              <w:t>Iš viso:</w:t>
            </w:r>
          </w:p>
        </w:tc>
        <w:tc>
          <w:tcPr>
            <w:tcW w:w="1418" w:type="dxa"/>
            <w:shd w:val="clear" w:color="auto" w:fill="DBDBDB" w:themeFill="accent3" w:themeFillTint="66"/>
            <w:noWrap/>
            <w:vAlign w:val="center"/>
            <w:hideMark/>
          </w:tcPr>
          <w:p w14:paraId="0485DA08"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4 000 000,00 €</w:t>
            </w:r>
          </w:p>
        </w:tc>
        <w:tc>
          <w:tcPr>
            <w:tcW w:w="1267" w:type="dxa"/>
            <w:shd w:val="clear" w:color="auto" w:fill="DBDBDB" w:themeFill="accent3" w:themeFillTint="66"/>
            <w:noWrap/>
            <w:vAlign w:val="center"/>
            <w:hideMark/>
          </w:tcPr>
          <w:p w14:paraId="1E0A299E"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178 782,50 €</w:t>
            </w:r>
          </w:p>
        </w:tc>
        <w:tc>
          <w:tcPr>
            <w:tcW w:w="1567" w:type="dxa"/>
            <w:shd w:val="clear" w:color="auto" w:fill="DBDBDB" w:themeFill="accent3" w:themeFillTint="66"/>
            <w:noWrap/>
            <w:vAlign w:val="center"/>
            <w:hideMark/>
          </w:tcPr>
          <w:p w14:paraId="06EB5B88"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1 338 667,81 €</w:t>
            </w:r>
          </w:p>
        </w:tc>
        <w:tc>
          <w:tcPr>
            <w:tcW w:w="1559" w:type="dxa"/>
            <w:shd w:val="clear" w:color="auto" w:fill="DBDBDB" w:themeFill="accent3" w:themeFillTint="66"/>
            <w:noWrap/>
            <w:vAlign w:val="center"/>
            <w:hideMark/>
          </w:tcPr>
          <w:p w14:paraId="0E232EAD"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1 336 757,52 €</w:t>
            </w:r>
          </w:p>
        </w:tc>
        <w:tc>
          <w:tcPr>
            <w:tcW w:w="1418" w:type="dxa"/>
            <w:shd w:val="clear" w:color="auto" w:fill="DBDBDB" w:themeFill="accent3" w:themeFillTint="66"/>
            <w:noWrap/>
            <w:vAlign w:val="center"/>
            <w:hideMark/>
          </w:tcPr>
          <w:p w14:paraId="76C25426" w14:textId="77777777" w:rsidR="00454E77" w:rsidRPr="00454E77" w:rsidRDefault="00454E77" w:rsidP="009F5A98">
            <w:pPr>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lt-LT"/>
              </w:rPr>
            </w:pPr>
            <w:r w:rsidRPr="00454E77">
              <w:rPr>
                <w:rFonts w:eastAsia="Times New Roman" w:cs="Arial"/>
                <w:b/>
                <w:bCs/>
                <w:color w:val="000000"/>
                <w:sz w:val="18"/>
                <w:szCs w:val="18"/>
                <w:lang w:eastAsia="lt-LT"/>
              </w:rPr>
              <w:t>1 145 792,16 €</w:t>
            </w:r>
          </w:p>
        </w:tc>
      </w:tr>
    </w:tbl>
    <w:p w14:paraId="445850C4" w14:textId="4175D29C" w:rsidR="00454E77" w:rsidRPr="00033860" w:rsidRDefault="00454E77" w:rsidP="00454E77">
      <w:pPr>
        <w:ind w:firstLine="0"/>
        <w:jc w:val="center"/>
        <w:rPr>
          <w:i/>
          <w:iCs/>
          <w:sz w:val="18"/>
          <w:szCs w:val="18"/>
        </w:rPr>
      </w:pPr>
      <w:r w:rsidRPr="00033860">
        <w:rPr>
          <w:i/>
          <w:iCs/>
          <w:sz w:val="18"/>
          <w:szCs w:val="18"/>
        </w:rPr>
        <w:t>Šaltinis: sudaryta autorių</w:t>
      </w:r>
    </w:p>
    <w:p w14:paraId="498CE4D1" w14:textId="77777777" w:rsidR="00454E77" w:rsidRPr="006E0A53" w:rsidRDefault="00454E77" w:rsidP="00454E77">
      <w:pPr>
        <w:pStyle w:val="Paantrat"/>
      </w:pPr>
      <w:bookmarkStart w:id="280" w:name="_Toc123288122"/>
      <w:bookmarkStart w:id="281" w:name="_Toc159421955"/>
      <w:bookmarkStart w:id="282" w:name="_Toc161166388"/>
      <w:bookmarkStart w:id="283" w:name="_Toc165372633"/>
      <w:bookmarkStart w:id="284" w:name="_Toc171350976"/>
      <w:bookmarkStart w:id="285" w:name="_Toc171355462"/>
      <w:r w:rsidRPr="006E0A53">
        <w:rPr>
          <w:rFonts w:eastAsiaTheme="majorEastAsia"/>
        </w:rPr>
        <w:t>4.3.2. Investicijų likutinė vertė</w:t>
      </w:r>
      <w:bookmarkEnd w:id="280"/>
      <w:bookmarkEnd w:id="281"/>
      <w:bookmarkEnd w:id="282"/>
      <w:bookmarkEnd w:id="283"/>
      <w:bookmarkEnd w:id="284"/>
      <w:bookmarkEnd w:id="285"/>
      <w:r w:rsidRPr="006E0A53">
        <w:rPr>
          <w:rFonts w:eastAsiaTheme="majorEastAsia"/>
        </w:rPr>
        <w:t xml:space="preserve"> </w:t>
      </w:r>
    </w:p>
    <w:p w14:paraId="3D32F666" w14:textId="77777777" w:rsidR="00454E77" w:rsidRPr="00B25EB0" w:rsidRDefault="00454E77" w:rsidP="00454E77">
      <w:pPr>
        <w:rPr>
          <w:bCs/>
          <w:lang w:eastAsia="en-GB"/>
        </w:rPr>
      </w:pPr>
      <w:bookmarkStart w:id="286" w:name="_Toc123288123"/>
      <w:bookmarkStart w:id="287" w:name="_Toc159421956"/>
      <w:bookmarkStart w:id="288" w:name="_Toc161166389"/>
      <w:bookmarkStart w:id="289" w:name="_Toc165372634"/>
      <w:bookmarkStart w:id="290" w:name="_Toc171350977"/>
      <w:bookmarkStart w:id="291" w:name="_Toc171355463"/>
      <w:r w:rsidRPr="00B25EB0">
        <w:rPr>
          <w:color w:val="000000"/>
          <w:lang w:eastAsia="en-GB"/>
        </w:rPr>
        <w:t>Investicijų likutinė vertė – tai ilgalaikio turto vertė, pasibaigus projekto ataskaitiniam laikotarpiui</w:t>
      </w:r>
      <w:r w:rsidRPr="00B25EB0">
        <w:rPr>
          <w:lang w:eastAsia="en-GB"/>
        </w:rPr>
        <w:t>. Likutinė vertė apskaičiuojama tik tam turtui, kuriam įsigyti ar sukurti numatytos IP investicijos.</w:t>
      </w:r>
      <w:r w:rsidRPr="00B25EB0">
        <w:rPr>
          <w:bCs/>
          <w:lang w:eastAsia="en-GB"/>
        </w:rPr>
        <w:t xml:space="preserve"> Likutinė vertė apskaičiuojama „tiesinio nusidėvėjimo“ metodu, nes projektu sukurto turto neketinama parduoti. </w:t>
      </w:r>
    </w:p>
    <w:p w14:paraId="12C9C43A" w14:textId="77777777" w:rsidR="009F5A98" w:rsidRDefault="009F5A98" w:rsidP="00454E77">
      <w:r>
        <w:t xml:space="preserve">Projekto metu sukuriamo ilgalaikio turto – inžinerinių statinių, sporto ir rekreacinių aikštelių – naudingo tarnavimo laikotarpis laikomas ne trumpesniu nei 15 metų, todėl nusidėvėjimo laikotarpis, taikomas likutinei vertei skaičiuoti, pasirinktas 15 metų. </w:t>
      </w:r>
    </w:p>
    <w:p w14:paraId="0D484D9E" w14:textId="33EC8723" w:rsidR="00DF5F73" w:rsidRDefault="00DF5F73" w:rsidP="00DF5F73">
      <w:pPr>
        <w:pStyle w:val="Pagrindinis"/>
      </w:pPr>
      <w:r w:rsidRPr="007A6F90">
        <w:t>Kadangi projekte numatoma</w:t>
      </w:r>
      <w:r>
        <w:t xml:space="preserve"> modernizuoti ir</w:t>
      </w:r>
      <w:r w:rsidRPr="007A6F90">
        <w:t xml:space="preserve"> įrengti visiškai naują ir šiuolaikinius standartus atitinkančią infrastruktūrą, projekto vertinimo laikotarpiu reinvesticijų atlikti neplanuojama. Vietoj to numatyta skirti lėšų infrastruktūros būklės palaikymui – periodiniam dažymui, smulkiam remontui, nusidėvėjusių elementų keitimui ir kitoms priežiūros priemonėms. Taip pat neplanuojama vykdyti tokių statybos investicijų, kurios pareikalautų esminių pakeitimų ar būtų laikytinos reinvesticijomis.</w:t>
      </w:r>
      <w:r>
        <w:t xml:space="preserve"> </w:t>
      </w:r>
    </w:p>
    <w:p w14:paraId="42463115" w14:textId="503718D2" w:rsidR="00454E77" w:rsidRPr="00FD09D8" w:rsidRDefault="00DF5F73" w:rsidP="00DF5F73">
      <w:pPr>
        <w:pStyle w:val="Pagrindinis"/>
        <w:rPr>
          <w:bCs w:val="0"/>
          <w:lang w:eastAsia="en-GB"/>
        </w:rPr>
      </w:pPr>
      <w:r>
        <w:t xml:space="preserve">Likutinės vertės skaičiavimai pateikti Socialinės ir ekonominės naudos analizės (SNA) skaičiuoklės A.1 darbalapio B eilutėje, o detalus kiekvienų metų turto vertės pokytis atvaizduotas lentelėje. Pagal ją, turto nusidėvėjimas pradedamas skaičiuoti nuo 2029 m., o bendra likutinė turto vertė </w:t>
      </w:r>
      <w:r w:rsidR="00454E77" w:rsidRPr="00B25EB0">
        <w:rPr>
          <w:lang w:eastAsia="en-GB"/>
        </w:rPr>
        <w:t xml:space="preserve">ataskaitinio laikotarpio pabaigoje numatoma, kad bus lygi </w:t>
      </w:r>
      <w:r>
        <w:rPr>
          <w:bCs w:val="0"/>
          <w:lang w:eastAsia="en-GB"/>
        </w:rPr>
        <w:t>1 597 368</w:t>
      </w:r>
      <w:r w:rsidR="00454E77" w:rsidRPr="00B25EB0">
        <w:rPr>
          <w:lang w:eastAsia="en-GB"/>
        </w:rPr>
        <w:t xml:space="preserve"> Eur.</w:t>
      </w:r>
    </w:p>
    <w:p w14:paraId="3AB00227" w14:textId="77777777" w:rsidR="00454E77" w:rsidRPr="006E0A53" w:rsidRDefault="00454E77" w:rsidP="00454E77">
      <w:pPr>
        <w:pStyle w:val="Paantrat"/>
        <w:rPr>
          <w:rFonts w:eastAsiaTheme="majorEastAsia" w:cs="Arial"/>
          <w:noProof/>
          <w:szCs w:val="26"/>
        </w:rPr>
      </w:pPr>
      <w:r w:rsidRPr="006E0A53">
        <w:rPr>
          <w:rFonts w:eastAsiaTheme="majorEastAsia"/>
          <w:noProof/>
        </w:rPr>
        <w:t>4.3.</w:t>
      </w:r>
      <w:bookmarkStart w:id="292" w:name="Skyrius_4_3_3"/>
      <w:bookmarkEnd w:id="292"/>
      <w:r w:rsidRPr="006E0A53">
        <w:rPr>
          <w:rFonts w:eastAsiaTheme="majorEastAsia"/>
          <w:noProof/>
        </w:rPr>
        <w:t>3. Projekto veiklos pajamos</w:t>
      </w:r>
      <w:bookmarkEnd w:id="286"/>
      <w:bookmarkEnd w:id="287"/>
      <w:bookmarkEnd w:id="288"/>
      <w:bookmarkEnd w:id="289"/>
      <w:bookmarkEnd w:id="290"/>
      <w:bookmarkEnd w:id="291"/>
      <w:r w:rsidRPr="006E0A53">
        <w:rPr>
          <w:rFonts w:eastAsiaTheme="majorEastAsia" w:cs="Arial"/>
          <w:noProof/>
          <w:szCs w:val="26"/>
        </w:rPr>
        <w:t xml:space="preserve"> </w:t>
      </w:r>
    </w:p>
    <w:p w14:paraId="0D4F6F15" w14:textId="77777777" w:rsidR="00454E77" w:rsidRPr="00033860" w:rsidRDefault="00454E77" w:rsidP="00454E77">
      <w:pPr>
        <w:rPr>
          <w:b/>
          <w:i/>
        </w:rPr>
      </w:pPr>
      <w:bookmarkStart w:id="293" w:name="_Hlk186531182"/>
      <w:r w:rsidRPr="00033860">
        <w:t>Projektas jokių pajamų negeneruos, kadangi infrastruktūra nebus apmokestinta jokiais naudojimosi mokesčiais.</w:t>
      </w:r>
    </w:p>
    <w:p w14:paraId="3B653519" w14:textId="77777777" w:rsidR="00454E77" w:rsidRPr="006E0A53" w:rsidRDefault="00454E77" w:rsidP="00454E77">
      <w:pPr>
        <w:pStyle w:val="Paantrat"/>
        <w:rPr>
          <w:rFonts w:eastAsiaTheme="majorEastAsia" w:cs="Arial"/>
          <w:noProof/>
          <w:szCs w:val="26"/>
        </w:rPr>
      </w:pPr>
      <w:bookmarkStart w:id="294" w:name="_Toc123288124"/>
      <w:bookmarkStart w:id="295" w:name="_Toc159421957"/>
      <w:bookmarkStart w:id="296" w:name="_Toc161166390"/>
      <w:bookmarkStart w:id="297" w:name="_Toc165372635"/>
      <w:bookmarkStart w:id="298" w:name="_Toc171350978"/>
      <w:bookmarkStart w:id="299" w:name="_Toc171355464"/>
      <w:bookmarkEnd w:id="293"/>
      <w:r w:rsidRPr="006E0A53">
        <w:rPr>
          <w:rFonts w:eastAsiaTheme="majorEastAsia"/>
          <w:noProof/>
        </w:rPr>
        <w:t>4.3</w:t>
      </w:r>
      <w:bookmarkStart w:id="300" w:name="Skyrius_4_3_4"/>
      <w:bookmarkEnd w:id="300"/>
      <w:r w:rsidRPr="006E0A53">
        <w:rPr>
          <w:rFonts w:eastAsiaTheme="majorEastAsia"/>
          <w:noProof/>
        </w:rPr>
        <w:t>.4. Projekto veiklos išlaidos</w:t>
      </w:r>
      <w:bookmarkEnd w:id="294"/>
      <w:bookmarkEnd w:id="295"/>
      <w:bookmarkEnd w:id="296"/>
      <w:bookmarkEnd w:id="297"/>
      <w:bookmarkEnd w:id="298"/>
      <w:bookmarkEnd w:id="299"/>
      <w:r w:rsidRPr="006E0A53">
        <w:rPr>
          <w:rFonts w:eastAsiaTheme="majorEastAsia" w:cs="Arial"/>
          <w:noProof/>
          <w:szCs w:val="26"/>
        </w:rPr>
        <w:t xml:space="preserve"> </w:t>
      </w:r>
    </w:p>
    <w:p w14:paraId="29D5D0AF" w14:textId="77777777" w:rsidR="00DF5F73" w:rsidRPr="00AB0783" w:rsidRDefault="00DF5F73" w:rsidP="00DF5F73">
      <w:pPr>
        <w:pStyle w:val="Pagrindinis"/>
        <w:rPr>
          <w:lang w:eastAsia="lt-LT"/>
        </w:rPr>
      </w:pPr>
      <w:bookmarkStart w:id="301" w:name="_Toc123288125"/>
      <w:bookmarkStart w:id="302" w:name="_Toc159421958"/>
      <w:bookmarkStart w:id="303" w:name="_Toc161166391"/>
      <w:bookmarkStart w:id="304" w:name="_Toc165372636"/>
      <w:r w:rsidRPr="00AB0783">
        <w:rPr>
          <w:lang w:eastAsia="lt-LT"/>
        </w:rPr>
        <w:t>Projekto veiklos išlaidos – tai išlaidos, kurios bus patiriamos eksploatuojant investicinio projekto metu sukurtą turtą viešajai paslaugai teikti. Šiuo metu tvarkoma viešoji erdvė yra nusidėvėjusi ir prižiūrima minimaliai, todėl įgyvendinus projektą, tikėtina, ženkliai padidės poreikis skirti lėšų infrastruktūros priežiūrai bei būklės palaikymui.</w:t>
      </w:r>
    </w:p>
    <w:p w14:paraId="0AB38871" w14:textId="414FA691" w:rsidR="00DF5F73" w:rsidRPr="00AB0783" w:rsidRDefault="00DF5F73" w:rsidP="00DF5F73">
      <w:pPr>
        <w:pStyle w:val="Pagrindinis"/>
        <w:rPr>
          <w:lang w:eastAsia="lt-LT"/>
        </w:rPr>
      </w:pPr>
      <w:r w:rsidRPr="00AB0783">
        <w:rPr>
          <w:lang w:eastAsia="lt-LT"/>
        </w:rPr>
        <w:t xml:space="preserve">Eksploatacinės išlaidos apskaičiuotos remiantis Utenos rajono savivaldybės teritorijos tvarkymo duomenimis. Tvarkomas plotas nuo 2029 metų sieks </w:t>
      </w:r>
      <w:r w:rsidR="00AB0783" w:rsidRPr="00AB0783">
        <w:rPr>
          <w:lang w:eastAsia="lt-LT"/>
        </w:rPr>
        <w:t>11,90</w:t>
      </w:r>
      <w:r w:rsidRPr="00AB0783">
        <w:rPr>
          <w:lang w:eastAsia="lt-LT"/>
        </w:rPr>
        <w:t xml:space="preserve"> ha, o nustatyta priežiūros kaina – 49 Eur/mėn./ha. Priežiūra bus vykdoma visus metus (12 mėn.), todėl metinės eksploatacinės išlaidos sudarys </w:t>
      </w:r>
      <w:r w:rsidR="00AB0783" w:rsidRPr="00AB0783">
        <w:rPr>
          <w:lang w:eastAsia="lt-LT"/>
        </w:rPr>
        <w:t>6 997,20</w:t>
      </w:r>
      <w:r w:rsidRPr="00AB0783">
        <w:rPr>
          <w:lang w:eastAsia="lt-LT"/>
        </w:rPr>
        <w:t xml:space="preserve"> Eur. Šios išlaidos laikomos pastoviomis ir tęsis nuo 2029 m. iki projekto analizės laikotarpio pabaigos (2040 m.).</w:t>
      </w:r>
    </w:p>
    <w:p w14:paraId="248619BD" w14:textId="4936AF94" w:rsidR="00DF5F73" w:rsidRPr="00AB0783" w:rsidRDefault="00DF5F73" w:rsidP="00DF5F73">
      <w:pPr>
        <w:pStyle w:val="Pagrindinis"/>
        <w:rPr>
          <w:lang w:eastAsia="lt-LT"/>
        </w:rPr>
      </w:pPr>
      <w:r w:rsidRPr="00AB0783">
        <w:rPr>
          <w:lang w:eastAsia="lt-LT"/>
        </w:rPr>
        <w:t>Papildomai skaičiuojamos ir geros infrastruktūros būklės palaikymo išlaidos, kurios sudaro 0,5 proc. nuo sukurto turto vertės (</w:t>
      </w:r>
      <w:r w:rsidR="00AB0783" w:rsidRPr="00AB0783">
        <w:rPr>
          <w:lang w:eastAsia="lt-LT"/>
        </w:rPr>
        <w:t>3 736 532,44</w:t>
      </w:r>
      <w:r w:rsidRPr="00AB0783">
        <w:rPr>
          <w:lang w:eastAsia="lt-LT"/>
        </w:rPr>
        <w:t xml:space="preserve"> Eur) – tai sudaro apie </w:t>
      </w:r>
      <w:r w:rsidR="00AB0783" w:rsidRPr="00AB0783">
        <w:rPr>
          <w:lang w:eastAsia="lt-LT"/>
        </w:rPr>
        <w:t>18 682,66</w:t>
      </w:r>
      <w:r w:rsidRPr="00AB0783">
        <w:rPr>
          <w:lang w:eastAsia="lt-LT"/>
        </w:rPr>
        <w:t xml:space="preserve"> Eur per metus. Šios išlaidos apima </w:t>
      </w:r>
      <w:r w:rsidRPr="00AB0783">
        <w:rPr>
          <w:lang w:eastAsia="lt-LT"/>
        </w:rPr>
        <w:lastRenderedPageBreak/>
        <w:t>smulkius remonto darbus, nusidėvėjusių elementų keitimą, dažymą ir kitą reguliarią priežiūrą. Tokia praktika leidžia prailginti infrastruktūros eksploatavimo laikotarpį, išsaugoti estetinę ir funkcinę vertę bei išvengti ankstyvų reinvesticijų poreikio.</w:t>
      </w:r>
    </w:p>
    <w:p w14:paraId="47963476" w14:textId="51FA901D" w:rsidR="00DF5F73" w:rsidRPr="00AB0783" w:rsidRDefault="00DF5F73" w:rsidP="00DF5F73">
      <w:pPr>
        <w:pStyle w:val="Pagrindinis"/>
        <w:rPr>
          <w:lang w:eastAsia="lt-LT"/>
        </w:rPr>
      </w:pPr>
      <w:r w:rsidRPr="00AB0783">
        <w:rPr>
          <w:lang w:eastAsia="lt-LT"/>
        </w:rPr>
        <w:t>Detalios vertės pateikiamos SNA skaičiuoklės darbalaukyje „Išlaidos“.</w:t>
      </w:r>
    </w:p>
    <w:p w14:paraId="226622DB" w14:textId="14779017" w:rsidR="00454E77" w:rsidRPr="006E0A53" w:rsidRDefault="00454E77" w:rsidP="00454E77">
      <w:pPr>
        <w:pStyle w:val="Paantrat"/>
        <w:rPr>
          <w:rFonts w:eastAsiaTheme="majorEastAsia" w:cs="Arial"/>
          <w:noProof/>
          <w:szCs w:val="26"/>
        </w:rPr>
      </w:pPr>
      <w:bookmarkStart w:id="305" w:name="_Toc171350979"/>
      <w:bookmarkStart w:id="306" w:name="_Toc171355465"/>
      <w:r w:rsidRPr="006E0A53">
        <w:rPr>
          <w:rFonts w:eastAsiaTheme="majorEastAsia"/>
          <w:noProof/>
        </w:rPr>
        <w:t>4.3</w:t>
      </w:r>
      <w:bookmarkStart w:id="307" w:name="Skyrius_4_3_5"/>
      <w:bookmarkEnd w:id="307"/>
      <w:r w:rsidRPr="006E0A53">
        <w:rPr>
          <w:rFonts w:eastAsiaTheme="majorEastAsia"/>
          <w:noProof/>
        </w:rPr>
        <w:t>.5. Projekto mokesčiai</w:t>
      </w:r>
      <w:bookmarkEnd w:id="301"/>
      <w:bookmarkEnd w:id="302"/>
      <w:bookmarkEnd w:id="303"/>
      <w:bookmarkEnd w:id="304"/>
      <w:bookmarkEnd w:id="305"/>
      <w:bookmarkEnd w:id="306"/>
      <w:r w:rsidRPr="006E0A53">
        <w:rPr>
          <w:rFonts w:eastAsiaTheme="majorEastAsia" w:cs="Arial"/>
          <w:noProof/>
          <w:szCs w:val="26"/>
        </w:rPr>
        <w:t xml:space="preserve"> </w:t>
      </w:r>
    </w:p>
    <w:p w14:paraId="4353F211" w14:textId="0E5BC858" w:rsidR="00454E77" w:rsidRPr="00033860" w:rsidRDefault="00454E77" w:rsidP="00454E77">
      <w:r w:rsidRPr="00033860">
        <w:t xml:space="preserve">Projekto mokesčiai – tai piniginiai srautai, kurie atsiranda dėl investicijų projekto veiklų įgyvendinimo. Projekto investicijų PVM išlaidos yra tinkamos finansuoti ES struktūrinių fondų lėšomis, nes projekte numatyti darbai ir paslaugos skirtos viešiesiems poreikiams tenkinti. </w:t>
      </w:r>
      <w:r w:rsidR="00AB0783">
        <w:t>Utenos rajono</w:t>
      </w:r>
      <w:r w:rsidRPr="00033860">
        <w:t xml:space="preserve"> savivaldybės administracija (projektų rezultatų naudotoja) neturės galimybės susigrąžinti sumokėto PVM (negali traukti į apskaitą), todėl visos projekto investicijos, pajamos, išlaidos</w:t>
      </w:r>
      <w:r w:rsidR="00AB0783">
        <w:t xml:space="preserve"> </w:t>
      </w:r>
      <w:r w:rsidRPr="00033860">
        <w:t>vertinamos su PVM.</w:t>
      </w:r>
    </w:p>
    <w:p w14:paraId="067A4D19" w14:textId="77777777" w:rsidR="00454E77" w:rsidRPr="006E0A53" w:rsidRDefault="00454E77" w:rsidP="00454E77">
      <w:pPr>
        <w:pStyle w:val="Paantrat"/>
        <w:rPr>
          <w:rFonts w:eastAsiaTheme="majorEastAsia" w:cs="Arial"/>
          <w:noProof/>
          <w:szCs w:val="26"/>
        </w:rPr>
      </w:pPr>
      <w:bookmarkStart w:id="308" w:name="_Toc123288126"/>
      <w:bookmarkStart w:id="309" w:name="_Toc159421959"/>
      <w:bookmarkStart w:id="310" w:name="_Toc161166392"/>
      <w:bookmarkStart w:id="311" w:name="_Toc165372637"/>
      <w:bookmarkStart w:id="312" w:name="_Toc171350980"/>
      <w:bookmarkStart w:id="313" w:name="_Toc171355466"/>
      <w:r w:rsidRPr="006E0A53">
        <w:rPr>
          <w:rFonts w:eastAsiaTheme="majorEastAsia"/>
          <w:noProof/>
        </w:rPr>
        <w:t>4.</w:t>
      </w:r>
      <w:bookmarkStart w:id="314" w:name="Skyrius_4_3_6"/>
      <w:bookmarkEnd w:id="314"/>
      <w:r w:rsidRPr="006E0A53">
        <w:rPr>
          <w:rFonts w:eastAsiaTheme="majorEastAsia"/>
          <w:noProof/>
        </w:rPr>
        <w:t>3.6. Projekto finansavimas</w:t>
      </w:r>
      <w:bookmarkEnd w:id="308"/>
      <w:bookmarkEnd w:id="309"/>
      <w:bookmarkEnd w:id="310"/>
      <w:bookmarkEnd w:id="311"/>
      <w:bookmarkEnd w:id="312"/>
      <w:bookmarkEnd w:id="313"/>
      <w:r w:rsidRPr="006E0A53">
        <w:rPr>
          <w:rFonts w:eastAsiaTheme="majorEastAsia" w:cs="Arial"/>
          <w:noProof/>
          <w:szCs w:val="26"/>
        </w:rPr>
        <w:t xml:space="preserve"> </w:t>
      </w:r>
    </w:p>
    <w:p w14:paraId="04102E1E" w14:textId="77777777" w:rsidR="00AB0783" w:rsidRPr="00033860" w:rsidRDefault="00454E77" w:rsidP="00AB0783">
      <w:pPr>
        <w:spacing w:line="276" w:lineRule="auto"/>
        <w:rPr>
          <w:i/>
          <w:iCs/>
          <w:sz w:val="20"/>
          <w:szCs w:val="20"/>
        </w:rPr>
      </w:pPr>
      <w:r w:rsidRPr="00033860">
        <w:rPr>
          <w:rFonts w:cs="Arial"/>
        </w:rPr>
        <w:t xml:space="preserve">Investicijos finansuojamos ES </w:t>
      </w:r>
      <w:r w:rsidR="00AB0783">
        <w:rPr>
          <w:rFonts w:cs="Arial"/>
        </w:rPr>
        <w:t>ir Utenos rajono</w:t>
      </w:r>
      <w:r w:rsidRPr="00033860">
        <w:rPr>
          <w:rFonts w:cs="Arial"/>
        </w:rPr>
        <w:t xml:space="preserve"> savivaldybės biudžeto lėšomis</w:t>
      </w:r>
      <w:r w:rsidR="00AB0783">
        <w:rPr>
          <w:rFonts w:cs="Arial"/>
        </w:rPr>
        <w:t xml:space="preserve">. Utenos rajono </w:t>
      </w:r>
      <w:r w:rsidRPr="00033860">
        <w:t xml:space="preserve">savivaldybė prie projekto prisidės </w:t>
      </w:r>
      <w:r w:rsidR="00AB0783">
        <w:t>15</w:t>
      </w:r>
      <w:r w:rsidRPr="00033860">
        <w:t xml:space="preserve"> proc., likusioji išlaidų dalis bus finansuojama 2021–2027 metų Europos Sąjungos fondų investicijų programos lėšomis. </w:t>
      </w:r>
      <w:r w:rsidR="00AB0783" w:rsidRPr="007C725F">
        <w:rPr>
          <w:rStyle w:val="PagrindinisDiagrama"/>
        </w:rPr>
        <w:t>Taip pat savivaldybė įsipareigoja padengti visas su veiklos išlaidomis susijusias sąnaudas, kurių nepadengs gaunamos pajamos įgyvendinus projektą</w:t>
      </w:r>
      <w:r w:rsidR="00AB0783">
        <w:rPr>
          <w:rStyle w:val="PagrindinisDiagrama"/>
        </w:rPr>
        <w:t xml:space="preserve">. </w:t>
      </w:r>
    </w:p>
    <w:p w14:paraId="17C43D95" w14:textId="5E7B3B8B" w:rsidR="00AB0783" w:rsidRPr="00033860" w:rsidRDefault="00AB0783" w:rsidP="00454E77">
      <w:pPr>
        <w:spacing w:line="256" w:lineRule="auto"/>
      </w:pPr>
      <w:r w:rsidRPr="007C725F">
        <w:rPr>
          <w:rStyle w:val="PagrindinisDiagrama"/>
        </w:rPr>
        <w:t>Sudarant investicijų lentelę, patvirtinta, kad planuojama projekto vertė atitinka Utenos regiono plėtros plane numatytą biudžetą.</w:t>
      </w:r>
    </w:p>
    <w:p w14:paraId="33323248" w14:textId="77777777" w:rsidR="00454E77" w:rsidRPr="006E0A53" w:rsidRDefault="00454E77" w:rsidP="00454E77">
      <w:pPr>
        <w:pStyle w:val="LentelsL"/>
      </w:pPr>
      <w:bookmarkStart w:id="315" w:name="_Toc170315413"/>
      <w:bookmarkStart w:id="316" w:name="_Toc170416894"/>
      <w:bookmarkStart w:id="317" w:name="_Toc171350561"/>
      <w:bookmarkStart w:id="318" w:name="_Toc171355255"/>
      <w:bookmarkStart w:id="319" w:name="_Toc198807820"/>
      <w:r w:rsidRPr="006E0A53">
        <w:t>4.3.6.1. lentelė. Projekto lėšų srautų finansavimo pasiskirstymas</w:t>
      </w:r>
      <w:bookmarkEnd w:id="315"/>
      <w:bookmarkEnd w:id="316"/>
      <w:bookmarkEnd w:id="317"/>
      <w:bookmarkEnd w:id="318"/>
      <w:bookmarkEnd w:id="319"/>
    </w:p>
    <w:tbl>
      <w:tblPr>
        <w:tblStyle w:val="3sraolentel1parykinimas1"/>
        <w:tblW w:w="0" w:type="auto"/>
        <w:tblInd w:w="0" w:type="dxa"/>
        <w:tblLook w:val="04A0" w:firstRow="1" w:lastRow="0" w:firstColumn="1" w:lastColumn="0" w:noHBand="0" w:noVBand="1"/>
      </w:tblPr>
      <w:tblGrid>
        <w:gridCol w:w="2929"/>
        <w:gridCol w:w="1384"/>
        <w:gridCol w:w="1217"/>
        <w:gridCol w:w="1384"/>
        <w:gridCol w:w="1384"/>
        <w:gridCol w:w="1217"/>
      </w:tblGrid>
      <w:tr w:rsidR="00AB0783" w:rsidRPr="00AB0783" w14:paraId="4DDEA40B" w14:textId="0F63161F" w:rsidTr="00880A2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0" w:type="auto"/>
            <w:hideMark/>
          </w:tcPr>
          <w:p w14:paraId="27BFB3C6" w14:textId="77777777" w:rsidR="00AB0783" w:rsidRPr="00AB0783" w:rsidRDefault="00AB0783" w:rsidP="00AB0783">
            <w:pPr>
              <w:ind w:firstLine="0"/>
              <w:jc w:val="left"/>
              <w:rPr>
                <w:rFonts w:eastAsia="Times New Roman" w:cs="Arial"/>
                <w:i/>
                <w:iCs/>
                <w:color w:val="FFFFFF" w:themeColor="background1"/>
                <w:szCs w:val="20"/>
                <w:lang w:val="lt-LT" w:eastAsia="lt-LT"/>
              </w:rPr>
            </w:pPr>
            <w:r w:rsidRPr="00AB0783">
              <w:rPr>
                <w:rFonts w:eastAsia="Times New Roman" w:cs="Arial"/>
                <w:i/>
                <w:iCs/>
                <w:color w:val="FFFFFF" w:themeColor="background1"/>
                <w:szCs w:val="20"/>
                <w:lang w:val="lt-LT" w:eastAsia="lt-LT"/>
              </w:rPr>
              <w:t>Finansavimas</w:t>
            </w:r>
          </w:p>
        </w:tc>
        <w:tc>
          <w:tcPr>
            <w:tcW w:w="0" w:type="auto"/>
            <w:vAlign w:val="bottom"/>
            <w:hideMark/>
          </w:tcPr>
          <w:p w14:paraId="0E7EC75C" w14:textId="5577D23A" w:rsidR="00AB0783" w:rsidRPr="00AB0783" w:rsidRDefault="00AB0783" w:rsidP="00AB078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val="lt-LT" w:eastAsia="lt-LT"/>
              </w:rPr>
            </w:pPr>
            <w:proofErr w:type="spellStart"/>
            <w:r w:rsidRPr="00AB0783">
              <w:rPr>
                <w:rFonts w:cs="Arial"/>
                <w:color w:val="FFFFFF" w:themeColor="background1"/>
                <w:szCs w:val="20"/>
              </w:rPr>
              <w:t>Iš</w:t>
            </w:r>
            <w:proofErr w:type="spellEnd"/>
            <w:r w:rsidRPr="00AB0783">
              <w:rPr>
                <w:rFonts w:cs="Arial"/>
                <w:color w:val="FFFFFF" w:themeColor="background1"/>
                <w:szCs w:val="20"/>
              </w:rPr>
              <w:t xml:space="preserve"> </w:t>
            </w:r>
            <w:proofErr w:type="spellStart"/>
            <w:r w:rsidRPr="00AB0783">
              <w:rPr>
                <w:rFonts w:cs="Arial"/>
                <w:color w:val="FFFFFF" w:themeColor="background1"/>
                <w:szCs w:val="20"/>
              </w:rPr>
              <w:t>viso</w:t>
            </w:r>
            <w:proofErr w:type="spellEnd"/>
          </w:p>
        </w:tc>
        <w:tc>
          <w:tcPr>
            <w:tcW w:w="0" w:type="auto"/>
            <w:vAlign w:val="bottom"/>
            <w:hideMark/>
          </w:tcPr>
          <w:p w14:paraId="30B2D29D" w14:textId="05416E99" w:rsidR="00AB0783" w:rsidRPr="00AB0783" w:rsidRDefault="00AB0783" w:rsidP="00AB078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val="lt-LT" w:eastAsia="lt-LT"/>
              </w:rPr>
            </w:pPr>
            <w:r w:rsidRPr="00AB0783">
              <w:rPr>
                <w:rFonts w:cs="Arial"/>
                <w:color w:val="FFFFFF" w:themeColor="background1"/>
                <w:szCs w:val="20"/>
              </w:rPr>
              <w:t>2025</w:t>
            </w:r>
          </w:p>
        </w:tc>
        <w:tc>
          <w:tcPr>
            <w:tcW w:w="0" w:type="auto"/>
            <w:vAlign w:val="bottom"/>
            <w:hideMark/>
          </w:tcPr>
          <w:p w14:paraId="5746B019" w14:textId="424AE2CF" w:rsidR="00AB0783" w:rsidRPr="00AB0783" w:rsidRDefault="00AB0783" w:rsidP="00AB078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val="lt-LT" w:eastAsia="lt-LT"/>
              </w:rPr>
            </w:pPr>
            <w:r w:rsidRPr="00AB0783">
              <w:rPr>
                <w:rFonts w:cs="Arial"/>
                <w:color w:val="FFFFFF" w:themeColor="background1"/>
                <w:szCs w:val="20"/>
              </w:rPr>
              <w:t>2026</w:t>
            </w:r>
          </w:p>
        </w:tc>
        <w:tc>
          <w:tcPr>
            <w:tcW w:w="0" w:type="auto"/>
            <w:vAlign w:val="bottom"/>
          </w:tcPr>
          <w:p w14:paraId="476DB752" w14:textId="4DEC02C7" w:rsidR="00AB0783" w:rsidRPr="00AB0783" w:rsidRDefault="00AB0783" w:rsidP="00AB078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lt-LT"/>
              </w:rPr>
            </w:pPr>
            <w:r w:rsidRPr="00AB0783">
              <w:rPr>
                <w:rFonts w:cs="Arial"/>
                <w:color w:val="FFFFFF" w:themeColor="background1"/>
                <w:szCs w:val="20"/>
              </w:rPr>
              <w:t>2027</w:t>
            </w:r>
          </w:p>
        </w:tc>
        <w:tc>
          <w:tcPr>
            <w:tcW w:w="0" w:type="auto"/>
            <w:vAlign w:val="bottom"/>
          </w:tcPr>
          <w:p w14:paraId="675463CF" w14:textId="7233757D" w:rsidR="00AB0783" w:rsidRPr="00AB0783" w:rsidRDefault="00AB0783" w:rsidP="00AB078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lt-LT"/>
              </w:rPr>
            </w:pPr>
            <w:r w:rsidRPr="00AB0783">
              <w:rPr>
                <w:rFonts w:cs="Arial"/>
                <w:color w:val="FFFFFF" w:themeColor="background1"/>
                <w:szCs w:val="20"/>
              </w:rPr>
              <w:t>2028</w:t>
            </w:r>
          </w:p>
        </w:tc>
      </w:tr>
      <w:tr w:rsidR="00AB0783" w:rsidRPr="00AB0783" w14:paraId="4554994D" w14:textId="2B85FBC4" w:rsidTr="00880A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482896" w14:textId="77777777" w:rsidR="00AB0783" w:rsidRPr="00AB0783" w:rsidRDefault="00AB0783" w:rsidP="00AB0783">
            <w:pPr>
              <w:ind w:firstLine="0"/>
              <w:jc w:val="left"/>
              <w:rPr>
                <w:rFonts w:eastAsia="Times New Roman" w:cs="Arial"/>
                <w:color w:val="auto"/>
                <w:szCs w:val="20"/>
                <w:lang w:val="lt-LT" w:eastAsia="lt-LT"/>
              </w:rPr>
            </w:pPr>
            <w:r w:rsidRPr="00AB0783">
              <w:rPr>
                <w:rFonts w:eastAsia="Times New Roman" w:cs="Arial"/>
                <w:color w:val="auto"/>
                <w:szCs w:val="20"/>
                <w:lang w:val="lt-LT" w:eastAsia="lt-LT"/>
              </w:rPr>
              <w:t>ES lėšos</w:t>
            </w:r>
          </w:p>
        </w:tc>
        <w:tc>
          <w:tcPr>
            <w:tcW w:w="0" w:type="auto"/>
            <w:noWrap/>
            <w:vAlign w:val="bottom"/>
            <w:hideMark/>
          </w:tcPr>
          <w:p w14:paraId="4AEBB1B0" w14:textId="1BF6DBBF"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3</w:t>
            </w:r>
            <w:r>
              <w:rPr>
                <w:rFonts w:cs="Arial"/>
                <w:color w:val="000000"/>
                <w:szCs w:val="20"/>
              </w:rPr>
              <w:t> </w:t>
            </w:r>
            <w:r w:rsidRPr="00AB0783">
              <w:rPr>
                <w:rFonts w:cs="Arial"/>
                <w:color w:val="000000"/>
                <w:szCs w:val="20"/>
              </w:rPr>
              <w:t>400</w:t>
            </w:r>
            <w:r>
              <w:rPr>
                <w:rFonts w:cs="Arial"/>
                <w:color w:val="000000"/>
                <w:szCs w:val="20"/>
              </w:rPr>
              <w:t xml:space="preserve"> </w:t>
            </w:r>
            <w:r w:rsidRPr="00AB0783">
              <w:rPr>
                <w:rFonts w:cs="Arial"/>
                <w:color w:val="000000"/>
                <w:szCs w:val="20"/>
              </w:rPr>
              <w:t>000,00</w:t>
            </w:r>
          </w:p>
        </w:tc>
        <w:tc>
          <w:tcPr>
            <w:tcW w:w="0" w:type="auto"/>
            <w:noWrap/>
            <w:vAlign w:val="bottom"/>
            <w:hideMark/>
          </w:tcPr>
          <w:p w14:paraId="4F0C76E4" w14:textId="399AB662"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151</w:t>
            </w:r>
            <w:r>
              <w:rPr>
                <w:rFonts w:cs="Arial"/>
                <w:color w:val="000000"/>
                <w:szCs w:val="20"/>
              </w:rPr>
              <w:t xml:space="preserve"> </w:t>
            </w:r>
            <w:r w:rsidRPr="00AB0783">
              <w:rPr>
                <w:rFonts w:cs="Arial"/>
                <w:color w:val="000000"/>
                <w:szCs w:val="20"/>
              </w:rPr>
              <w:t>965,13</w:t>
            </w:r>
          </w:p>
        </w:tc>
        <w:tc>
          <w:tcPr>
            <w:tcW w:w="0" w:type="auto"/>
            <w:noWrap/>
            <w:vAlign w:val="bottom"/>
            <w:hideMark/>
          </w:tcPr>
          <w:p w14:paraId="2C39ED62" w14:textId="48973BCA"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1</w:t>
            </w:r>
            <w:r>
              <w:rPr>
                <w:rFonts w:cs="Arial"/>
                <w:color w:val="000000"/>
                <w:szCs w:val="20"/>
              </w:rPr>
              <w:t> </w:t>
            </w:r>
            <w:r w:rsidRPr="00AB0783">
              <w:rPr>
                <w:rFonts w:cs="Arial"/>
                <w:color w:val="000000"/>
                <w:szCs w:val="20"/>
              </w:rPr>
              <w:t>137</w:t>
            </w:r>
            <w:r>
              <w:rPr>
                <w:rFonts w:cs="Arial"/>
                <w:color w:val="000000"/>
                <w:szCs w:val="20"/>
              </w:rPr>
              <w:t xml:space="preserve"> </w:t>
            </w:r>
            <w:r w:rsidRPr="00AB0783">
              <w:rPr>
                <w:rFonts w:cs="Arial"/>
                <w:color w:val="000000"/>
                <w:szCs w:val="20"/>
              </w:rPr>
              <w:t>867,64</w:t>
            </w:r>
          </w:p>
        </w:tc>
        <w:tc>
          <w:tcPr>
            <w:tcW w:w="0" w:type="auto"/>
            <w:vAlign w:val="bottom"/>
          </w:tcPr>
          <w:p w14:paraId="4D2B52FD" w14:textId="52465EEA"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cs="Arial"/>
                <w:szCs w:val="20"/>
              </w:rPr>
            </w:pPr>
            <w:r w:rsidRPr="00AB0783">
              <w:rPr>
                <w:rFonts w:cs="Arial"/>
                <w:color w:val="000000"/>
                <w:szCs w:val="20"/>
              </w:rPr>
              <w:t>1</w:t>
            </w:r>
            <w:r>
              <w:rPr>
                <w:rFonts w:cs="Arial"/>
                <w:color w:val="000000"/>
                <w:szCs w:val="20"/>
              </w:rPr>
              <w:t> </w:t>
            </w:r>
            <w:r w:rsidRPr="00AB0783">
              <w:rPr>
                <w:rFonts w:cs="Arial"/>
                <w:color w:val="000000"/>
                <w:szCs w:val="20"/>
              </w:rPr>
              <w:t>136</w:t>
            </w:r>
            <w:r>
              <w:rPr>
                <w:rFonts w:cs="Arial"/>
                <w:color w:val="000000"/>
                <w:szCs w:val="20"/>
              </w:rPr>
              <w:t xml:space="preserve"> </w:t>
            </w:r>
            <w:r w:rsidRPr="00AB0783">
              <w:rPr>
                <w:rFonts w:cs="Arial"/>
                <w:color w:val="000000"/>
                <w:szCs w:val="20"/>
              </w:rPr>
              <w:t>243,89</w:t>
            </w:r>
          </w:p>
        </w:tc>
        <w:tc>
          <w:tcPr>
            <w:tcW w:w="0" w:type="auto"/>
            <w:vAlign w:val="bottom"/>
          </w:tcPr>
          <w:p w14:paraId="4E185E3A" w14:textId="4A1EE22A"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cs="Arial"/>
                <w:szCs w:val="20"/>
              </w:rPr>
            </w:pPr>
            <w:r w:rsidRPr="00AB0783">
              <w:rPr>
                <w:rFonts w:cs="Arial"/>
                <w:color w:val="000000"/>
                <w:szCs w:val="20"/>
              </w:rPr>
              <w:t>973</w:t>
            </w:r>
            <w:r>
              <w:rPr>
                <w:rFonts w:cs="Arial"/>
                <w:color w:val="000000"/>
                <w:szCs w:val="20"/>
              </w:rPr>
              <w:t xml:space="preserve"> </w:t>
            </w:r>
            <w:r w:rsidRPr="00AB0783">
              <w:rPr>
                <w:rFonts w:cs="Arial"/>
                <w:color w:val="000000"/>
                <w:szCs w:val="20"/>
              </w:rPr>
              <w:t>923,34</w:t>
            </w:r>
          </w:p>
        </w:tc>
      </w:tr>
      <w:tr w:rsidR="00AB0783" w:rsidRPr="00AB0783" w14:paraId="7DE7024E" w14:textId="17E3B09D" w:rsidTr="00880A2B">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9EA80" w14:textId="77777777" w:rsidR="00AB0783" w:rsidRPr="00AB0783" w:rsidRDefault="00AB0783" w:rsidP="00AB0783">
            <w:pPr>
              <w:ind w:firstLine="0"/>
              <w:jc w:val="left"/>
              <w:rPr>
                <w:rFonts w:eastAsia="Times New Roman" w:cs="Arial"/>
                <w:color w:val="auto"/>
                <w:szCs w:val="20"/>
                <w:lang w:val="lt-LT" w:eastAsia="lt-LT"/>
              </w:rPr>
            </w:pPr>
            <w:r w:rsidRPr="00AB0783">
              <w:rPr>
                <w:rFonts w:eastAsia="Times New Roman" w:cs="Arial"/>
                <w:color w:val="auto"/>
                <w:szCs w:val="20"/>
                <w:lang w:val="lt-LT" w:eastAsia="lt-LT"/>
              </w:rPr>
              <w:t>Savivaldybės biudžeto lėšos</w:t>
            </w:r>
          </w:p>
        </w:tc>
        <w:tc>
          <w:tcPr>
            <w:tcW w:w="0" w:type="auto"/>
            <w:noWrap/>
            <w:vAlign w:val="bottom"/>
            <w:hideMark/>
          </w:tcPr>
          <w:p w14:paraId="6C817711" w14:textId="6859017B"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600</w:t>
            </w:r>
            <w:r>
              <w:rPr>
                <w:rFonts w:cs="Arial"/>
                <w:color w:val="000000"/>
                <w:szCs w:val="20"/>
              </w:rPr>
              <w:t xml:space="preserve"> </w:t>
            </w:r>
            <w:r w:rsidRPr="00AB0783">
              <w:rPr>
                <w:rFonts w:cs="Arial"/>
                <w:color w:val="000000"/>
                <w:szCs w:val="20"/>
              </w:rPr>
              <w:t>000,00</w:t>
            </w:r>
          </w:p>
        </w:tc>
        <w:tc>
          <w:tcPr>
            <w:tcW w:w="0" w:type="auto"/>
            <w:noWrap/>
            <w:vAlign w:val="bottom"/>
            <w:hideMark/>
          </w:tcPr>
          <w:p w14:paraId="3DC1C0EF" w14:textId="7F539A40"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26</w:t>
            </w:r>
            <w:r>
              <w:rPr>
                <w:rFonts w:cs="Arial"/>
                <w:color w:val="000000"/>
                <w:szCs w:val="20"/>
              </w:rPr>
              <w:t xml:space="preserve"> </w:t>
            </w:r>
            <w:r w:rsidRPr="00AB0783">
              <w:rPr>
                <w:rFonts w:cs="Arial"/>
                <w:color w:val="000000"/>
                <w:szCs w:val="20"/>
              </w:rPr>
              <w:t>817,38</w:t>
            </w:r>
          </w:p>
        </w:tc>
        <w:tc>
          <w:tcPr>
            <w:tcW w:w="0" w:type="auto"/>
            <w:noWrap/>
            <w:vAlign w:val="bottom"/>
            <w:hideMark/>
          </w:tcPr>
          <w:p w14:paraId="4D13711B" w14:textId="6CDD957D"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lt-LT" w:eastAsia="lt-LT"/>
              </w:rPr>
            </w:pPr>
            <w:r w:rsidRPr="00AB0783">
              <w:rPr>
                <w:rFonts w:cs="Arial"/>
                <w:color w:val="000000"/>
                <w:szCs w:val="20"/>
              </w:rPr>
              <w:t>200</w:t>
            </w:r>
            <w:r>
              <w:rPr>
                <w:rFonts w:cs="Arial"/>
                <w:color w:val="000000"/>
                <w:szCs w:val="20"/>
              </w:rPr>
              <w:t xml:space="preserve"> </w:t>
            </w:r>
            <w:r w:rsidRPr="00AB0783">
              <w:rPr>
                <w:rFonts w:cs="Arial"/>
                <w:color w:val="000000"/>
                <w:szCs w:val="20"/>
              </w:rPr>
              <w:t>800,17</w:t>
            </w:r>
          </w:p>
        </w:tc>
        <w:tc>
          <w:tcPr>
            <w:tcW w:w="0" w:type="auto"/>
            <w:vAlign w:val="bottom"/>
          </w:tcPr>
          <w:p w14:paraId="4453A4DB" w14:textId="70B425E6"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cs="Arial"/>
                <w:szCs w:val="20"/>
              </w:rPr>
            </w:pPr>
            <w:r w:rsidRPr="00AB0783">
              <w:rPr>
                <w:rFonts w:cs="Arial"/>
                <w:color w:val="000000"/>
                <w:szCs w:val="20"/>
              </w:rPr>
              <w:t>200</w:t>
            </w:r>
            <w:r>
              <w:rPr>
                <w:rFonts w:cs="Arial"/>
                <w:color w:val="000000"/>
                <w:szCs w:val="20"/>
              </w:rPr>
              <w:t xml:space="preserve"> </w:t>
            </w:r>
            <w:r w:rsidRPr="00AB0783">
              <w:rPr>
                <w:rFonts w:cs="Arial"/>
                <w:color w:val="000000"/>
                <w:szCs w:val="20"/>
              </w:rPr>
              <w:t>513,63</w:t>
            </w:r>
          </w:p>
        </w:tc>
        <w:tc>
          <w:tcPr>
            <w:tcW w:w="0" w:type="auto"/>
            <w:vAlign w:val="bottom"/>
          </w:tcPr>
          <w:p w14:paraId="14FB2CD6" w14:textId="1DD7379B"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cs="Arial"/>
                <w:szCs w:val="20"/>
              </w:rPr>
            </w:pPr>
            <w:r w:rsidRPr="00AB0783">
              <w:rPr>
                <w:rFonts w:cs="Arial"/>
                <w:color w:val="000000"/>
                <w:szCs w:val="20"/>
              </w:rPr>
              <w:t>171</w:t>
            </w:r>
            <w:r>
              <w:rPr>
                <w:rFonts w:cs="Arial"/>
                <w:color w:val="000000"/>
                <w:szCs w:val="20"/>
              </w:rPr>
              <w:t xml:space="preserve"> </w:t>
            </w:r>
            <w:r w:rsidRPr="00AB0783">
              <w:rPr>
                <w:rFonts w:cs="Arial"/>
                <w:color w:val="000000"/>
                <w:szCs w:val="20"/>
              </w:rPr>
              <w:t>868,82</w:t>
            </w:r>
          </w:p>
        </w:tc>
      </w:tr>
    </w:tbl>
    <w:p w14:paraId="225060F3" w14:textId="77777777" w:rsidR="00454E77" w:rsidRDefault="00454E77" w:rsidP="00454E77">
      <w:pPr>
        <w:ind w:firstLine="0"/>
        <w:jc w:val="center"/>
        <w:rPr>
          <w:i/>
          <w:iCs/>
          <w:sz w:val="20"/>
          <w:szCs w:val="20"/>
        </w:rPr>
      </w:pPr>
      <w:r w:rsidRPr="00033860">
        <w:rPr>
          <w:i/>
          <w:iCs/>
          <w:sz w:val="20"/>
          <w:szCs w:val="20"/>
        </w:rPr>
        <w:t>Šaltinis: sudaryta autorių</w:t>
      </w:r>
    </w:p>
    <w:p w14:paraId="00A41270" w14:textId="77777777" w:rsidR="00454E77" w:rsidRPr="006E0A53" w:rsidRDefault="00454E77" w:rsidP="00454E77">
      <w:pPr>
        <w:pStyle w:val="Poskyris"/>
      </w:pPr>
      <w:bookmarkStart w:id="320" w:name="_Toc123288127"/>
      <w:bookmarkStart w:id="321" w:name="_Toc159421960"/>
      <w:bookmarkStart w:id="322" w:name="_Toc161166393"/>
      <w:bookmarkStart w:id="323" w:name="_Toc165372638"/>
      <w:bookmarkStart w:id="324" w:name="_Toc171350845"/>
      <w:bookmarkStart w:id="325" w:name="_Toc171350981"/>
      <w:bookmarkStart w:id="326" w:name="_Toc171355467"/>
      <w:bookmarkStart w:id="327" w:name="Skyrius_4_4"/>
      <w:r w:rsidRPr="006E0A53">
        <w:t>4.4. Projekto finansiniai rodikliai</w:t>
      </w:r>
      <w:bookmarkEnd w:id="320"/>
      <w:bookmarkEnd w:id="321"/>
      <w:bookmarkEnd w:id="322"/>
      <w:bookmarkEnd w:id="323"/>
      <w:bookmarkEnd w:id="324"/>
      <w:bookmarkEnd w:id="325"/>
      <w:bookmarkEnd w:id="326"/>
    </w:p>
    <w:p w14:paraId="31640318" w14:textId="77777777" w:rsidR="00454E77" w:rsidRPr="00033860" w:rsidRDefault="00454E77" w:rsidP="00454E77">
      <w:pPr>
        <w:autoSpaceDE w:val="0"/>
        <w:adjustRightInd w:val="0"/>
        <w:rPr>
          <w:rFonts w:cs="Arial"/>
          <w:noProof/>
          <w:lang w:eastAsia="en-GB"/>
        </w:rPr>
      </w:pPr>
      <w:r w:rsidRPr="00033860">
        <w:rPr>
          <w:rFonts w:cs="Arial"/>
          <w:noProof/>
          <w:lang w:eastAsia="en-GB"/>
        </w:rPr>
        <w:t>Viešosioms paslaugoms būdinga tai, kad investavimas siekiant pagerinti viešosios paslaugos kokybinius parametrus lemia viešojo finansavimo poreikio padidėjimą pasibaigus projekto investicijų laikotarpiui. Dėl šios priežasties svarbu įvertinti, ar projekto savininkas yra pajėgus finansuoti projektą ir užtikrinti projekto tęstinumą.</w:t>
      </w:r>
    </w:p>
    <w:p w14:paraId="64D7703B" w14:textId="77777777" w:rsidR="00454E77" w:rsidRPr="006E0A53" w:rsidRDefault="00454E77" w:rsidP="00454E77">
      <w:pPr>
        <w:pStyle w:val="Paantrat"/>
        <w:rPr>
          <w:rFonts w:eastAsiaTheme="majorEastAsia"/>
          <w:noProof/>
        </w:rPr>
      </w:pPr>
      <w:bookmarkStart w:id="328" w:name="_Toc123288128"/>
      <w:bookmarkStart w:id="329" w:name="_Toc159421961"/>
      <w:bookmarkStart w:id="330" w:name="_Toc161166394"/>
      <w:bookmarkStart w:id="331" w:name="_Toc165372639"/>
      <w:bookmarkStart w:id="332" w:name="_Toc171350982"/>
      <w:bookmarkStart w:id="333" w:name="_Toc171355468"/>
      <w:bookmarkEnd w:id="327"/>
      <w:r w:rsidRPr="006E0A53">
        <w:rPr>
          <w:rFonts w:eastAsiaTheme="majorEastAsia"/>
          <w:noProof/>
        </w:rPr>
        <w:t>4.4.1. Investicijų rodikliai</w:t>
      </w:r>
      <w:bookmarkEnd w:id="328"/>
      <w:bookmarkEnd w:id="329"/>
      <w:bookmarkEnd w:id="330"/>
      <w:bookmarkEnd w:id="331"/>
      <w:bookmarkEnd w:id="332"/>
      <w:bookmarkEnd w:id="333"/>
      <w:r w:rsidRPr="006E0A53">
        <w:rPr>
          <w:rFonts w:eastAsiaTheme="majorEastAsia"/>
          <w:noProof/>
        </w:rPr>
        <w:t xml:space="preserve"> </w:t>
      </w:r>
    </w:p>
    <w:p w14:paraId="37F97BD6" w14:textId="77777777" w:rsidR="00454E77" w:rsidRPr="00033860" w:rsidRDefault="00454E77" w:rsidP="00454E77">
      <w:pPr>
        <w:spacing w:before="120" w:after="120" w:line="276" w:lineRule="auto"/>
        <w:rPr>
          <w:rFonts w:cs="Times New Roman"/>
          <w:bCs/>
        </w:rPr>
      </w:pPr>
      <w:r w:rsidRPr="00033860">
        <w:rPr>
          <w:rFonts w:cs="Times New Roman"/>
          <w:bCs/>
        </w:rPr>
        <w:t>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Investicijų FGDV parodo, kokią finansinę naudą padeda gauti projekto investicijos per ataskaitinį laikotarpį ir kiek ši nauda verta šiandien. Jei investicijų FGDV &lt; 0, tai reiškia, kad diskontuoti projekto grynųjų pajamų srautai nepadengia diskontuotų investicijų ir projektas per ataskaitinį laikotarpį finansiškai neatsiperka. Kai investicijų FGDV &lt; 0, įgyvendinant projektą finansinė nauda nebus gauta. Esant teigiamai investicijų FGDV reikšmei, diskontuoti grynųjų pajamų srautai padengia diskontuotas investicijas, todėl projektas yra finansiškai patrauklus investuotojams. Kitaip sakant, jeigu investicijų FGDV teigiama, vadinasi, investicija atsipirks, projekto finansinė nauda padengs investuotų lėšų sumą.</w:t>
      </w:r>
    </w:p>
    <w:p w14:paraId="79108E37" w14:textId="77777777" w:rsidR="00454E77" w:rsidRPr="00033860" w:rsidRDefault="00454E77" w:rsidP="00454E77">
      <w:pPr>
        <w:spacing w:before="120" w:after="120" w:line="276" w:lineRule="auto"/>
        <w:rPr>
          <w:rFonts w:cs="Times New Roman"/>
          <w:bCs/>
        </w:rPr>
      </w:pPr>
      <w:r w:rsidRPr="00033860">
        <w:rPr>
          <w:rFonts w:cs="Times New Roman"/>
          <w:bCs/>
        </w:rPr>
        <w:t xml:space="preserve">Investicijų finansinė vidinė grąžos norma (FVGN) yra antrasis finansinės analizės rodiklis, vertinamas kartu su investicijų FGDV. Esant labai neigiamai investicijų FGDV, investicijų FVGN dažniausiai neskaičiuojama. Jeigu apskaičiuota investicijų FVGN didesnė už rinkoje esančią vidutinę </w:t>
      </w:r>
      <w:r w:rsidRPr="00033860">
        <w:rPr>
          <w:rFonts w:cs="Times New Roman"/>
          <w:bCs/>
        </w:rPr>
        <w:lastRenderedPageBreak/>
        <w:t>palūkanų normą, vadinasi, projekto sukuriama finansinė nauda didesnė už lėšų projektui įgyvendinti skolinimosi išlaidas.</w:t>
      </w:r>
    </w:p>
    <w:p w14:paraId="0B2CCD25" w14:textId="77777777" w:rsidR="00454E77" w:rsidRPr="00033860" w:rsidRDefault="00454E77" w:rsidP="00454E77">
      <w:pPr>
        <w:spacing w:before="120" w:after="120" w:line="276" w:lineRule="auto"/>
        <w:rPr>
          <w:rFonts w:cs="Times New Roman"/>
          <w:bCs/>
        </w:rPr>
      </w:pPr>
      <w:r w:rsidRPr="00033860">
        <w:rPr>
          <w:rFonts w:cs="Times New Roman"/>
          <w:bCs/>
        </w:rPr>
        <w:t xml:space="preserve">Jei iš projekto gaunama pajamų, turi būti paskaičiuotas finansinis naudos ir išlaidų santykis (FNIS). Kadangi projektas pajamų negeneruos, tai šis rodiklis nebus skaičiuojamas. </w:t>
      </w:r>
    </w:p>
    <w:p w14:paraId="50C6ACFA" w14:textId="77777777" w:rsidR="00454E77" w:rsidRPr="00033860" w:rsidRDefault="00454E77" w:rsidP="00454E77">
      <w:pPr>
        <w:spacing w:before="120" w:after="120" w:line="276" w:lineRule="auto"/>
        <w:rPr>
          <w:rFonts w:cs="Times New Roman"/>
          <w:bCs/>
        </w:rPr>
      </w:pPr>
      <w:r w:rsidRPr="00033860">
        <w:rPr>
          <w:rFonts w:cs="Times New Roman"/>
          <w:bCs/>
        </w:rPr>
        <w:t>Skaičiuojant FGDV gautas pinigų srautas yra diskontuojamas 4 proc. diskonto norma.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taikoma 4,</w:t>
      </w:r>
      <w:r>
        <w:rPr>
          <w:rFonts w:cs="Times New Roman"/>
          <w:bCs/>
        </w:rPr>
        <w:t>00</w:t>
      </w:r>
      <w:r w:rsidRPr="00033860">
        <w:rPr>
          <w:rFonts w:cs="Times New Roman"/>
          <w:bCs/>
        </w:rPr>
        <w:t xml:space="preserve"> proc. FDN.</w:t>
      </w:r>
    </w:p>
    <w:p w14:paraId="70E6D6EC" w14:textId="77777777" w:rsidR="00454E77" w:rsidRDefault="00454E77" w:rsidP="00454E77">
      <w:pPr>
        <w:spacing w:before="120" w:after="120" w:line="276" w:lineRule="auto"/>
        <w:rPr>
          <w:rFonts w:cs="Times New Roman"/>
          <w:bCs/>
        </w:rPr>
      </w:pPr>
      <w:r w:rsidRPr="00033860">
        <w:rPr>
          <w:rFonts w:cs="Times New Roman"/>
          <w:bCs/>
        </w:rPr>
        <w:t xml:space="preserve">Investicijų finansiniai rodikliai yra skaičiuojami remiantis Centrinės projekto valdymo agentūros (CPVA) rekomendacijomis (finansinių rodiklių skaičiuokle). </w:t>
      </w:r>
    </w:p>
    <w:p w14:paraId="17F8B3B1" w14:textId="77777777" w:rsidR="00AB0783" w:rsidRDefault="00AB0783" w:rsidP="00AB0783">
      <w:pPr>
        <w:pStyle w:val="Pagrindinis"/>
        <w:rPr>
          <w:lang w:eastAsia="en-GB"/>
        </w:rPr>
      </w:pPr>
      <w:r w:rsidRPr="00DD3811">
        <w:rPr>
          <w:lang w:eastAsia="en-GB"/>
        </w:rPr>
        <w:t>Kadangi iš projekto tiesiogiai iš vartotojų pajamų negaunama, finansinis naudos ir išlaidų santykis (FNIS) neskaičiuojamas.</w:t>
      </w:r>
    </w:p>
    <w:p w14:paraId="7872A527" w14:textId="77777777" w:rsidR="00AB0783" w:rsidRPr="00DD3811" w:rsidRDefault="00AB0783" w:rsidP="00AB0783">
      <w:pPr>
        <w:keepNext/>
        <w:keepLines/>
        <w:ind w:firstLine="0"/>
        <w:jc w:val="center"/>
        <w:outlineLvl w:val="4"/>
        <w:rPr>
          <w:rFonts w:eastAsiaTheme="majorEastAsia" w:cstheme="majorBidi"/>
          <w:b/>
          <w:color w:val="1F3864" w:themeColor="accent1" w:themeShade="80"/>
        </w:rPr>
      </w:pPr>
      <w:bookmarkStart w:id="334" w:name="_Toc142569527"/>
      <w:bookmarkStart w:id="335" w:name="_Toc160538168"/>
      <w:bookmarkStart w:id="336" w:name="_Toc170137121"/>
      <w:bookmarkStart w:id="337" w:name="_Toc170413875"/>
      <w:bookmarkStart w:id="338" w:name="_Toc172626606"/>
      <w:bookmarkStart w:id="339" w:name="_Toc181122730"/>
      <w:bookmarkStart w:id="340" w:name="_Toc123288129"/>
      <w:bookmarkStart w:id="341" w:name="_Toc159421962"/>
      <w:bookmarkStart w:id="342" w:name="_Toc161166395"/>
      <w:bookmarkStart w:id="343" w:name="_Toc165372640"/>
      <w:bookmarkStart w:id="344" w:name="_Toc171350983"/>
      <w:bookmarkStart w:id="345" w:name="_Toc171355469"/>
      <w:r w:rsidRPr="00DD3811">
        <w:rPr>
          <w:rFonts w:eastAsiaTheme="majorEastAsia" w:cstheme="majorBidi"/>
          <w:b/>
          <w:color w:val="1F3864" w:themeColor="accent1" w:themeShade="80"/>
        </w:rPr>
        <w:t>4.4.1.1 lentelė. Projekto finansinių rodiklių palyginimas</w:t>
      </w:r>
      <w:bookmarkEnd w:id="334"/>
      <w:bookmarkEnd w:id="335"/>
      <w:bookmarkEnd w:id="336"/>
      <w:bookmarkEnd w:id="337"/>
      <w:bookmarkEnd w:id="338"/>
      <w:bookmarkEnd w:id="339"/>
    </w:p>
    <w:tbl>
      <w:tblPr>
        <w:tblStyle w:val="3sraolentel1parykinimas17"/>
        <w:tblW w:w="0" w:type="auto"/>
        <w:tblInd w:w="0" w:type="dxa"/>
        <w:tblLook w:val="04A0" w:firstRow="1" w:lastRow="0" w:firstColumn="1" w:lastColumn="0" w:noHBand="0" w:noVBand="1"/>
      </w:tblPr>
      <w:tblGrid>
        <w:gridCol w:w="562"/>
        <w:gridCol w:w="6379"/>
        <w:gridCol w:w="1306"/>
        <w:gridCol w:w="1573"/>
      </w:tblGrid>
      <w:tr w:rsidR="00AB0783" w:rsidRPr="00DD3811" w14:paraId="79876FA2" w14:textId="77777777" w:rsidTr="00AB078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62" w:type="dxa"/>
            <w:hideMark/>
          </w:tcPr>
          <w:p w14:paraId="6136BCDB" w14:textId="77777777" w:rsidR="00AB0783" w:rsidRPr="00DD3811" w:rsidRDefault="00AB0783" w:rsidP="009E5D1B">
            <w:pPr>
              <w:ind w:firstLine="0"/>
              <w:jc w:val="center"/>
              <w:rPr>
                <w:rFonts w:eastAsia="Times New Roman" w:cs="Arial"/>
                <w:noProof/>
                <w:color w:val="FFFFFF" w:themeColor="background1"/>
                <w:szCs w:val="20"/>
                <w:lang w:eastAsia="en-GB"/>
              </w:rPr>
            </w:pPr>
            <w:r w:rsidRPr="00DD3811">
              <w:rPr>
                <w:rFonts w:eastAsia="Times New Roman" w:cs="Arial"/>
                <w:noProof/>
                <w:color w:val="FFFFFF" w:themeColor="background1"/>
                <w:szCs w:val="20"/>
                <w:lang w:eastAsia="en-GB"/>
              </w:rPr>
              <w:t>Eil. Nr.</w:t>
            </w:r>
          </w:p>
        </w:tc>
        <w:tc>
          <w:tcPr>
            <w:tcW w:w="6379" w:type="dxa"/>
            <w:hideMark/>
          </w:tcPr>
          <w:p w14:paraId="0BF808C9" w14:textId="77777777" w:rsidR="00AB0783" w:rsidRPr="00DD3811" w:rsidRDefault="00AB0783" w:rsidP="009E5D1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noProof/>
                <w:color w:val="FFFFFF" w:themeColor="background1"/>
                <w:szCs w:val="20"/>
                <w:lang w:eastAsia="en-GB"/>
              </w:rPr>
            </w:pPr>
            <w:r w:rsidRPr="00DD3811">
              <w:rPr>
                <w:rFonts w:eastAsia="Times New Roman" w:cs="Arial"/>
                <w:noProof/>
                <w:color w:val="FFFFFF" w:themeColor="background1"/>
                <w:szCs w:val="20"/>
                <w:lang w:eastAsia="en-GB"/>
              </w:rPr>
              <w:t>Finansiniai rodikliai</w:t>
            </w:r>
          </w:p>
        </w:tc>
        <w:tc>
          <w:tcPr>
            <w:tcW w:w="1306" w:type="dxa"/>
            <w:hideMark/>
          </w:tcPr>
          <w:p w14:paraId="4575B7B9" w14:textId="0E27F80E" w:rsidR="00AB0783" w:rsidRPr="00AB0783" w:rsidRDefault="00AB0783" w:rsidP="009E5D1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noProof/>
                <w:color w:val="FFFFFF" w:themeColor="background1"/>
                <w:szCs w:val="20"/>
                <w:lang w:val="pt-PT" w:eastAsia="en-GB"/>
              </w:rPr>
            </w:pPr>
            <w:r w:rsidRPr="00AB0783">
              <w:rPr>
                <w:rFonts w:eastAsia="Times New Roman" w:cs="Arial"/>
                <w:noProof/>
                <w:color w:val="FFFFFF" w:themeColor="background1"/>
                <w:szCs w:val="20"/>
                <w:lang w:val="pt-PT" w:eastAsia="en-GB"/>
              </w:rPr>
              <w:t>Alternatyva „</w:t>
            </w:r>
            <w:r>
              <w:rPr>
                <w:rFonts w:eastAsia="Times New Roman" w:cs="Arial"/>
                <w:noProof/>
                <w:color w:val="FFFFFF" w:themeColor="background1"/>
                <w:szCs w:val="20"/>
                <w:lang w:val="pt-PT" w:eastAsia="en-GB"/>
              </w:rPr>
              <w:t>A.1.</w:t>
            </w:r>
            <w:r w:rsidRPr="00AB0783">
              <w:rPr>
                <w:rFonts w:eastAsia="Times New Roman" w:cs="Arial"/>
                <w:noProof/>
                <w:color w:val="FFFFFF" w:themeColor="background1"/>
                <w:szCs w:val="20"/>
                <w:lang w:val="pt-PT" w:eastAsia="en-GB"/>
              </w:rPr>
              <w:t>“</w:t>
            </w:r>
          </w:p>
        </w:tc>
        <w:tc>
          <w:tcPr>
            <w:tcW w:w="1573" w:type="dxa"/>
          </w:tcPr>
          <w:p w14:paraId="50161098" w14:textId="77777777" w:rsidR="00AB0783" w:rsidRPr="00DD3811" w:rsidRDefault="00AB0783" w:rsidP="009E5D1B">
            <w:pPr>
              <w:ind w:firstLine="27"/>
              <w:jc w:val="center"/>
              <w:cnfStyle w:val="100000000000" w:firstRow="1" w:lastRow="0" w:firstColumn="0" w:lastColumn="0" w:oddVBand="0" w:evenVBand="0" w:oddHBand="0" w:evenHBand="0" w:firstRowFirstColumn="0" w:firstRowLastColumn="0" w:lastRowFirstColumn="0" w:lastRowLastColumn="0"/>
              <w:rPr>
                <w:rFonts w:eastAsia="Times New Roman" w:cs="Arial"/>
                <w:noProof/>
                <w:color w:val="FFFFFF" w:themeColor="background1"/>
                <w:szCs w:val="20"/>
                <w:lang w:eastAsia="en-GB"/>
              </w:rPr>
            </w:pPr>
            <w:r w:rsidRPr="00DD3811">
              <w:rPr>
                <w:rFonts w:eastAsia="Times New Roman" w:cs="Arial"/>
                <w:noProof/>
                <w:color w:val="FFFFFF" w:themeColor="background1"/>
                <w:szCs w:val="20"/>
                <w:lang w:eastAsia="en-GB"/>
              </w:rPr>
              <w:t>Išvada</w:t>
            </w:r>
          </w:p>
        </w:tc>
      </w:tr>
      <w:tr w:rsidR="00AB0783" w:rsidRPr="00DD3811" w14:paraId="21ADFCE0" w14:textId="77777777" w:rsidTr="007D06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5BD28094"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1.</w:t>
            </w:r>
          </w:p>
        </w:tc>
        <w:tc>
          <w:tcPr>
            <w:tcW w:w="6379" w:type="dxa"/>
            <w:hideMark/>
          </w:tcPr>
          <w:p w14:paraId="359B88CE" w14:textId="77777777"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val="pt-PT" w:eastAsia="en-GB"/>
              </w:rPr>
            </w:pPr>
            <w:r w:rsidRPr="00AB0783">
              <w:rPr>
                <w:rFonts w:eastAsia="Times New Roman" w:cs="Arial"/>
                <w:color w:val="000000"/>
                <w:szCs w:val="20"/>
                <w:lang w:val="pt-PT" w:eastAsia="lt-LT"/>
              </w:rPr>
              <w:t>Finansinė grynoji dabartinė vertė investicijoms - FGDV(I)</w:t>
            </w:r>
          </w:p>
        </w:tc>
        <w:tc>
          <w:tcPr>
            <w:tcW w:w="1306" w:type="dxa"/>
            <w:vAlign w:val="center"/>
          </w:tcPr>
          <w:p w14:paraId="2ADC14EA" w14:textId="498F16DB" w:rsidR="00AB0783" w:rsidRPr="00AB0783" w:rsidRDefault="00AB0783" w:rsidP="00AB07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 xml:space="preserve">-2 930 549 </w:t>
            </w:r>
          </w:p>
        </w:tc>
        <w:tc>
          <w:tcPr>
            <w:tcW w:w="1573" w:type="dxa"/>
            <w:vMerge w:val="restart"/>
            <w:vAlign w:val="center"/>
          </w:tcPr>
          <w:p w14:paraId="581B12D3" w14:textId="77777777" w:rsidR="00AB0783" w:rsidRPr="00DD3811" w:rsidRDefault="00AB0783" w:rsidP="007D069E">
            <w:pPr>
              <w:ind w:firstLine="27"/>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DD3811">
              <w:rPr>
                <w:rFonts w:eastAsia="Times New Roman" w:cs="Arial"/>
                <w:b/>
                <w:noProof/>
                <w:szCs w:val="20"/>
                <w:lang w:eastAsia="en-GB"/>
              </w:rPr>
              <w:t>Investicijų projekto alternatyva yra finansiškai neatsiperkanti</w:t>
            </w:r>
          </w:p>
        </w:tc>
      </w:tr>
      <w:tr w:rsidR="00AB0783" w:rsidRPr="00DD3811" w14:paraId="4EF731AB" w14:textId="77777777" w:rsidTr="00AB0783">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ACAD725"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2.</w:t>
            </w:r>
          </w:p>
        </w:tc>
        <w:tc>
          <w:tcPr>
            <w:tcW w:w="6379" w:type="dxa"/>
            <w:hideMark/>
          </w:tcPr>
          <w:p w14:paraId="42AC8201" w14:textId="77777777"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val="pt-PT" w:eastAsia="en-GB"/>
              </w:rPr>
            </w:pPr>
            <w:r w:rsidRPr="00AB0783">
              <w:rPr>
                <w:rFonts w:eastAsia="Times New Roman" w:cs="Arial"/>
                <w:color w:val="000000"/>
                <w:szCs w:val="20"/>
                <w:lang w:val="pt-PT" w:eastAsia="lt-LT"/>
              </w:rPr>
              <w:t>Finansinė vidinė grąžos norma investicijoms - FVGN(I)</w:t>
            </w:r>
          </w:p>
        </w:tc>
        <w:tc>
          <w:tcPr>
            <w:tcW w:w="1306" w:type="dxa"/>
            <w:vAlign w:val="center"/>
          </w:tcPr>
          <w:p w14:paraId="6F0438DA" w14:textId="10D97DA9" w:rsidR="00AB0783" w:rsidRPr="00AB0783" w:rsidRDefault="00AB0783" w:rsidP="00AB078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-7,74%</w:t>
            </w:r>
          </w:p>
        </w:tc>
        <w:tc>
          <w:tcPr>
            <w:tcW w:w="1573" w:type="dxa"/>
            <w:vMerge/>
          </w:tcPr>
          <w:p w14:paraId="1005F0E5" w14:textId="77777777" w:rsidR="00AB0783" w:rsidRPr="00DD3811" w:rsidRDefault="00AB0783" w:rsidP="00AB0783">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eastAsia="en-GB"/>
              </w:rPr>
            </w:pPr>
          </w:p>
        </w:tc>
      </w:tr>
      <w:tr w:rsidR="00AB0783" w:rsidRPr="00DD3811" w14:paraId="586B40F2" w14:textId="77777777" w:rsidTr="00AB07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7C395AF6"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3.</w:t>
            </w:r>
          </w:p>
        </w:tc>
        <w:tc>
          <w:tcPr>
            <w:tcW w:w="6379" w:type="dxa"/>
            <w:hideMark/>
          </w:tcPr>
          <w:p w14:paraId="3F639A82" w14:textId="77777777"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val="pt-PT" w:eastAsia="en-GB"/>
              </w:rPr>
            </w:pPr>
            <w:r w:rsidRPr="00AB0783">
              <w:rPr>
                <w:rFonts w:eastAsia="Times New Roman" w:cs="Arial"/>
                <w:color w:val="000000"/>
                <w:szCs w:val="20"/>
                <w:lang w:val="pt-PT" w:eastAsia="lt-LT"/>
              </w:rPr>
              <w:t>Finansinė modifikuota vidinė grąžos norma investicijoms - FMVGN(I)</w:t>
            </w:r>
          </w:p>
        </w:tc>
        <w:tc>
          <w:tcPr>
            <w:tcW w:w="1306" w:type="dxa"/>
            <w:vAlign w:val="bottom"/>
          </w:tcPr>
          <w:p w14:paraId="6B2B52E7" w14:textId="2D7B3DD7" w:rsidR="00AB0783" w:rsidRPr="00AB0783" w:rsidRDefault="00AB0783" w:rsidP="00AB07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-5,32%</w:t>
            </w:r>
          </w:p>
        </w:tc>
        <w:tc>
          <w:tcPr>
            <w:tcW w:w="1573" w:type="dxa"/>
            <w:vMerge/>
          </w:tcPr>
          <w:p w14:paraId="78185469" w14:textId="77777777" w:rsidR="00AB0783" w:rsidRPr="00DD3811" w:rsidRDefault="00AB0783" w:rsidP="00AB0783">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eastAsia="en-GB"/>
              </w:rPr>
            </w:pPr>
          </w:p>
        </w:tc>
      </w:tr>
      <w:tr w:rsidR="00AB0783" w:rsidRPr="00DD3811" w14:paraId="1B38D206" w14:textId="77777777" w:rsidTr="00AB0783">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25A7670C"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4.</w:t>
            </w:r>
          </w:p>
        </w:tc>
        <w:tc>
          <w:tcPr>
            <w:tcW w:w="6379" w:type="dxa"/>
            <w:hideMark/>
          </w:tcPr>
          <w:p w14:paraId="2228F6C0" w14:textId="77777777"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val="pt-PT" w:eastAsia="en-GB"/>
              </w:rPr>
            </w:pPr>
            <w:r w:rsidRPr="00AB0783">
              <w:rPr>
                <w:rFonts w:eastAsia="Times New Roman" w:cs="Arial"/>
                <w:color w:val="000000"/>
                <w:szCs w:val="20"/>
                <w:lang w:val="pt-PT" w:eastAsia="lt-LT"/>
              </w:rPr>
              <w:t>Finansinis naudos ir išlaidų santykis - FNIS</w:t>
            </w:r>
          </w:p>
        </w:tc>
        <w:tc>
          <w:tcPr>
            <w:tcW w:w="1306" w:type="dxa"/>
            <w:vAlign w:val="center"/>
          </w:tcPr>
          <w:p w14:paraId="188EF0DB" w14:textId="5B13F5F0" w:rsidR="00AB0783" w:rsidRPr="00AB0783" w:rsidRDefault="00AB0783" w:rsidP="00AB078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 xml:space="preserve">0,00 </w:t>
            </w:r>
          </w:p>
        </w:tc>
        <w:tc>
          <w:tcPr>
            <w:tcW w:w="1573" w:type="dxa"/>
            <w:vMerge/>
          </w:tcPr>
          <w:p w14:paraId="3EBAB183" w14:textId="77777777" w:rsidR="00AB0783" w:rsidRPr="00DD3811" w:rsidRDefault="00AB0783" w:rsidP="00AB0783">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eastAsia="en-GB"/>
              </w:rPr>
            </w:pPr>
          </w:p>
        </w:tc>
      </w:tr>
      <w:tr w:rsidR="00AB0783" w:rsidRPr="00DD3811" w14:paraId="0E4D08A1" w14:textId="77777777" w:rsidTr="00AB07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6DDDE514"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5.</w:t>
            </w:r>
          </w:p>
        </w:tc>
        <w:tc>
          <w:tcPr>
            <w:tcW w:w="6379" w:type="dxa"/>
            <w:hideMark/>
          </w:tcPr>
          <w:p w14:paraId="74AA133E" w14:textId="77777777"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eastAsia="en-GB"/>
              </w:rPr>
            </w:pPr>
            <w:proofErr w:type="spellStart"/>
            <w:r w:rsidRPr="00AB0783">
              <w:rPr>
                <w:rFonts w:eastAsia="Times New Roman" w:cs="Arial"/>
                <w:color w:val="000000"/>
                <w:szCs w:val="20"/>
                <w:lang w:eastAsia="lt-LT"/>
              </w:rPr>
              <w:t>Finansinis</w:t>
            </w:r>
            <w:proofErr w:type="spellEnd"/>
            <w:r w:rsidRPr="00AB0783">
              <w:rPr>
                <w:rFonts w:eastAsia="Times New Roman" w:cs="Arial"/>
                <w:color w:val="000000"/>
                <w:szCs w:val="20"/>
                <w:lang w:eastAsia="lt-LT"/>
              </w:rPr>
              <w:t xml:space="preserve"> </w:t>
            </w:r>
            <w:proofErr w:type="spellStart"/>
            <w:r w:rsidRPr="00AB0783">
              <w:rPr>
                <w:rFonts w:eastAsia="Times New Roman" w:cs="Arial"/>
                <w:color w:val="000000"/>
                <w:szCs w:val="20"/>
                <w:lang w:eastAsia="lt-LT"/>
              </w:rPr>
              <w:t>gyvybingumas</w:t>
            </w:r>
            <w:proofErr w:type="spellEnd"/>
            <w:r w:rsidRPr="00AB0783">
              <w:rPr>
                <w:rFonts w:eastAsia="Times New Roman" w:cs="Arial"/>
                <w:color w:val="000000"/>
                <w:szCs w:val="20"/>
                <w:lang w:eastAsia="lt-LT"/>
              </w:rPr>
              <w:t xml:space="preserve"> (</w:t>
            </w:r>
            <w:proofErr w:type="spellStart"/>
            <w:r w:rsidRPr="00AB0783">
              <w:rPr>
                <w:rFonts w:eastAsia="Times New Roman" w:cs="Arial"/>
                <w:color w:val="000000"/>
                <w:szCs w:val="20"/>
                <w:lang w:eastAsia="lt-LT"/>
              </w:rPr>
              <w:t>realiąja</w:t>
            </w:r>
            <w:proofErr w:type="spellEnd"/>
            <w:r w:rsidRPr="00AB0783">
              <w:rPr>
                <w:rFonts w:eastAsia="Times New Roman" w:cs="Arial"/>
                <w:color w:val="000000"/>
                <w:szCs w:val="20"/>
                <w:lang w:eastAsia="lt-LT"/>
              </w:rPr>
              <w:t xml:space="preserve"> </w:t>
            </w:r>
            <w:proofErr w:type="spellStart"/>
            <w:r w:rsidRPr="00AB0783">
              <w:rPr>
                <w:rFonts w:eastAsia="Times New Roman" w:cs="Arial"/>
                <w:color w:val="000000"/>
                <w:szCs w:val="20"/>
                <w:lang w:eastAsia="lt-LT"/>
              </w:rPr>
              <w:t>išraiška</w:t>
            </w:r>
            <w:proofErr w:type="spellEnd"/>
            <w:r w:rsidRPr="00AB0783">
              <w:rPr>
                <w:rFonts w:eastAsia="Times New Roman" w:cs="Arial"/>
                <w:color w:val="000000"/>
                <w:szCs w:val="20"/>
                <w:lang w:eastAsia="lt-LT"/>
              </w:rPr>
              <w:t>)</w:t>
            </w:r>
          </w:p>
        </w:tc>
        <w:tc>
          <w:tcPr>
            <w:tcW w:w="1306" w:type="dxa"/>
            <w:vAlign w:val="center"/>
          </w:tcPr>
          <w:p w14:paraId="3BB12FC7" w14:textId="258D2F06" w:rsidR="00AB0783" w:rsidRPr="00AB0783" w:rsidRDefault="00AB0783" w:rsidP="00AB07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lt-LT"/>
              </w:rPr>
            </w:pPr>
            <w:r>
              <w:rPr>
                <w:rFonts w:cs="Arial"/>
                <w:color w:val="auto"/>
                <w:szCs w:val="20"/>
              </w:rPr>
              <w:t>Taip</w:t>
            </w:r>
          </w:p>
        </w:tc>
        <w:tc>
          <w:tcPr>
            <w:tcW w:w="1573" w:type="dxa"/>
            <w:vMerge/>
          </w:tcPr>
          <w:p w14:paraId="1782C1AF" w14:textId="77777777" w:rsidR="00AB0783" w:rsidRPr="00DD3811" w:rsidRDefault="00AB0783" w:rsidP="00AB0783">
            <w:pPr>
              <w:ind w:left="720" w:firstLine="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GB"/>
              </w:rPr>
            </w:pPr>
          </w:p>
        </w:tc>
      </w:tr>
      <w:tr w:rsidR="00AB0783" w:rsidRPr="00DD3811" w14:paraId="704EEEE5" w14:textId="77777777" w:rsidTr="00AB0783">
        <w:trPr>
          <w:trHeight w:val="20"/>
        </w:trPr>
        <w:tc>
          <w:tcPr>
            <w:cnfStyle w:val="001000000000" w:firstRow="0" w:lastRow="0" w:firstColumn="1" w:lastColumn="0" w:oddVBand="0" w:evenVBand="0" w:oddHBand="0" w:evenHBand="0" w:firstRowFirstColumn="0" w:firstRowLastColumn="0" w:lastRowFirstColumn="0" w:lastRowLastColumn="0"/>
            <w:tcW w:w="562" w:type="dxa"/>
            <w:hideMark/>
          </w:tcPr>
          <w:p w14:paraId="3C50C8DA"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6.</w:t>
            </w:r>
          </w:p>
        </w:tc>
        <w:tc>
          <w:tcPr>
            <w:tcW w:w="6379" w:type="dxa"/>
            <w:hideMark/>
          </w:tcPr>
          <w:p w14:paraId="02362E2A" w14:textId="77777777"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val="pt-PT" w:eastAsia="en-GB"/>
              </w:rPr>
            </w:pPr>
            <w:r w:rsidRPr="00AB0783">
              <w:rPr>
                <w:rFonts w:eastAsia="Times New Roman" w:cs="Arial"/>
                <w:color w:val="000000"/>
                <w:szCs w:val="20"/>
                <w:lang w:val="pt-PT" w:eastAsia="lt-LT"/>
              </w:rPr>
              <w:t>Finansinė grynoji dabartinė vertė kapitalui - FGDV(K)</w:t>
            </w:r>
          </w:p>
        </w:tc>
        <w:tc>
          <w:tcPr>
            <w:tcW w:w="1306" w:type="dxa"/>
            <w:vAlign w:val="center"/>
          </w:tcPr>
          <w:p w14:paraId="7395A200" w14:textId="728EF992" w:rsidR="00AB0783" w:rsidRPr="00AB0783" w:rsidRDefault="00AB0783" w:rsidP="00AB078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 xml:space="preserve">96 515 </w:t>
            </w:r>
          </w:p>
        </w:tc>
        <w:tc>
          <w:tcPr>
            <w:tcW w:w="1573" w:type="dxa"/>
            <w:vMerge/>
          </w:tcPr>
          <w:p w14:paraId="4E74C24D" w14:textId="77777777" w:rsidR="00AB0783" w:rsidRPr="00DD3811" w:rsidRDefault="00AB0783" w:rsidP="00AB0783">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eastAsia="en-GB"/>
              </w:rPr>
            </w:pPr>
          </w:p>
        </w:tc>
      </w:tr>
      <w:tr w:rsidR="00AB0783" w:rsidRPr="00DD3811" w14:paraId="56505CA5" w14:textId="77777777" w:rsidTr="00AB07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1F2FA8C0"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7.</w:t>
            </w:r>
          </w:p>
        </w:tc>
        <w:tc>
          <w:tcPr>
            <w:tcW w:w="6379" w:type="dxa"/>
          </w:tcPr>
          <w:p w14:paraId="02699469" w14:textId="77777777"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pt-PT" w:eastAsia="lt-LT"/>
              </w:rPr>
            </w:pPr>
            <w:r w:rsidRPr="00AB0783">
              <w:rPr>
                <w:rFonts w:eastAsia="Times New Roman" w:cs="Arial"/>
                <w:color w:val="000000"/>
                <w:szCs w:val="20"/>
                <w:lang w:val="pt-PT" w:eastAsia="lt-LT"/>
              </w:rPr>
              <w:t>Finansinė vidinė grąžos norma kapitalui - FVGN(K)</w:t>
            </w:r>
          </w:p>
        </w:tc>
        <w:tc>
          <w:tcPr>
            <w:tcW w:w="1306" w:type="dxa"/>
            <w:vAlign w:val="center"/>
          </w:tcPr>
          <w:p w14:paraId="276F3EA3" w14:textId="67394891" w:rsidR="00AB0783" w:rsidRPr="00AB0783" w:rsidRDefault="00AB0783" w:rsidP="00AB07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5,14%</w:t>
            </w:r>
          </w:p>
        </w:tc>
        <w:tc>
          <w:tcPr>
            <w:tcW w:w="1573" w:type="dxa"/>
            <w:vMerge/>
          </w:tcPr>
          <w:p w14:paraId="71C2B96C" w14:textId="77777777" w:rsidR="00AB0783" w:rsidRPr="00DD3811" w:rsidRDefault="00AB0783" w:rsidP="00AB0783">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eastAsia="en-GB"/>
              </w:rPr>
            </w:pPr>
          </w:p>
        </w:tc>
      </w:tr>
      <w:tr w:rsidR="00AB0783" w:rsidRPr="00DD3811" w14:paraId="20C0D9CB" w14:textId="77777777" w:rsidTr="00AB0783">
        <w:trPr>
          <w:trHeight w:val="20"/>
        </w:trPr>
        <w:tc>
          <w:tcPr>
            <w:cnfStyle w:val="001000000000" w:firstRow="0" w:lastRow="0" w:firstColumn="1" w:lastColumn="0" w:oddVBand="0" w:evenVBand="0" w:oddHBand="0" w:evenHBand="0" w:firstRowFirstColumn="0" w:firstRowLastColumn="0" w:lastRowFirstColumn="0" w:lastRowLastColumn="0"/>
            <w:tcW w:w="562" w:type="dxa"/>
          </w:tcPr>
          <w:p w14:paraId="63FEFBE2"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8.</w:t>
            </w:r>
          </w:p>
        </w:tc>
        <w:tc>
          <w:tcPr>
            <w:tcW w:w="6379" w:type="dxa"/>
          </w:tcPr>
          <w:p w14:paraId="4811F40E" w14:textId="77777777" w:rsidR="00AB0783" w:rsidRPr="00AB0783" w:rsidRDefault="00AB0783" w:rsidP="00AB0783">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pt-PT" w:eastAsia="lt-LT"/>
              </w:rPr>
            </w:pPr>
            <w:r w:rsidRPr="00AB0783">
              <w:rPr>
                <w:rFonts w:eastAsia="Times New Roman" w:cs="Arial"/>
                <w:color w:val="000000"/>
                <w:szCs w:val="20"/>
                <w:lang w:val="pt-PT" w:eastAsia="lt-LT"/>
              </w:rPr>
              <w:t>Finansinė modifikuota vidinė grąžos norma kapitalui - FMVGN(K)</w:t>
            </w:r>
          </w:p>
        </w:tc>
        <w:tc>
          <w:tcPr>
            <w:tcW w:w="1306" w:type="dxa"/>
            <w:vAlign w:val="bottom"/>
          </w:tcPr>
          <w:p w14:paraId="73CC8696" w14:textId="2A677BFC" w:rsidR="00AB0783" w:rsidRPr="00AB0783" w:rsidRDefault="00AB0783" w:rsidP="00AB078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4,81%</w:t>
            </w:r>
          </w:p>
        </w:tc>
        <w:tc>
          <w:tcPr>
            <w:tcW w:w="1573" w:type="dxa"/>
            <w:vMerge/>
          </w:tcPr>
          <w:p w14:paraId="08542FF7" w14:textId="77777777" w:rsidR="00AB0783" w:rsidRPr="00DD3811" w:rsidRDefault="00AB0783" w:rsidP="00AB0783">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Cs w:val="20"/>
                <w:lang w:eastAsia="en-GB"/>
              </w:rPr>
            </w:pPr>
          </w:p>
        </w:tc>
      </w:tr>
      <w:tr w:rsidR="00AB0783" w:rsidRPr="00DD3811" w14:paraId="7C7270AF" w14:textId="77777777" w:rsidTr="00AB07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21700A07" w14:textId="77777777" w:rsidR="00AB0783" w:rsidRPr="00DD3811" w:rsidRDefault="00AB0783" w:rsidP="00AB0783">
            <w:pPr>
              <w:ind w:firstLine="0"/>
              <w:rPr>
                <w:rFonts w:eastAsia="Times New Roman" w:cs="Arial"/>
                <w:noProof/>
                <w:szCs w:val="20"/>
                <w:lang w:eastAsia="en-GB"/>
              </w:rPr>
            </w:pPr>
            <w:r w:rsidRPr="00DD3811">
              <w:rPr>
                <w:rFonts w:eastAsia="Times New Roman" w:cs="Arial"/>
                <w:noProof/>
                <w:szCs w:val="20"/>
                <w:lang w:eastAsia="en-GB"/>
              </w:rPr>
              <w:t>9.</w:t>
            </w:r>
          </w:p>
        </w:tc>
        <w:tc>
          <w:tcPr>
            <w:tcW w:w="6379" w:type="dxa"/>
          </w:tcPr>
          <w:p w14:paraId="623D7ABE" w14:textId="77777777" w:rsidR="00AB0783" w:rsidRPr="00AB0783" w:rsidRDefault="00AB0783" w:rsidP="00AB0783">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pt-PT" w:eastAsia="lt-LT"/>
              </w:rPr>
            </w:pPr>
            <w:r w:rsidRPr="00AB0783">
              <w:rPr>
                <w:rFonts w:eastAsia="Times New Roman" w:cs="Arial"/>
                <w:color w:val="000000"/>
                <w:szCs w:val="20"/>
                <w:lang w:val="pt-PT" w:eastAsia="lt-LT"/>
              </w:rPr>
              <w:t>Viešųjų ir privačių šaltinių lėšos</w:t>
            </w:r>
          </w:p>
        </w:tc>
        <w:tc>
          <w:tcPr>
            <w:tcW w:w="1306" w:type="dxa"/>
            <w:vAlign w:val="bottom"/>
          </w:tcPr>
          <w:p w14:paraId="6B9AC0CF" w14:textId="7265EB77" w:rsidR="00AB0783" w:rsidRPr="00AB0783" w:rsidRDefault="00AB0783" w:rsidP="00AB078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lt-LT"/>
              </w:rPr>
            </w:pPr>
            <w:r w:rsidRPr="00AB0783">
              <w:rPr>
                <w:rFonts w:cs="Arial"/>
                <w:color w:val="auto"/>
                <w:szCs w:val="20"/>
              </w:rPr>
              <w:t>3 783 396</w:t>
            </w:r>
          </w:p>
        </w:tc>
        <w:tc>
          <w:tcPr>
            <w:tcW w:w="1573" w:type="dxa"/>
            <w:vMerge/>
          </w:tcPr>
          <w:p w14:paraId="2AE3B3B8" w14:textId="77777777" w:rsidR="00AB0783" w:rsidRPr="00DD3811" w:rsidRDefault="00AB0783" w:rsidP="00AB0783">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Cs w:val="20"/>
                <w:lang w:eastAsia="en-GB"/>
              </w:rPr>
            </w:pPr>
          </w:p>
        </w:tc>
      </w:tr>
    </w:tbl>
    <w:p w14:paraId="4D59D76B" w14:textId="77777777" w:rsidR="00AB0783" w:rsidRPr="00DD3811" w:rsidRDefault="00AB0783" w:rsidP="00AB0783">
      <w:pPr>
        <w:autoSpaceDE w:val="0"/>
        <w:adjustRightInd w:val="0"/>
        <w:jc w:val="center"/>
        <w:rPr>
          <w:rFonts w:cs="Arial"/>
          <w:i/>
          <w:iCs/>
          <w:noProof/>
          <w:sz w:val="20"/>
          <w:szCs w:val="20"/>
          <w:lang w:eastAsia="en-GB"/>
        </w:rPr>
      </w:pPr>
      <w:r w:rsidRPr="00DD3811">
        <w:rPr>
          <w:rFonts w:cs="Arial"/>
          <w:i/>
          <w:iCs/>
          <w:noProof/>
          <w:sz w:val="20"/>
          <w:szCs w:val="20"/>
          <w:lang w:eastAsia="en-GB"/>
        </w:rPr>
        <w:t>Šaltinis: sudaryta autorių</w:t>
      </w:r>
    </w:p>
    <w:p w14:paraId="0AAA08CE" w14:textId="77777777" w:rsidR="00AB0783" w:rsidRPr="00DD3811" w:rsidRDefault="00AB0783" w:rsidP="00AB0783">
      <w:pPr>
        <w:autoSpaceDE w:val="0"/>
        <w:adjustRightInd w:val="0"/>
        <w:spacing w:line="256" w:lineRule="auto"/>
        <w:rPr>
          <w:rFonts w:cs="Arial"/>
          <w:lang w:eastAsia="en-GB"/>
        </w:rPr>
      </w:pPr>
      <w:r w:rsidRPr="00DD3811">
        <w:rPr>
          <w:rFonts w:cs="Arial"/>
          <w:lang w:eastAsia="en-GB"/>
        </w:rPr>
        <w:t xml:space="preserve">Atlikus skaičiavimus, paaiškėjo, kad alternatyva turi neigiamą finansinę grynąją dabartinę vertę ir yra finansiškai neatsiperkanti. </w:t>
      </w:r>
    </w:p>
    <w:p w14:paraId="62E9ADA9" w14:textId="65C1387C" w:rsidR="00454E77" w:rsidRPr="006E0A53" w:rsidRDefault="00454E77" w:rsidP="00454E77">
      <w:pPr>
        <w:pStyle w:val="Paantrat"/>
        <w:rPr>
          <w:rFonts w:eastAsiaTheme="majorEastAsia"/>
          <w:noProof/>
        </w:rPr>
      </w:pPr>
      <w:r w:rsidRPr="006E0A53">
        <w:rPr>
          <w:rFonts w:eastAsiaTheme="majorEastAsia"/>
          <w:noProof/>
        </w:rPr>
        <w:t>4.4.2 Išvada dėl finansinio gyvybingumo</w:t>
      </w:r>
      <w:bookmarkEnd w:id="340"/>
      <w:bookmarkEnd w:id="341"/>
      <w:bookmarkEnd w:id="342"/>
      <w:bookmarkEnd w:id="343"/>
      <w:bookmarkEnd w:id="344"/>
      <w:bookmarkEnd w:id="345"/>
    </w:p>
    <w:p w14:paraId="39B80E8D" w14:textId="681137A7" w:rsidR="00454E77" w:rsidRPr="00033860" w:rsidRDefault="00454E77" w:rsidP="00454E77">
      <w:r w:rsidRPr="00033860">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Esant situacijai, kai kuriuo nors momentu sukauptas grynųjų pinigų srautas taps neigiamas, </w:t>
      </w:r>
      <w:r w:rsidR="00AB0783">
        <w:t>Utenos rajono</w:t>
      </w:r>
      <w:r w:rsidRPr="00033860">
        <w:t xml:space="preserve"> savivaldybės administracija privalės surasti papildomų lėšų projekto išlaidoms padengti. </w:t>
      </w:r>
    </w:p>
    <w:p w14:paraId="65130F1D" w14:textId="344AD2E6" w:rsidR="00454E77" w:rsidRPr="00033860" w:rsidRDefault="00454E77" w:rsidP="00454E77">
      <w:r w:rsidRPr="00033860">
        <w:t xml:space="preserve">Siekiant, kad projektas būtų gyvybingas, per visą projekto ataskaitinį laikotarpį sukauptas grynųjų pinigų srautas turi būti neneigiamas. Veiklos išlaidas finansuos </w:t>
      </w:r>
      <w:r w:rsidR="00AB0783">
        <w:t>Utenos rajono</w:t>
      </w:r>
      <w:r w:rsidRPr="00033860">
        <w:t xml:space="preserve"> savivaldybės administracija.</w:t>
      </w:r>
    </w:p>
    <w:p w14:paraId="2737A7D9" w14:textId="77777777" w:rsidR="00454E77" w:rsidRPr="00033860" w:rsidRDefault="00454E77" w:rsidP="00454E77">
      <w:r w:rsidRPr="00033860">
        <w:t>Atlikus skaičiavimus matyti, kad finansinis naudos ir išlaidų santykis (FNIS rodiklis) yra mažesnis už vienetą ir lygus 0,00, tačiau alternatyva yra gyvybinga, nes grynųjų pinigų srautas nebus neigiamas.</w:t>
      </w:r>
    </w:p>
    <w:p w14:paraId="1D2F0148" w14:textId="77777777" w:rsidR="00454E77" w:rsidRPr="006E0A53" w:rsidRDefault="00454E77" w:rsidP="00454E77">
      <w:pPr>
        <w:pStyle w:val="Paantrat"/>
        <w:rPr>
          <w:rFonts w:eastAsiaTheme="majorEastAsia"/>
          <w:noProof/>
        </w:rPr>
      </w:pPr>
      <w:bookmarkStart w:id="346" w:name="_Toc123288130"/>
      <w:bookmarkStart w:id="347" w:name="_Toc159421963"/>
      <w:bookmarkStart w:id="348" w:name="_Toc161166396"/>
      <w:bookmarkStart w:id="349" w:name="_Toc165372641"/>
      <w:bookmarkStart w:id="350" w:name="_Toc171350984"/>
      <w:bookmarkStart w:id="351" w:name="_Toc171355470"/>
      <w:r w:rsidRPr="006E0A53">
        <w:rPr>
          <w:rFonts w:eastAsiaTheme="majorEastAsia"/>
          <w:noProof/>
        </w:rPr>
        <w:t>4.4.3. Kapitalo rodikliai</w:t>
      </w:r>
      <w:bookmarkEnd w:id="346"/>
      <w:bookmarkEnd w:id="347"/>
      <w:bookmarkEnd w:id="348"/>
      <w:bookmarkEnd w:id="349"/>
      <w:bookmarkEnd w:id="350"/>
      <w:bookmarkEnd w:id="351"/>
      <w:r w:rsidRPr="006E0A53">
        <w:rPr>
          <w:rFonts w:eastAsiaTheme="majorEastAsia"/>
          <w:noProof/>
        </w:rPr>
        <w:t xml:space="preserve"> </w:t>
      </w:r>
    </w:p>
    <w:p w14:paraId="2F50EBA4" w14:textId="77777777" w:rsidR="00454E77" w:rsidRPr="00033860" w:rsidRDefault="00454E77" w:rsidP="00454E77">
      <w:pPr>
        <w:spacing w:before="120" w:after="120" w:line="276" w:lineRule="auto"/>
        <w:rPr>
          <w:rFonts w:cs="Times New Roman"/>
          <w:bCs/>
        </w:rPr>
      </w:pPr>
      <w:r w:rsidRPr="00033860">
        <w:rPr>
          <w:rFonts w:cs="Times New Roman"/>
          <w:bCs/>
        </w:rPr>
        <w:t xml:space="preserve">Kapitalo finansinė grynoji dabartinė vertė (FGDV(K)) atskleidžia, kokią finansinę naudą per ataskaitinį laikotarpį sukuria jo savininko investuotas kapitalas. Kai investicijų projektą planuojama </w:t>
      </w:r>
      <w:r w:rsidRPr="00033860">
        <w:rPr>
          <w:rFonts w:cs="Times New Roman"/>
          <w:bCs/>
        </w:rPr>
        <w:lastRenderedPageBreak/>
        <w:t>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įgyvendinti projektą, nes projekto pinigų srautai padengia į projektą investuotą kapitalą. FVGN(K) skaičiuojama kaip antrasis rodiklis. Jeigu FVGN(K) didesnė už rinkoje esančią palūkanų normą, vadinasi, projektas duos didesnę naudą už kapitalo skolinimosi išlaidas.</w:t>
      </w:r>
    </w:p>
    <w:p w14:paraId="4E6CCD2A" w14:textId="26C54B4D" w:rsidR="00454E77" w:rsidRPr="00033860" w:rsidRDefault="00454E77" w:rsidP="00454E77">
      <w:pPr>
        <w:spacing w:before="120" w:after="120" w:line="276" w:lineRule="auto"/>
        <w:rPr>
          <w:rFonts w:cs="Times New Roman"/>
          <w:bCs/>
        </w:rPr>
      </w:pPr>
      <w:r w:rsidRPr="00033860">
        <w:rPr>
          <w:rFonts w:cs="Times New Roman"/>
          <w:bCs/>
        </w:rPr>
        <w:t xml:space="preserve">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 Šiame projekte kapitalu yra laikomos </w:t>
      </w:r>
      <w:r w:rsidR="00A050C6">
        <w:rPr>
          <w:rFonts w:cs="Times New Roman"/>
          <w:bCs/>
        </w:rPr>
        <w:t>Utenos rajono</w:t>
      </w:r>
      <w:r w:rsidRPr="00033860">
        <w:rPr>
          <w:rFonts w:cs="Times New Roman"/>
          <w:bCs/>
        </w:rPr>
        <w:t xml:space="preserve"> savivaldybės biudžeto lėšos.</w:t>
      </w:r>
    </w:p>
    <w:p w14:paraId="7EC11E67" w14:textId="77777777" w:rsidR="00A050C6" w:rsidRPr="00DD3811" w:rsidRDefault="00A050C6" w:rsidP="00A050C6">
      <w:pPr>
        <w:pStyle w:val="Pagrindinis"/>
        <w:rPr>
          <w:i/>
          <w:iCs/>
          <w:lang w:eastAsia="en-GB"/>
        </w:rPr>
      </w:pPr>
      <w:r w:rsidRPr="00DD3811">
        <w:rPr>
          <w:i/>
          <w:iCs/>
          <w:lang w:eastAsia="en-GB"/>
        </w:rPr>
        <w:t>Apibendrinant, neigiami investicijų grynosios dabartinės vertės ir investicijų vidinės grąžos normos rodikliai rodo, kad investicijų projektas yra finansiškai neatsiperkantis. Tai yra normali viešųjų projektų (nukreiptų į viešąjį interesą, skirtų viešosios paslaugoms) praktika, kadangi kuriamos ir modernizuojamos viešosios infrastruktūros projektų nauda atsiskleidžia per socialinę–ekonominę, o ne finansinę naudą. Numatomas įgyvendinti projektas yra finansiškai gyvybingas.</w:t>
      </w:r>
    </w:p>
    <w:p w14:paraId="7F2CF3B7" w14:textId="77777777" w:rsidR="00454E77" w:rsidRPr="00033860" w:rsidRDefault="00454E77" w:rsidP="00454E77">
      <w:pPr>
        <w:autoSpaceDE w:val="0"/>
        <w:adjustRightInd w:val="0"/>
        <w:spacing w:line="256" w:lineRule="auto"/>
        <w:rPr>
          <w:rFonts w:cs="Arial"/>
          <w:lang w:eastAsia="en-GB"/>
        </w:rPr>
      </w:pPr>
    </w:p>
    <w:p w14:paraId="7A8EA8BD" w14:textId="77777777" w:rsidR="00454E77" w:rsidRPr="00033860" w:rsidRDefault="00454E77" w:rsidP="00454E77">
      <w:pPr>
        <w:spacing w:before="120" w:after="120" w:line="276" w:lineRule="auto"/>
        <w:rPr>
          <w:rFonts w:cs="Arial"/>
          <w:bCs/>
        </w:rPr>
      </w:pPr>
      <w:r w:rsidRPr="00033860">
        <w:rPr>
          <w:rFonts w:cs="Times New Roman"/>
          <w:bCs/>
        </w:rPr>
        <w:t xml:space="preserve"> </w:t>
      </w:r>
    </w:p>
    <w:p w14:paraId="4DEC6534" w14:textId="77777777" w:rsidR="00454E77" w:rsidRPr="00033860" w:rsidRDefault="00454E77" w:rsidP="00454E77">
      <w:pPr>
        <w:spacing w:after="0" w:line="240" w:lineRule="auto"/>
        <w:rPr>
          <w:rFonts w:asciiTheme="minorHAnsi" w:hAnsiTheme="minorHAnsi" w:cstheme="minorHAnsi"/>
          <w:sz w:val="20"/>
        </w:rPr>
      </w:pPr>
      <w:r w:rsidRPr="00033860">
        <w:rPr>
          <w:rFonts w:asciiTheme="minorHAnsi" w:hAnsiTheme="minorHAnsi" w:cstheme="minorHAnsi"/>
          <w:sz w:val="20"/>
        </w:rPr>
        <w:br w:type="page"/>
      </w:r>
    </w:p>
    <w:p w14:paraId="00F35030" w14:textId="77777777" w:rsidR="00454E77" w:rsidRPr="006E0A53" w:rsidRDefault="00454E77" w:rsidP="00454E77">
      <w:pPr>
        <w:pStyle w:val="Antrat1"/>
        <w:rPr>
          <w:rFonts w:asciiTheme="minorHAnsi" w:hAnsiTheme="minorHAnsi" w:cstheme="minorHAnsi"/>
          <w:sz w:val="20"/>
          <w:szCs w:val="20"/>
        </w:rPr>
      </w:pPr>
      <w:bookmarkStart w:id="352" w:name="_Toc123288133"/>
      <w:bookmarkStart w:id="353" w:name="_Toc159421966"/>
      <w:bookmarkStart w:id="354" w:name="_Toc160544956"/>
      <w:bookmarkStart w:id="355" w:name="_Toc161166397"/>
      <w:bookmarkStart w:id="356" w:name="_Toc165372642"/>
      <w:bookmarkStart w:id="357" w:name="_Toc171350846"/>
      <w:bookmarkStart w:id="358" w:name="_Toc171350985"/>
      <w:bookmarkStart w:id="359" w:name="_Toc171355471"/>
      <w:r w:rsidRPr="006E0A53">
        <w:lastRenderedPageBreak/>
        <w:t>5. Ekonominė analizė</w:t>
      </w:r>
      <w:bookmarkEnd w:id="352"/>
      <w:bookmarkEnd w:id="353"/>
      <w:bookmarkEnd w:id="354"/>
      <w:bookmarkEnd w:id="355"/>
      <w:bookmarkEnd w:id="356"/>
      <w:bookmarkEnd w:id="357"/>
      <w:bookmarkEnd w:id="358"/>
      <w:bookmarkEnd w:id="359"/>
    </w:p>
    <w:p w14:paraId="1158022E" w14:textId="77777777" w:rsidR="00454E77" w:rsidRPr="00033860" w:rsidRDefault="00454E77" w:rsidP="00454E77">
      <w:r w:rsidRPr="00033860">
        <w:t>Socialinė-ekonominė analizė įvertina projekto indėlį regiono ar visos šalies ekonominei gerovei.</w:t>
      </w:r>
    </w:p>
    <w:p w14:paraId="78584FC9" w14:textId="77777777" w:rsidR="00454E77" w:rsidRPr="00033860" w:rsidRDefault="00454E77" w:rsidP="00454E77">
      <w:r w:rsidRPr="00033860">
        <w:t>Kaip jau buvo paminėta kituose investicijų skyriuose, socialinė-ekonominė nauda viešosios infrastruktūros kūrimo ir modernizavimo atveju yra pagrindinė viešųjų investicijų projekto nauda. Atsižvelgiant į socialinės-ekonominės naudos vertinimo rodiklius, bus įvertintas projektas ir nurodyti rodikliai, kuriais remiantis bus nustatyta ar investicijų projekto įgyvendinimas sukuria didesnę naudą nei patiriami kaštai.</w:t>
      </w:r>
    </w:p>
    <w:p w14:paraId="6EF9DCBF" w14:textId="77777777" w:rsidR="00454E77" w:rsidRPr="006E0A53" w:rsidRDefault="00454E77" w:rsidP="00454E77">
      <w:pPr>
        <w:pStyle w:val="Poskyris"/>
      </w:pPr>
      <w:bookmarkStart w:id="360" w:name="_Toc123288134"/>
      <w:bookmarkStart w:id="361" w:name="_Toc159421967"/>
      <w:bookmarkStart w:id="362" w:name="_Toc161166398"/>
      <w:bookmarkStart w:id="363" w:name="_Toc165372643"/>
      <w:bookmarkStart w:id="364" w:name="_Toc171350847"/>
      <w:bookmarkStart w:id="365" w:name="_Toc171350986"/>
      <w:bookmarkStart w:id="366" w:name="_Toc171355472"/>
      <w:r w:rsidRPr="006E0A53">
        <w:t>5.1. Rinkos kainų perskaičiavimas į ekonomines</w:t>
      </w:r>
      <w:bookmarkEnd w:id="360"/>
      <w:bookmarkEnd w:id="361"/>
      <w:bookmarkEnd w:id="362"/>
      <w:bookmarkEnd w:id="363"/>
      <w:bookmarkEnd w:id="364"/>
      <w:bookmarkEnd w:id="365"/>
      <w:bookmarkEnd w:id="366"/>
    </w:p>
    <w:p w14:paraId="02968440" w14:textId="77777777" w:rsidR="00454E77" w:rsidRPr="00033860" w:rsidRDefault="00454E77" w:rsidP="00454E77">
      <w:pPr>
        <w:suppressAutoHyphens/>
        <w:autoSpaceDN w:val="0"/>
        <w:spacing w:before="120" w:after="120" w:line="240" w:lineRule="auto"/>
        <w:textAlignment w:val="baseline"/>
        <w:rPr>
          <w:rFonts w:eastAsia="Calibri" w:cs="Times New Roman"/>
          <w:color w:val="auto"/>
          <w:szCs w:val="38"/>
        </w:rPr>
      </w:pPr>
      <w:bookmarkStart w:id="367" w:name="_Toc123288135"/>
      <w:bookmarkStart w:id="368" w:name="_Toc159421968"/>
      <w:bookmarkStart w:id="369" w:name="_Toc161166399"/>
      <w:bookmarkStart w:id="370" w:name="_Toc165372644"/>
      <w:r w:rsidRPr="00033860">
        <w:rPr>
          <w:rFonts w:eastAsia="Calibri" w:cs="Times New Roman"/>
          <w:color w:val="auto"/>
          <w:szCs w:val="38"/>
        </w:rPr>
        <w:t>Finansinėje analizėje apskaičiuotų pinigų srautų vertę paprastai veikia netobula konkurencinė, mokestinė aplinka ir kiti veiksniai, dėl kurių pasireiškimo finansinėje analizėje įvertinti pinigų srautai neatspindi tikrosios pinigų vertės. Dėl šios priežasties ekonominėje analizėje naudojami ne finansiniai, o ekonominiai pinigų srautai, kurie gaunami pakoregavus finansinės analizės pinigų srautus pagal atitinkamus konversijos koeficientus.</w:t>
      </w:r>
    </w:p>
    <w:p w14:paraId="635C3E46" w14:textId="77777777" w:rsidR="00454E77" w:rsidRPr="00033860" w:rsidRDefault="00454E77" w:rsidP="00454E77">
      <w:pPr>
        <w:suppressAutoHyphens/>
        <w:autoSpaceDN w:val="0"/>
        <w:spacing w:before="120" w:after="120"/>
        <w:textAlignment w:val="baseline"/>
        <w:rPr>
          <w:rFonts w:eastAsia="Calibri" w:cs="Times New Roman"/>
          <w:color w:val="auto"/>
          <w:szCs w:val="38"/>
        </w:rPr>
      </w:pPr>
      <w:r w:rsidRPr="00033860">
        <w:rPr>
          <w:rFonts w:eastAsia="Calibri" w:cs="Times New Roman"/>
          <w:color w:val="auto"/>
          <w:szCs w:val="38"/>
        </w:rPr>
        <w:t>Šis veiksmas vadinamas konvertavimu. Jo tikslas – projekto finansinius pinigų srautus paversti ekonominiais. Konvertavimui taikomi koeficientai nustatomi įvertinus šiuos įtaką finansinių srautų vertei darančius veiksnius:</w:t>
      </w:r>
    </w:p>
    <w:p w14:paraId="64CDF805" w14:textId="77777777" w:rsidR="00454E77" w:rsidRPr="00033860" w:rsidRDefault="00454E77" w:rsidP="00454E77">
      <w:pPr>
        <w:numPr>
          <w:ilvl w:val="0"/>
          <w:numId w:val="30"/>
        </w:numPr>
        <w:suppressAutoHyphens/>
        <w:autoSpaceDN w:val="0"/>
        <w:spacing w:before="120" w:after="120"/>
        <w:ind w:left="567" w:hanging="567"/>
        <w:contextualSpacing/>
        <w:textAlignment w:val="baseline"/>
        <w:rPr>
          <w:rFonts w:eastAsia="SimSun" w:cs="Arial"/>
          <w:color w:val="auto"/>
        </w:rPr>
      </w:pPr>
      <w:r w:rsidRPr="00033860">
        <w:rPr>
          <w:rFonts w:eastAsia="SimSun" w:cs="Arial"/>
          <w:color w:val="auto"/>
        </w:rPr>
        <w:t>Finansinių pinigų srautų dydžių iškraipymus atsirandančius dėl netobulos rinkos egzistavimo: muitai, kvotos, kiti prekybos apribojimai, monopolinė galia, valstybės turto nuoma mažesnėmis nei rinkos kainomis ir pan. sąlygoja kainų iškraipymus;</w:t>
      </w:r>
    </w:p>
    <w:p w14:paraId="4CB0BA92" w14:textId="77777777" w:rsidR="00454E77" w:rsidRPr="00033860" w:rsidRDefault="00454E77" w:rsidP="00454E77">
      <w:pPr>
        <w:numPr>
          <w:ilvl w:val="0"/>
          <w:numId w:val="30"/>
        </w:numPr>
        <w:suppressAutoHyphens/>
        <w:autoSpaceDN w:val="0"/>
        <w:spacing w:before="120" w:after="120"/>
        <w:ind w:left="567" w:hanging="567"/>
        <w:contextualSpacing/>
        <w:textAlignment w:val="baseline"/>
        <w:rPr>
          <w:rFonts w:eastAsia="SimSun" w:cs="Arial"/>
          <w:color w:val="auto"/>
        </w:rPr>
      </w:pPr>
      <w:r w:rsidRPr="00033860">
        <w:rPr>
          <w:rFonts w:eastAsia="SimSun" w:cs="Arial"/>
          <w:color w:val="auto"/>
        </w:rPr>
        <w:t>Faktą, jog darbo užmokesčio išlaidos tiesiogiai neišreiškia sukuriamos pridėtinės vertės: subsidijos, darbo biržos mokėjimai, įsipareigojimai išsaugoti darbo vietas ir pan. sąlygoja tai, jog darbo užmokesčio išlaidos nesutampa su kuriama pridėtine verte. Šie atlyginimų nuokrypiai galimi ir dėl šių priežasčių:</w:t>
      </w:r>
    </w:p>
    <w:p w14:paraId="32F25C50" w14:textId="77777777" w:rsidR="00454E77" w:rsidRPr="00033860" w:rsidRDefault="00454E77" w:rsidP="00454E77">
      <w:pPr>
        <w:numPr>
          <w:ilvl w:val="1"/>
          <w:numId w:val="30"/>
        </w:numPr>
        <w:suppressAutoHyphens/>
        <w:autoSpaceDN w:val="0"/>
        <w:spacing w:before="120" w:after="120"/>
        <w:contextualSpacing/>
        <w:textAlignment w:val="baseline"/>
        <w:rPr>
          <w:rFonts w:eastAsia="SimSun" w:cs="Arial"/>
          <w:color w:val="auto"/>
        </w:rPr>
      </w:pPr>
      <w:r w:rsidRPr="00033860">
        <w:rPr>
          <w:rFonts w:eastAsia="SimSun" w:cs="Arial"/>
          <w:color w:val="auto"/>
        </w:rPr>
        <w:t xml:space="preserve">Viešųjų ir biudžetinių įstaigų darbuotojų, ypač aukštesnės kvalifikacijos, atlyginimai už panašų darbą paprastai mažesni nei privataus sektoriaus darbuotojų; </w:t>
      </w:r>
    </w:p>
    <w:p w14:paraId="16CC4AC6" w14:textId="77777777" w:rsidR="00454E77" w:rsidRPr="00033860" w:rsidRDefault="00454E77" w:rsidP="00454E77">
      <w:pPr>
        <w:numPr>
          <w:ilvl w:val="1"/>
          <w:numId w:val="30"/>
        </w:numPr>
        <w:suppressAutoHyphens/>
        <w:autoSpaceDN w:val="0"/>
        <w:spacing w:before="120" w:after="120"/>
        <w:contextualSpacing/>
        <w:textAlignment w:val="baseline"/>
        <w:rPr>
          <w:rFonts w:eastAsia="SimSun" w:cs="Arial"/>
          <w:color w:val="auto"/>
        </w:rPr>
      </w:pPr>
      <w:r w:rsidRPr="00033860">
        <w:rPr>
          <w:rFonts w:eastAsia="SimSun" w:cs="Arial"/>
          <w:color w:val="auto"/>
        </w:rPr>
        <w:t xml:space="preserve">teisės aktų reglamentuojamas minimalus darbo užmokestis daro įtaką nustatomo darbo užmokesčio dydžiui. </w:t>
      </w:r>
    </w:p>
    <w:p w14:paraId="365D3C03" w14:textId="77777777" w:rsidR="00454E77" w:rsidRPr="00033860" w:rsidRDefault="00454E77" w:rsidP="00454E77">
      <w:pPr>
        <w:suppressAutoHyphens/>
        <w:autoSpaceDN w:val="0"/>
        <w:spacing w:before="120" w:after="120" w:line="240" w:lineRule="auto"/>
        <w:ind w:firstLine="709"/>
        <w:textAlignment w:val="baseline"/>
        <w:rPr>
          <w:rFonts w:eastAsia="Calibri" w:cs="Times New Roman"/>
          <w:color w:val="auto"/>
          <w:szCs w:val="38"/>
        </w:rPr>
      </w:pPr>
      <w:r w:rsidRPr="00033860">
        <w:rPr>
          <w:rFonts w:eastAsia="Calibri" w:cs="Times New Roman"/>
          <w:color w:val="auto"/>
          <w:szCs w:val="38"/>
        </w:rPr>
        <w:t xml:space="preserve">Atliekant konvertavimą, naudojami tie patys finansiniai pinigų srautai, kurie jau buvo naudoti apskaičiuojant FGDV(I) ir FVGN(I). Konvertavimui konversijos koeficientai taikomi tokiu būdu: </w:t>
      </w:r>
    </w:p>
    <w:p w14:paraId="31D40DC4" w14:textId="77777777" w:rsidR="00454E77" w:rsidRPr="00033860" w:rsidRDefault="00454E77" w:rsidP="00454E77">
      <w:pPr>
        <w:suppressAutoHyphens/>
        <w:autoSpaceDN w:val="0"/>
        <w:spacing w:before="120" w:after="120" w:line="240" w:lineRule="auto"/>
        <w:ind w:firstLine="709"/>
        <w:textAlignment w:val="baseline"/>
        <w:rPr>
          <w:rFonts w:eastAsia="Calibri" w:cs="Times New Roman"/>
          <w:color w:val="auto"/>
          <w:szCs w:val="38"/>
        </w:rPr>
      </w:pPr>
      <w:r w:rsidRPr="00033860">
        <w:rPr>
          <w:rFonts w:eastAsia="Calibri" w:cs="Times New Roman"/>
          <w:color w:val="auto"/>
          <w:szCs w:val="38"/>
        </w:rPr>
        <w:t xml:space="preserve">a. išskaičiuojamas PVM, jeigu jis buvo įtrauktas į investicijų, prekių ir paslaugų savikainą, taip pat muitus, akcizus bei veiklos subsidijas; </w:t>
      </w:r>
    </w:p>
    <w:p w14:paraId="2F20E767" w14:textId="77777777" w:rsidR="00454E77" w:rsidRPr="00033860" w:rsidRDefault="00454E77" w:rsidP="00454E77">
      <w:pPr>
        <w:suppressAutoHyphens/>
        <w:autoSpaceDN w:val="0"/>
        <w:spacing w:before="120" w:after="120" w:line="240" w:lineRule="auto"/>
        <w:ind w:firstLine="709"/>
        <w:textAlignment w:val="baseline"/>
        <w:rPr>
          <w:rFonts w:eastAsia="Calibri" w:cs="Times New Roman"/>
          <w:color w:val="auto"/>
          <w:szCs w:val="38"/>
        </w:rPr>
      </w:pPr>
      <w:r w:rsidRPr="00033860">
        <w:rPr>
          <w:rFonts w:eastAsia="Calibri" w:cs="Times New Roman"/>
          <w:color w:val="auto"/>
          <w:szCs w:val="38"/>
        </w:rPr>
        <w:t>b. taikomos konversijos koeficientų reikšmės atskirai kiekvienai prekių ir paslaugų grupei pagal ekonominės veiklos sektorius.</w:t>
      </w:r>
    </w:p>
    <w:p w14:paraId="1C5A3409" w14:textId="77777777" w:rsidR="00454E77" w:rsidRPr="00033860" w:rsidRDefault="00454E77" w:rsidP="00454E77">
      <w:pPr>
        <w:suppressAutoHyphens/>
        <w:autoSpaceDN w:val="0"/>
        <w:spacing w:before="120" w:after="120" w:line="240" w:lineRule="auto"/>
        <w:ind w:firstLine="709"/>
        <w:textAlignment w:val="baseline"/>
        <w:rPr>
          <w:rFonts w:eastAsia="Calibri" w:cs="Raleway Light"/>
          <w:color w:val="auto"/>
          <w:szCs w:val="38"/>
        </w:rPr>
      </w:pPr>
      <w:r w:rsidRPr="00033860">
        <w:rPr>
          <w:rFonts w:eastAsia="Calibri" w:cs="Times New Roman"/>
          <w:color w:val="auto"/>
          <w:szCs w:val="38"/>
        </w:rPr>
        <w:t>Projekto alternatyvų investicijos bus nukreiptos į „Urbanistinės plėtros (vystymo)“ sektorių. Tyrime „Metodikos ir modelio, skirto įvertinti investicijų, finansuojamų Europos Sąjungos struktūrinių fondų ir Lietuvos nacionalinio biudžeto lėšomis, socialinį</w:t>
      </w:r>
      <w:r w:rsidRPr="00033860">
        <w:rPr>
          <w:rFonts w:eastAsia="Calibri" w:cs="Arial"/>
          <w:i/>
          <w:iCs/>
          <w:noProof/>
          <w:color w:val="auto"/>
          <w:szCs w:val="38"/>
          <w:lang w:eastAsia="en-GB"/>
        </w:rPr>
        <w:t>–</w:t>
      </w:r>
      <w:r w:rsidRPr="00033860">
        <w:rPr>
          <w:rFonts w:eastAsia="Calibri" w:cs="Times New Roman"/>
          <w:color w:val="auto"/>
          <w:szCs w:val="38"/>
        </w:rPr>
        <w:t>ekonominį poveikį, sukūrimas“ yra patvirtinti sektoriaus „Urbanistinė plėtra“ konversijos koeficientai, kurie sąnaudų naudos analizėje bus įvertinami automatiškai (sąnaudų ir naudos analizės rezultatų skaičiuoklėje)</w:t>
      </w:r>
      <w:r w:rsidRPr="00033860">
        <w:rPr>
          <w:rFonts w:eastAsia="Calibri" w:cs="Raleway Light"/>
          <w:color w:val="auto"/>
          <w:szCs w:val="38"/>
        </w:rPr>
        <w:t>.</w:t>
      </w:r>
    </w:p>
    <w:p w14:paraId="4B8AFA09" w14:textId="77777777" w:rsidR="00454E77" w:rsidRPr="006E0A53" w:rsidRDefault="00454E77" w:rsidP="00454E77">
      <w:pPr>
        <w:pStyle w:val="Poskyris"/>
      </w:pPr>
      <w:bookmarkStart w:id="371" w:name="_Toc171350848"/>
      <w:bookmarkStart w:id="372" w:name="_Toc171350987"/>
      <w:bookmarkStart w:id="373" w:name="_Toc171355473"/>
      <w:r w:rsidRPr="006E0A53">
        <w:t>5.2. Socialinė diskonto norma</w:t>
      </w:r>
      <w:bookmarkEnd w:id="367"/>
      <w:bookmarkEnd w:id="368"/>
      <w:bookmarkEnd w:id="369"/>
      <w:bookmarkEnd w:id="370"/>
      <w:bookmarkEnd w:id="371"/>
      <w:bookmarkEnd w:id="372"/>
      <w:bookmarkEnd w:id="373"/>
    </w:p>
    <w:p w14:paraId="2DA71106" w14:textId="77777777" w:rsidR="00454E77" w:rsidRPr="00033860" w:rsidRDefault="00454E77" w:rsidP="00454E77">
      <w:r w:rsidRPr="00033860">
        <w:t xml:space="preserve">Socialiniams-ekonominiams rodikliams apskaičiuoti naudojama socialinė diskonto norma (SDN). SDN atskleidžia visuomenės požiūrį į ateities naudą ir išlaidas, parodo visuomenės pasiryžimą atidėti vartojimą šiandien dėl vartojimo rytoj (ateityje). </w:t>
      </w:r>
    </w:p>
    <w:p w14:paraId="7D44E047" w14:textId="77777777" w:rsidR="00454E77" w:rsidRPr="00033860" w:rsidRDefault="00454E77" w:rsidP="00454E77">
      <w:r w:rsidRPr="00033860">
        <w:t xml:space="preserve">Didelė SDN reiškia, kad visuomenė (arba valdžia) nenori investuoti reikšmingų išteklių (pvz.: kapitalo), kurie sukurtų didesnę gerovę ateitiems kartoms, todėl didelė SDN rodo polinkį į dabartinį vartojimą ir trumpalaikes investicijas (projektus), o maža SDN – atvirkščiai, reiškia, kad pirmenybė teikiama ilgalaikėms investicijoms. </w:t>
      </w:r>
    </w:p>
    <w:p w14:paraId="565D0079" w14:textId="77777777" w:rsidR="00454E77" w:rsidRPr="00033860" w:rsidRDefault="00454E77" w:rsidP="00454E77">
      <w:r w:rsidRPr="00033860">
        <w:lastRenderedPageBreak/>
        <w:t>Socialinės-ekonominės naudos vertinimo metu naudojama socialinė diskonto norma skiriasi nuo finansinėje analizėje naudojamos diskonto normos ir lygi 5,0 proc. Naudojamas investicijų atsipirkimo laikotarpis – 15 metų, kaip ir finansinėje analizėje.</w:t>
      </w:r>
    </w:p>
    <w:p w14:paraId="48E80563" w14:textId="77777777" w:rsidR="00454E77" w:rsidRPr="006E0A53" w:rsidRDefault="00454E77" w:rsidP="00A050C6">
      <w:pPr>
        <w:pStyle w:val="Poskyris"/>
      </w:pPr>
      <w:bookmarkStart w:id="374" w:name="_Toc123288136"/>
      <w:bookmarkStart w:id="375" w:name="_Toc159421969"/>
      <w:bookmarkStart w:id="376" w:name="_Toc161166400"/>
      <w:bookmarkStart w:id="377" w:name="_Toc165372645"/>
      <w:bookmarkStart w:id="378" w:name="_Toc171350849"/>
      <w:bookmarkStart w:id="379" w:name="_Toc171350988"/>
      <w:bookmarkStart w:id="380" w:name="_Toc171355474"/>
      <w:r w:rsidRPr="006E0A53">
        <w:t xml:space="preserve">5.3. </w:t>
      </w:r>
      <w:r w:rsidRPr="00A050C6">
        <w:t>Socialinė</w:t>
      </w:r>
      <w:r w:rsidRPr="006E0A53">
        <w:t>-ekonominė nauda</w:t>
      </w:r>
      <w:bookmarkEnd w:id="374"/>
      <w:bookmarkEnd w:id="375"/>
      <w:bookmarkEnd w:id="376"/>
      <w:bookmarkEnd w:id="377"/>
      <w:bookmarkEnd w:id="378"/>
      <w:bookmarkEnd w:id="379"/>
      <w:bookmarkEnd w:id="380"/>
    </w:p>
    <w:p w14:paraId="0823823B" w14:textId="77777777" w:rsidR="00454E77" w:rsidRPr="006E0A53" w:rsidRDefault="00454E77" w:rsidP="00A050C6">
      <w:pPr>
        <w:pStyle w:val="Paantrat"/>
        <w:rPr>
          <w:rFonts w:eastAsiaTheme="majorEastAsia"/>
          <w:noProof/>
        </w:rPr>
      </w:pPr>
      <w:bookmarkStart w:id="381" w:name="_Toc123288137"/>
      <w:bookmarkStart w:id="382" w:name="_Toc159421970"/>
      <w:bookmarkStart w:id="383" w:name="_Toc161166401"/>
      <w:bookmarkStart w:id="384" w:name="_Toc165372646"/>
      <w:bookmarkStart w:id="385" w:name="_Toc171350989"/>
      <w:bookmarkStart w:id="386" w:name="_Toc171355475"/>
      <w:r w:rsidRPr="006E0A53">
        <w:rPr>
          <w:rFonts w:eastAsiaTheme="majorEastAsia"/>
          <w:noProof/>
        </w:rPr>
        <w:t>5.3.1. Socialinio-</w:t>
      </w:r>
      <w:r w:rsidRPr="00A050C6">
        <w:t>ekonominio</w:t>
      </w:r>
      <w:r w:rsidRPr="006E0A53">
        <w:rPr>
          <w:rFonts w:eastAsiaTheme="majorEastAsia"/>
          <w:noProof/>
        </w:rPr>
        <w:t xml:space="preserve"> poveikio naudos ir žalos komponentai</w:t>
      </w:r>
      <w:bookmarkEnd w:id="381"/>
      <w:bookmarkEnd w:id="382"/>
      <w:bookmarkEnd w:id="383"/>
      <w:bookmarkEnd w:id="384"/>
      <w:bookmarkEnd w:id="385"/>
      <w:bookmarkEnd w:id="386"/>
    </w:p>
    <w:p w14:paraId="5547CE0D" w14:textId="77777777" w:rsidR="00454E77" w:rsidRPr="00033860" w:rsidRDefault="00454E77" w:rsidP="00454E77">
      <w:pPr>
        <w:rPr>
          <w:rFonts w:eastAsia="Calibri" w:cs="Times New Roman"/>
          <w:szCs w:val="20"/>
          <w:lang w:eastAsia="lt-LT"/>
        </w:rPr>
      </w:pPr>
      <w:r w:rsidRPr="00033860">
        <w:rPr>
          <w:rFonts w:eastAsia="Calibri" w:cs="Times New Roman"/>
          <w:szCs w:val="20"/>
          <w:lang w:eastAsia="lt-LT"/>
        </w:rPr>
        <w:t>Išorinio poveikio įvertinimas – projekto sukuriamų rezultatų (naudos ir žalos) nustatymas. Siekiant tinkamai palyginti išorinį projekto įgyvendinimo poveikį, numatoma poveikio komponentus, jų tikėtiną mastą ir galimą socialinę-ekonominę vertę. Poveikio komponentai nustatomi vadovaujantis „Metodikos ir modelio, skirto įvertinti investicijų, finansuojamų Europos Sąjungos struktūrinių fondų ir Lietuvos nacionalinio biudžeto lėšomis, socialinį-ekonominį poveikį, sukūrimas“ galutinės ataskaitos rekomendacijomis (konversijos koeficientų, socialinės-ekonominės naudos (žalos) įverčių apskaičiavimo metodika).</w:t>
      </w:r>
    </w:p>
    <w:p w14:paraId="3EB8A08A" w14:textId="77777777" w:rsidR="00454E77" w:rsidRPr="006E0A53" w:rsidRDefault="00454E77" w:rsidP="00454E77">
      <w:pPr>
        <w:pStyle w:val="Paantrat"/>
        <w:rPr>
          <w:rFonts w:eastAsiaTheme="majorEastAsia"/>
          <w:noProof/>
        </w:rPr>
      </w:pPr>
      <w:bookmarkStart w:id="387" w:name="_Toc123288138"/>
      <w:bookmarkStart w:id="388" w:name="_Toc159421971"/>
      <w:bookmarkStart w:id="389" w:name="_Toc161166402"/>
      <w:bookmarkStart w:id="390" w:name="_Toc165372647"/>
      <w:bookmarkStart w:id="391" w:name="_Toc171350990"/>
      <w:bookmarkStart w:id="392" w:name="_Toc171355476"/>
      <w:r w:rsidRPr="006E0A53">
        <w:rPr>
          <w:rFonts w:eastAsiaTheme="majorEastAsia"/>
          <w:noProof/>
        </w:rPr>
        <w:t>5.3.2. Poveikio tikslinei grupei mastas ir nauda (žala)</w:t>
      </w:r>
      <w:bookmarkEnd w:id="387"/>
      <w:bookmarkEnd w:id="388"/>
      <w:bookmarkEnd w:id="389"/>
      <w:bookmarkEnd w:id="390"/>
      <w:bookmarkEnd w:id="391"/>
      <w:bookmarkEnd w:id="392"/>
    </w:p>
    <w:p w14:paraId="4BF3A37A" w14:textId="77777777" w:rsidR="00454E77" w:rsidRPr="00033860" w:rsidRDefault="00454E77" w:rsidP="00454E77">
      <w:pPr>
        <w:suppressAutoHyphens/>
        <w:autoSpaceDN w:val="0"/>
        <w:spacing w:before="120" w:after="120"/>
        <w:ind w:firstLine="709"/>
        <w:textAlignment w:val="baseline"/>
        <w:rPr>
          <w:rFonts w:eastAsia="Calibri" w:cs="Arial"/>
          <w:color w:val="auto"/>
          <w:szCs w:val="38"/>
          <w:lang w:eastAsia="lt-LT"/>
        </w:rPr>
      </w:pPr>
      <w:r w:rsidRPr="00033860">
        <w:rPr>
          <w:rFonts w:eastAsia="Calibri" w:cs="Arial"/>
          <w:color w:val="auto"/>
          <w:szCs w:val="38"/>
          <w:lang w:eastAsia="lt-LT"/>
        </w:rPr>
        <w:t>Konversijos koeficientų apskaičiavimo ir socialinio–ekonominio poveikio (naudos/žalos) vertinimo metodikoje urbanistinės plėtros projektai apibūdinami kaip kuriantys šiuos naudos šaltinius:</w:t>
      </w:r>
    </w:p>
    <w:p w14:paraId="5CD354E3" w14:textId="77777777" w:rsidR="00454E77" w:rsidRPr="00033860" w:rsidRDefault="00454E77" w:rsidP="00454E77">
      <w:pPr>
        <w:numPr>
          <w:ilvl w:val="0"/>
          <w:numId w:val="31"/>
        </w:numPr>
        <w:suppressAutoHyphens/>
        <w:autoSpaceDE w:val="0"/>
        <w:autoSpaceDN w:val="0"/>
        <w:adjustRightInd w:val="0"/>
        <w:spacing w:before="120" w:after="120" w:line="276" w:lineRule="auto"/>
        <w:ind w:left="0" w:firstLine="709"/>
        <w:contextualSpacing/>
        <w:textAlignment w:val="baseline"/>
        <w:rPr>
          <w:rFonts w:eastAsia="SimSun" w:cs="Arial"/>
          <w:color w:val="auto"/>
          <w:lang w:eastAsia="en-GB"/>
        </w:rPr>
      </w:pPr>
      <w:r w:rsidRPr="00033860">
        <w:rPr>
          <w:rFonts w:eastAsia="SimSun" w:cs="Arial"/>
          <w:color w:val="auto"/>
          <w:lang w:eastAsia="en-GB"/>
        </w:rPr>
        <w:t>Vietovės patrauklumo namų ūkiams padidėjimas;</w:t>
      </w:r>
    </w:p>
    <w:p w14:paraId="326C72F0" w14:textId="77777777" w:rsidR="00454E77" w:rsidRPr="00033860" w:rsidRDefault="00454E77" w:rsidP="00454E77">
      <w:pPr>
        <w:numPr>
          <w:ilvl w:val="0"/>
          <w:numId w:val="31"/>
        </w:numPr>
        <w:suppressAutoHyphens/>
        <w:autoSpaceDE w:val="0"/>
        <w:autoSpaceDN w:val="0"/>
        <w:adjustRightInd w:val="0"/>
        <w:spacing w:before="120" w:after="120" w:line="276" w:lineRule="auto"/>
        <w:ind w:left="0" w:firstLine="709"/>
        <w:contextualSpacing/>
        <w:textAlignment w:val="baseline"/>
        <w:rPr>
          <w:rFonts w:eastAsia="SimSun" w:cs="Arial"/>
          <w:color w:val="auto"/>
          <w:lang w:eastAsia="en-GB"/>
        </w:rPr>
      </w:pPr>
      <w:r w:rsidRPr="00033860">
        <w:rPr>
          <w:rFonts w:eastAsia="SimSun" w:cs="Arial"/>
          <w:color w:val="auto"/>
          <w:lang w:eastAsia="en-GB"/>
        </w:rPr>
        <w:t>Vietovės patrauklumo verslui padidėjimas;</w:t>
      </w:r>
    </w:p>
    <w:p w14:paraId="05823F4D" w14:textId="77777777" w:rsidR="00454E77" w:rsidRPr="00033860" w:rsidRDefault="00454E77" w:rsidP="00454E77">
      <w:pPr>
        <w:numPr>
          <w:ilvl w:val="0"/>
          <w:numId w:val="31"/>
        </w:numPr>
        <w:suppressAutoHyphens/>
        <w:autoSpaceDE w:val="0"/>
        <w:autoSpaceDN w:val="0"/>
        <w:adjustRightInd w:val="0"/>
        <w:spacing w:before="120" w:after="120" w:line="276" w:lineRule="auto"/>
        <w:ind w:left="0" w:firstLine="709"/>
        <w:contextualSpacing/>
        <w:textAlignment w:val="baseline"/>
        <w:rPr>
          <w:rFonts w:eastAsia="SimSun" w:cs="Arial"/>
          <w:color w:val="auto"/>
          <w:lang w:eastAsia="en-GB"/>
        </w:rPr>
      </w:pPr>
      <w:r w:rsidRPr="00033860">
        <w:rPr>
          <w:rFonts w:eastAsia="SimSun" w:cs="Arial"/>
          <w:color w:val="auto"/>
          <w:lang w:eastAsia="en-GB"/>
        </w:rPr>
        <w:t>Transporto keliamos oro taršos pokyčiai</w:t>
      </w:r>
    </w:p>
    <w:p w14:paraId="5C0861E8" w14:textId="77777777" w:rsidR="00A050C6" w:rsidRDefault="00A050C6" w:rsidP="00454E77">
      <w:pPr>
        <w:suppressAutoHyphens/>
        <w:autoSpaceDN w:val="0"/>
        <w:spacing w:before="120" w:after="120"/>
        <w:ind w:firstLine="709"/>
        <w:textAlignment w:val="baseline"/>
        <w:rPr>
          <w:rFonts w:eastAsia="Calibri" w:cs="Arial"/>
          <w:color w:val="auto"/>
          <w:szCs w:val="38"/>
        </w:rPr>
      </w:pPr>
    </w:p>
    <w:p w14:paraId="70C325D7" w14:textId="26FD3C8B" w:rsidR="00454E77" w:rsidRPr="00033860" w:rsidRDefault="00454E77" w:rsidP="00454E77">
      <w:pPr>
        <w:suppressAutoHyphens/>
        <w:autoSpaceDN w:val="0"/>
        <w:spacing w:before="120" w:after="120"/>
        <w:ind w:firstLine="709"/>
        <w:textAlignment w:val="baseline"/>
        <w:rPr>
          <w:rFonts w:eastAsia="Calibri" w:cs="Arial"/>
          <w:color w:val="auto"/>
          <w:szCs w:val="38"/>
        </w:rPr>
      </w:pPr>
      <w:r w:rsidRPr="00033860">
        <w:rPr>
          <w:rFonts w:eastAsia="Calibri" w:cs="Arial"/>
          <w:color w:val="auto"/>
          <w:szCs w:val="38"/>
        </w:rPr>
        <w:t>Nekilnojamojo turto vertės padidėjimo sąsaja su teritorijoje esančiomis viešosiomis žaliosiomis erdvėmis patvirtina įvairūs tyrimai ir analizės</w:t>
      </w:r>
      <w:r w:rsidRPr="00033860">
        <w:rPr>
          <w:rFonts w:eastAsia="Calibri" w:cs="Arial"/>
          <w:color w:val="auto"/>
          <w:szCs w:val="38"/>
          <w:vertAlign w:val="superscript"/>
        </w:rPr>
        <w:footnoteReference w:id="3"/>
      </w:r>
      <w:r w:rsidRPr="00033860">
        <w:rPr>
          <w:rFonts w:eastAsia="Calibri" w:cs="Arial"/>
          <w:color w:val="auto"/>
          <w:szCs w:val="38"/>
        </w:rPr>
        <w:t>.</w:t>
      </w:r>
    </w:p>
    <w:p w14:paraId="098FA424" w14:textId="77777777" w:rsidR="00454E77" w:rsidRPr="00033860" w:rsidRDefault="00454E77" w:rsidP="00454E77">
      <w:pPr>
        <w:suppressAutoHyphens/>
        <w:autoSpaceDN w:val="0"/>
        <w:spacing w:before="120" w:after="120"/>
        <w:ind w:firstLine="709"/>
        <w:textAlignment w:val="baseline"/>
        <w:rPr>
          <w:rFonts w:eastAsia="Calibri" w:cs="Arial"/>
          <w:color w:val="auto"/>
          <w:szCs w:val="38"/>
        </w:rPr>
      </w:pPr>
      <w:r w:rsidRPr="00033860">
        <w:rPr>
          <w:rFonts w:eastAsia="Calibri" w:cs="Arial"/>
          <w:color w:val="auto"/>
          <w:szCs w:val="38"/>
        </w:rPr>
        <w:t>Kaip analizuota IP 1 dalyje, projektas gali pagerinti gyventojų nuomonę apie mikrorajoną (seniūniją), tad padidės noras persikelti gyventi į šią miesto dalį, gali padidėti gyventojų laimės jausmas šalia sutvarkytų žaliųjų erdvių, gyventojų bendruomeniškumas, tačiau nėra atlikta tyrimų ar pan. analizės, kuri leistų šiuos komponentus įvertinti pinigais.</w:t>
      </w:r>
    </w:p>
    <w:p w14:paraId="6698B671" w14:textId="77777777" w:rsidR="00454E77" w:rsidRPr="00033860" w:rsidRDefault="00454E77" w:rsidP="00454E77">
      <w:pPr>
        <w:suppressAutoHyphens/>
        <w:autoSpaceDN w:val="0"/>
        <w:spacing w:before="120" w:after="120"/>
        <w:ind w:firstLine="709"/>
        <w:textAlignment w:val="baseline"/>
        <w:rPr>
          <w:rFonts w:eastAsia="Calibri" w:cs="Arial"/>
          <w:color w:val="auto"/>
          <w:szCs w:val="38"/>
        </w:rPr>
      </w:pPr>
      <w:r w:rsidRPr="00033860">
        <w:rPr>
          <w:rFonts w:eastAsia="Calibri" w:cs="Arial"/>
          <w:color w:val="auto"/>
          <w:szCs w:val="38"/>
        </w:rPr>
        <w:t>Analizuojant aukščiau įvardintus naudos komponentus, prieita išvados, kad tik komponentas „</w:t>
      </w:r>
      <w:r w:rsidRPr="00033860">
        <w:rPr>
          <w:rFonts w:eastAsia="Calibri" w:cs="Arial"/>
          <w:color w:val="auto"/>
          <w:lang w:eastAsia="en-GB"/>
        </w:rPr>
        <w:t>Vietovės patrauklumo namų ūkiams padidėjimas</w:t>
      </w:r>
      <w:r w:rsidRPr="00033860">
        <w:rPr>
          <w:rFonts w:eastAsia="Calibri" w:cs="Arial"/>
          <w:color w:val="auto"/>
          <w:szCs w:val="38"/>
        </w:rPr>
        <w:t>“ gali būti tinkamai įvertintas kokybine ir kiekybine išraiškomis, todėl toliau analizuojamas.</w:t>
      </w:r>
    </w:p>
    <w:p w14:paraId="0B9C0431" w14:textId="77777777" w:rsidR="00454E77" w:rsidRPr="00033860" w:rsidRDefault="00454E77" w:rsidP="00454E77">
      <w:pPr>
        <w:suppressAutoHyphens/>
        <w:autoSpaceDN w:val="0"/>
        <w:spacing w:before="120" w:after="120"/>
        <w:ind w:firstLine="709"/>
        <w:textAlignment w:val="baseline"/>
        <w:rPr>
          <w:rFonts w:eastAsia="Calibri" w:cs="Arial"/>
          <w:color w:val="auto"/>
          <w:szCs w:val="38"/>
        </w:rPr>
      </w:pPr>
      <w:r w:rsidRPr="00033860">
        <w:rPr>
          <w:rFonts w:eastAsia="Calibri" w:cs="Arial"/>
          <w:color w:val="auto"/>
          <w:szCs w:val="38"/>
        </w:rPr>
        <w:t>Kiti 2 komponentai nėra vertinami, nes:</w:t>
      </w:r>
    </w:p>
    <w:p w14:paraId="7B5977EE" w14:textId="77777777" w:rsidR="00454E77" w:rsidRPr="00033860" w:rsidRDefault="00454E77" w:rsidP="00454E77">
      <w:pPr>
        <w:numPr>
          <w:ilvl w:val="0"/>
          <w:numId w:val="31"/>
        </w:numPr>
        <w:suppressAutoHyphens/>
        <w:autoSpaceDE w:val="0"/>
        <w:autoSpaceDN w:val="0"/>
        <w:adjustRightInd w:val="0"/>
        <w:spacing w:before="120" w:after="120" w:line="276" w:lineRule="auto"/>
        <w:ind w:left="709" w:hanging="709"/>
        <w:contextualSpacing/>
        <w:textAlignment w:val="baseline"/>
        <w:rPr>
          <w:rFonts w:eastAsia="SimSun" w:cs="Arial"/>
          <w:color w:val="auto"/>
          <w:lang w:eastAsia="en-GB"/>
        </w:rPr>
      </w:pPr>
      <w:r w:rsidRPr="00033860">
        <w:rPr>
          <w:rFonts w:eastAsia="SimSun" w:cs="Arial"/>
          <w:color w:val="auto"/>
          <w:lang w:eastAsia="en-GB"/>
        </w:rPr>
        <w:t>Nėra pradinės reikšmės (vertės) konkrečioje vietoje;</w:t>
      </w:r>
    </w:p>
    <w:p w14:paraId="325AE524" w14:textId="77777777" w:rsidR="00454E77" w:rsidRPr="00033860" w:rsidRDefault="00454E77" w:rsidP="00454E77">
      <w:pPr>
        <w:numPr>
          <w:ilvl w:val="0"/>
          <w:numId w:val="31"/>
        </w:numPr>
        <w:suppressAutoHyphens/>
        <w:autoSpaceDE w:val="0"/>
        <w:autoSpaceDN w:val="0"/>
        <w:adjustRightInd w:val="0"/>
        <w:spacing w:before="120" w:after="120" w:line="276" w:lineRule="auto"/>
        <w:ind w:left="709" w:hanging="709"/>
        <w:contextualSpacing/>
        <w:textAlignment w:val="baseline"/>
        <w:rPr>
          <w:rFonts w:eastAsia="SimSun" w:cs="Arial"/>
          <w:color w:val="auto"/>
          <w:lang w:eastAsia="en-GB"/>
        </w:rPr>
      </w:pPr>
      <w:r w:rsidRPr="00033860">
        <w:rPr>
          <w:rFonts w:eastAsia="SimSun" w:cs="Arial"/>
          <w:color w:val="auto"/>
          <w:lang w:eastAsia="en-GB"/>
        </w:rPr>
        <w:t>Nėra tyrimų ana analizių, kurie leistų įvertinti pokytį ir jį susieti su konkretaus projekto įgyvendinimu.</w:t>
      </w:r>
    </w:p>
    <w:p w14:paraId="614D400A" w14:textId="77777777" w:rsidR="00A050C6" w:rsidRDefault="00A050C6">
      <w:pPr>
        <w:ind w:firstLine="0"/>
        <w:jc w:val="left"/>
        <w:rPr>
          <w:rFonts w:eastAsiaTheme="majorEastAsia" w:cstheme="majorBidi"/>
          <w:b/>
          <w:color w:val="1F3864" w:themeColor="accent1" w:themeShade="80"/>
        </w:rPr>
      </w:pPr>
      <w:bookmarkStart w:id="393" w:name="_Toc160538169"/>
      <w:bookmarkStart w:id="394" w:name="_Toc170137122"/>
      <w:bookmarkStart w:id="395" w:name="_Toc170148140"/>
      <w:bookmarkStart w:id="396" w:name="_Toc170416897"/>
      <w:bookmarkStart w:id="397" w:name="_Toc171350562"/>
      <w:bookmarkStart w:id="398" w:name="_Toc171355256"/>
      <w:r>
        <w:br w:type="page"/>
      </w:r>
    </w:p>
    <w:p w14:paraId="64155D55" w14:textId="48A0F113" w:rsidR="00454E77" w:rsidRPr="006E0A53" w:rsidRDefault="00454E77" w:rsidP="00454E77">
      <w:pPr>
        <w:pStyle w:val="LentelsL"/>
      </w:pPr>
      <w:bookmarkStart w:id="399" w:name="_Toc198807821"/>
      <w:r w:rsidRPr="006E0A53">
        <w:lastRenderedPageBreak/>
        <w:t>5.3.1. lentelė. Projektui taikomi naudos komponentai</w:t>
      </w:r>
      <w:bookmarkEnd w:id="393"/>
      <w:bookmarkEnd w:id="394"/>
      <w:bookmarkEnd w:id="395"/>
      <w:bookmarkEnd w:id="396"/>
      <w:bookmarkEnd w:id="397"/>
      <w:bookmarkEnd w:id="398"/>
      <w:bookmarkEnd w:id="399"/>
    </w:p>
    <w:tbl>
      <w:tblPr>
        <w:tblStyle w:val="3sraolentel1parykinimas1"/>
        <w:tblW w:w="5000" w:type="pct"/>
        <w:tblInd w:w="0" w:type="dxa"/>
        <w:tblLook w:val="00A0" w:firstRow="1" w:lastRow="0" w:firstColumn="1" w:lastColumn="0" w:noHBand="0" w:noVBand="0"/>
      </w:tblPr>
      <w:tblGrid>
        <w:gridCol w:w="1696"/>
        <w:gridCol w:w="8499"/>
      </w:tblGrid>
      <w:tr w:rsidR="00454E77" w:rsidRPr="00033860" w14:paraId="1ACB50E8" w14:textId="77777777" w:rsidTr="009E5D1B">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100" w:firstRow="0" w:lastRow="0" w:firstColumn="1" w:lastColumn="0" w:oddVBand="0" w:evenVBand="0" w:oddHBand="0" w:evenHBand="0" w:firstRowFirstColumn="1" w:firstRowLastColumn="0" w:lastRowFirstColumn="0" w:lastRowLastColumn="0"/>
            <w:tcW w:w="1696" w:type="dxa"/>
          </w:tcPr>
          <w:p w14:paraId="22AA7C1E" w14:textId="77777777" w:rsidR="00454E77" w:rsidRPr="00033860" w:rsidRDefault="00454E77" w:rsidP="009E5D1B">
            <w:pPr>
              <w:suppressAutoHyphens/>
              <w:spacing w:before="120" w:after="120"/>
              <w:ind w:firstLine="0"/>
              <w:jc w:val="center"/>
              <w:rPr>
                <w:rFonts w:cs="Arial"/>
                <w:color w:val="FFFFFF"/>
                <w:szCs w:val="20"/>
                <w:lang w:val="lt-LT"/>
              </w:rPr>
            </w:pPr>
            <w:r w:rsidRPr="00033860">
              <w:rPr>
                <w:rFonts w:cs="Arial"/>
                <w:color w:val="FFFFFF"/>
                <w:szCs w:val="20"/>
                <w:lang w:val="lt-LT"/>
              </w:rPr>
              <w:t>Taikomi žalos (naudos)  komponentai</w:t>
            </w:r>
          </w:p>
        </w:tc>
        <w:tc>
          <w:tcPr>
            <w:cnfStyle w:val="000010000000" w:firstRow="0" w:lastRow="0" w:firstColumn="0" w:lastColumn="0" w:oddVBand="1" w:evenVBand="0" w:oddHBand="0" w:evenHBand="0" w:firstRowFirstColumn="0" w:firstRowLastColumn="0" w:lastRowFirstColumn="0" w:lastRowLastColumn="0"/>
            <w:tcW w:w="8499" w:type="dxa"/>
          </w:tcPr>
          <w:p w14:paraId="01685681" w14:textId="77777777" w:rsidR="00454E77" w:rsidRPr="00033860" w:rsidRDefault="00454E77" w:rsidP="009E5D1B">
            <w:pPr>
              <w:suppressAutoHyphens/>
              <w:spacing w:before="120" w:after="120"/>
              <w:ind w:firstLine="0"/>
              <w:jc w:val="center"/>
              <w:rPr>
                <w:rFonts w:cs="Arial"/>
                <w:color w:val="FFFFFF"/>
                <w:szCs w:val="20"/>
                <w:lang w:val="lt-LT"/>
              </w:rPr>
            </w:pPr>
            <w:r w:rsidRPr="00033860">
              <w:rPr>
                <w:rFonts w:cs="Arial"/>
                <w:color w:val="FFFFFF"/>
                <w:szCs w:val="20"/>
                <w:lang w:val="lt-LT"/>
              </w:rPr>
              <w:t>Išraiška</w:t>
            </w:r>
          </w:p>
        </w:tc>
      </w:tr>
      <w:tr w:rsidR="00454E77" w:rsidRPr="00033860" w14:paraId="0B8FFC0B" w14:textId="77777777" w:rsidTr="009E5D1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4EB970C" w14:textId="77777777" w:rsidR="00454E77" w:rsidRPr="00033860" w:rsidRDefault="00454E77" w:rsidP="009E5D1B">
            <w:pPr>
              <w:autoSpaceDE w:val="0"/>
              <w:adjustRightInd w:val="0"/>
              <w:ind w:firstLine="0"/>
              <w:jc w:val="center"/>
              <w:rPr>
                <w:rFonts w:cs="Arial"/>
                <w:color w:val="000000"/>
                <w:szCs w:val="20"/>
                <w:lang w:val="lt-LT"/>
              </w:rPr>
            </w:pPr>
            <w:r w:rsidRPr="00033860">
              <w:rPr>
                <w:rFonts w:cs="Arial"/>
                <w:color w:val="000000"/>
                <w:szCs w:val="20"/>
                <w:lang w:val="lt-LT"/>
              </w:rPr>
              <w:t>Vietovės patrauklumo namų ūkiams padidėjimas</w:t>
            </w:r>
          </w:p>
        </w:tc>
        <w:tc>
          <w:tcPr>
            <w:cnfStyle w:val="000010000000" w:firstRow="0" w:lastRow="0" w:firstColumn="0" w:lastColumn="0" w:oddVBand="1" w:evenVBand="0" w:oddHBand="0" w:evenHBand="0" w:firstRowFirstColumn="0" w:firstRowLastColumn="0" w:lastRowFirstColumn="0" w:lastRowLastColumn="0"/>
            <w:tcW w:w="8499" w:type="dxa"/>
            <w:vAlign w:val="center"/>
          </w:tcPr>
          <w:p w14:paraId="5D0E6044" w14:textId="77777777" w:rsidR="00454E77" w:rsidRPr="00033860" w:rsidRDefault="00454E77" w:rsidP="00454E77">
            <w:pPr>
              <w:numPr>
                <w:ilvl w:val="0"/>
                <w:numId w:val="32"/>
              </w:numPr>
              <w:suppressAutoHyphens/>
              <w:spacing w:before="120"/>
              <w:ind w:left="402"/>
              <w:contextualSpacing/>
              <w:jc w:val="left"/>
              <w:rPr>
                <w:rFonts w:cs="Arial"/>
                <w:color w:val="auto"/>
                <w:szCs w:val="20"/>
                <w:lang w:val="lt-LT"/>
              </w:rPr>
            </w:pPr>
            <w:r w:rsidRPr="00033860">
              <w:rPr>
                <w:rFonts w:cs="Arial"/>
                <w:color w:val="auto"/>
                <w:szCs w:val="20"/>
                <w:lang w:val="lt-LT"/>
              </w:rPr>
              <w:t xml:space="preserve">Tiesioginis poveikis </w:t>
            </w:r>
          </w:p>
        </w:tc>
      </w:tr>
      <w:tr w:rsidR="00454E77" w:rsidRPr="00033860" w14:paraId="4D08C49B" w14:textId="77777777" w:rsidTr="009E5D1B">
        <w:trPr>
          <w:trHeight w:val="234"/>
        </w:trPr>
        <w:tc>
          <w:tcPr>
            <w:cnfStyle w:val="001000000000" w:firstRow="0" w:lastRow="0" w:firstColumn="1" w:lastColumn="0" w:oddVBand="0" w:evenVBand="0" w:oddHBand="0" w:evenHBand="0" w:firstRowFirstColumn="0" w:firstRowLastColumn="0" w:lastRowFirstColumn="0" w:lastRowLastColumn="0"/>
            <w:tcW w:w="1696" w:type="dxa"/>
            <w:vMerge/>
          </w:tcPr>
          <w:p w14:paraId="2DC4DA02" w14:textId="77777777" w:rsidR="00454E77" w:rsidRPr="00033860" w:rsidRDefault="00454E77" w:rsidP="009E5D1B">
            <w:pPr>
              <w:suppressAutoHyphens/>
              <w:spacing w:before="120" w:after="120"/>
              <w:ind w:firstLine="0"/>
              <w:jc w:val="left"/>
              <w:rPr>
                <w:rFonts w:cs="Arial"/>
                <w:color w:val="auto"/>
                <w:szCs w:val="20"/>
                <w:lang w:val="lt-LT"/>
              </w:rPr>
            </w:pPr>
          </w:p>
        </w:tc>
        <w:tc>
          <w:tcPr>
            <w:cnfStyle w:val="000010000000" w:firstRow="0" w:lastRow="0" w:firstColumn="0" w:lastColumn="0" w:oddVBand="1" w:evenVBand="0" w:oddHBand="0" w:evenHBand="0" w:firstRowFirstColumn="0" w:firstRowLastColumn="0" w:lastRowFirstColumn="0" w:lastRowLastColumn="0"/>
            <w:tcW w:w="8499" w:type="dxa"/>
            <w:vAlign w:val="center"/>
          </w:tcPr>
          <w:p w14:paraId="73EC586A" w14:textId="77777777" w:rsidR="00454E77" w:rsidRPr="00033860" w:rsidRDefault="00454E77" w:rsidP="00454E77">
            <w:pPr>
              <w:numPr>
                <w:ilvl w:val="0"/>
                <w:numId w:val="32"/>
              </w:numPr>
              <w:suppressAutoHyphens/>
              <w:spacing w:before="120"/>
              <w:ind w:left="402"/>
              <w:contextualSpacing/>
              <w:jc w:val="left"/>
              <w:rPr>
                <w:rFonts w:cs="Arial"/>
                <w:color w:val="auto"/>
                <w:szCs w:val="20"/>
                <w:lang w:val="lt-LT"/>
              </w:rPr>
            </w:pPr>
            <w:r w:rsidRPr="00033860">
              <w:rPr>
                <w:rFonts w:cs="Arial"/>
                <w:color w:val="auto"/>
                <w:szCs w:val="20"/>
                <w:lang w:val="lt-LT"/>
              </w:rPr>
              <w:t>Nekilnojamojo turto vertės padidėjimas</w:t>
            </w:r>
          </w:p>
        </w:tc>
      </w:tr>
      <w:tr w:rsidR="00454E77" w:rsidRPr="00033860" w14:paraId="3708D674" w14:textId="77777777" w:rsidTr="009E5D1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96" w:type="dxa"/>
            <w:vMerge/>
          </w:tcPr>
          <w:p w14:paraId="646B4FF0" w14:textId="77777777" w:rsidR="00454E77" w:rsidRPr="00033860" w:rsidRDefault="00454E77" w:rsidP="009E5D1B">
            <w:pPr>
              <w:suppressAutoHyphens/>
              <w:spacing w:before="120" w:after="120"/>
              <w:ind w:firstLine="0"/>
              <w:jc w:val="left"/>
              <w:rPr>
                <w:rFonts w:cs="Arial"/>
                <w:color w:val="auto"/>
                <w:szCs w:val="20"/>
                <w:lang w:val="lt-LT"/>
              </w:rPr>
            </w:pPr>
          </w:p>
        </w:tc>
        <w:tc>
          <w:tcPr>
            <w:cnfStyle w:val="000010000000" w:firstRow="0" w:lastRow="0" w:firstColumn="0" w:lastColumn="0" w:oddVBand="1" w:evenVBand="0" w:oddHBand="0" w:evenHBand="0" w:firstRowFirstColumn="0" w:firstRowLastColumn="0" w:lastRowFirstColumn="0" w:lastRowLastColumn="0"/>
            <w:tcW w:w="8499" w:type="dxa"/>
            <w:vAlign w:val="center"/>
          </w:tcPr>
          <w:p w14:paraId="03E69E08" w14:textId="77777777" w:rsidR="00454E77" w:rsidRPr="00033860" w:rsidRDefault="00454E77" w:rsidP="00454E77">
            <w:pPr>
              <w:numPr>
                <w:ilvl w:val="0"/>
                <w:numId w:val="32"/>
              </w:numPr>
              <w:suppressAutoHyphens/>
              <w:spacing w:before="120"/>
              <w:ind w:left="402"/>
              <w:contextualSpacing/>
              <w:jc w:val="left"/>
              <w:rPr>
                <w:rFonts w:cs="Arial"/>
                <w:color w:val="auto"/>
                <w:szCs w:val="20"/>
                <w:lang w:val="lt-LT"/>
              </w:rPr>
            </w:pPr>
            <w:r w:rsidRPr="00033860">
              <w:rPr>
                <w:rFonts w:cs="Arial"/>
                <w:color w:val="auto"/>
                <w:szCs w:val="20"/>
                <w:lang w:val="lt-LT"/>
              </w:rPr>
              <w:t>Pasireiškimo mastas vertinamas pagal ataskaitos 68 lentelės 3 p.:</w:t>
            </w:r>
          </w:p>
          <w:p w14:paraId="41494557" w14:textId="77777777" w:rsidR="00454E77" w:rsidRPr="00033860" w:rsidRDefault="00454E77" w:rsidP="00454E77">
            <w:pPr>
              <w:numPr>
                <w:ilvl w:val="0"/>
                <w:numId w:val="33"/>
              </w:numPr>
              <w:suppressAutoHyphens/>
              <w:spacing w:before="120"/>
              <w:ind w:left="466" w:hanging="141"/>
              <w:contextualSpacing/>
              <w:rPr>
                <w:rFonts w:eastAsia="SimSun" w:cs="Arial"/>
                <w:color w:val="auto"/>
                <w:szCs w:val="20"/>
                <w:lang w:val="lt-LT"/>
              </w:rPr>
            </w:pPr>
            <w:r w:rsidRPr="00033860">
              <w:rPr>
                <w:rFonts w:eastAsia="SimSun" w:cs="Arial"/>
                <w:color w:val="auto"/>
                <w:szCs w:val="20"/>
                <w:lang w:val="lt-LT"/>
              </w:rPr>
              <w:t>Projektas apima lokalizuotą seniūnijos masto viešąją erdvę, todėl atitinka apibūdinimą „Projektas apima labai lokalizuotas intervencijas, nukreiptas į vieną konkretų plotą (pavyzdžiui, mažą žaliąją erdvę, upės krantą, miesto aikštę ir pan.), neapimančias svarbiausių miesto vietų ir matomas tik vietiniams gyventojams“</w:t>
            </w:r>
          </w:p>
          <w:p w14:paraId="32F5E96E" w14:textId="77777777" w:rsidR="00454E77" w:rsidRPr="00033860" w:rsidRDefault="00454E77" w:rsidP="00454E77">
            <w:pPr>
              <w:numPr>
                <w:ilvl w:val="0"/>
                <w:numId w:val="33"/>
              </w:numPr>
              <w:suppressAutoHyphens/>
              <w:spacing w:before="120"/>
              <w:ind w:left="466" w:hanging="141"/>
              <w:contextualSpacing/>
              <w:rPr>
                <w:rFonts w:eastAsia="SimSun" w:cs="Arial"/>
                <w:color w:val="auto"/>
                <w:szCs w:val="20"/>
                <w:lang w:val="lt-LT"/>
              </w:rPr>
            </w:pPr>
            <w:r w:rsidRPr="00033860">
              <w:rPr>
                <w:rFonts w:eastAsia="SimSun" w:cs="Arial"/>
                <w:color w:val="auto"/>
                <w:szCs w:val="20"/>
                <w:lang w:val="lt-LT"/>
              </w:rPr>
              <w:t>Laukiamas kainos padidėjimas labiausiai paveiktoje teritorijoje – 1-5 proc.</w:t>
            </w:r>
          </w:p>
          <w:p w14:paraId="1F08FE19" w14:textId="78B26652" w:rsidR="00454E77" w:rsidRPr="00033860" w:rsidRDefault="00454E77" w:rsidP="00454E77">
            <w:pPr>
              <w:numPr>
                <w:ilvl w:val="0"/>
                <w:numId w:val="33"/>
              </w:numPr>
              <w:suppressAutoHyphens/>
              <w:spacing w:before="120"/>
              <w:ind w:left="466" w:hanging="141"/>
              <w:contextualSpacing/>
              <w:rPr>
                <w:rFonts w:eastAsia="SimSun" w:cs="Arial"/>
                <w:color w:val="auto"/>
                <w:szCs w:val="20"/>
                <w:lang w:val="lt-LT"/>
              </w:rPr>
            </w:pPr>
            <w:r w:rsidRPr="00033860">
              <w:rPr>
                <w:rFonts w:eastAsia="SimSun" w:cs="Arial"/>
                <w:color w:val="auto"/>
                <w:szCs w:val="20"/>
                <w:lang w:val="lt-LT"/>
              </w:rPr>
              <w:t>Atsižvelgiant į tai, kad nekilnojamojo turto vertės zonoje (</w:t>
            </w:r>
            <w:r w:rsidR="003A5431">
              <w:rPr>
                <w:rFonts w:eastAsia="SimSun" w:cs="Arial"/>
                <w:color w:val="auto"/>
                <w:szCs w:val="20"/>
                <w:lang w:val="lt-LT"/>
              </w:rPr>
              <w:t>54.1.5.</w:t>
            </w:r>
            <w:r w:rsidRPr="00033860">
              <w:rPr>
                <w:rFonts w:eastAsia="SimSun" w:cs="Arial"/>
                <w:color w:val="auto"/>
                <w:szCs w:val="20"/>
                <w:lang w:val="lt-LT"/>
              </w:rPr>
              <w:t xml:space="preserve">) yra didelės apimties viešosios žaliosios erdvės, laikoma, kad kainos padidėjimas prilyginamas </w:t>
            </w:r>
            <w:r w:rsidRPr="006E0A53">
              <w:rPr>
                <w:rFonts w:eastAsia="SimSun" w:cs="Arial"/>
                <w:color w:val="auto"/>
                <w:szCs w:val="20"/>
                <w:lang w:val="lt-LT"/>
              </w:rPr>
              <w:t>1</w:t>
            </w:r>
            <w:r w:rsidRPr="00033860">
              <w:rPr>
                <w:rFonts w:eastAsia="SimSun" w:cs="Arial"/>
                <w:color w:val="auto"/>
                <w:szCs w:val="20"/>
                <w:lang w:val="lt-LT"/>
              </w:rPr>
              <w:t xml:space="preserve"> proc.</w:t>
            </w:r>
          </w:p>
        </w:tc>
      </w:tr>
    </w:tbl>
    <w:p w14:paraId="69180405" w14:textId="77777777" w:rsidR="00454E77" w:rsidRPr="00033860" w:rsidRDefault="00454E77" w:rsidP="00454E77">
      <w:pPr>
        <w:suppressAutoHyphens/>
        <w:autoSpaceDN w:val="0"/>
        <w:spacing w:before="120" w:after="240" w:line="240" w:lineRule="auto"/>
        <w:ind w:firstLine="0"/>
        <w:jc w:val="center"/>
        <w:textAlignment w:val="baseline"/>
        <w:rPr>
          <w:rFonts w:eastAsia="Calibri" w:cs="Arial"/>
          <w:i/>
          <w:color w:val="auto"/>
          <w:sz w:val="20"/>
          <w:szCs w:val="20"/>
        </w:rPr>
      </w:pPr>
      <w:r w:rsidRPr="00033860">
        <w:rPr>
          <w:rFonts w:eastAsia="Calibri" w:cs="Arial"/>
          <w:i/>
          <w:color w:val="auto"/>
          <w:sz w:val="20"/>
          <w:szCs w:val="20"/>
        </w:rPr>
        <w:t>Šaltinis: tyrimo „Metodikos ir modelio, skirto įvertinti investicijų, finansuojamų Europos Sąjungos struktūrinių fondų ir Lietuvos nacionalinio biudžeto lėšomis, socialinį–ekonominį poveikį, sukūrimas“ ataskaita</w:t>
      </w:r>
    </w:p>
    <w:p w14:paraId="595F1286" w14:textId="77777777" w:rsidR="00454E77" w:rsidRPr="00033860" w:rsidRDefault="00454E77" w:rsidP="00454E77">
      <w:pPr>
        <w:suppressAutoHyphens/>
        <w:autoSpaceDN w:val="0"/>
        <w:spacing w:before="120" w:after="120"/>
        <w:textAlignment w:val="baseline"/>
        <w:rPr>
          <w:rFonts w:eastAsia="Calibri" w:cs="Arial"/>
          <w:color w:val="auto"/>
          <w:szCs w:val="38"/>
        </w:rPr>
      </w:pPr>
      <w:r w:rsidRPr="00033860">
        <w:rPr>
          <w:rFonts w:eastAsia="Calibri" w:cs="Arial"/>
          <w:color w:val="auto"/>
          <w:szCs w:val="38"/>
        </w:rPr>
        <w:t>Verta pažymėti, kad Projekto teritorija priskiriama atskirai verčių zonai, kuriai būdingas aukštas augimo potencialas (pateikiama ištrauka iš VĮ Registrų centro nekilnojamojo turto masinio vertinimo ataskaitos):</w:t>
      </w:r>
    </w:p>
    <w:p w14:paraId="4863E28F" w14:textId="25003FA6" w:rsidR="003A5431" w:rsidRDefault="003A5431" w:rsidP="003A54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BDB" w:themeFill="accent3" w:themeFillTint="66"/>
        <w:ind w:firstLine="0"/>
        <w:rPr>
          <w:rFonts w:eastAsia="Calibri" w:cs="Raleway Light"/>
          <w:color w:val="auto"/>
          <w:sz w:val="20"/>
          <w:szCs w:val="20"/>
        </w:rPr>
      </w:pPr>
      <w:r w:rsidRPr="003A5431">
        <w:rPr>
          <w:rFonts w:eastAsia="Calibri" w:cs="Raleway Light"/>
          <w:color w:val="auto"/>
          <w:sz w:val="20"/>
          <w:szCs w:val="20"/>
        </w:rPr>
        <w:t xml:space="preserve">54.1.5 verčių zona – teritorija, išsidėsčiusi šiaurės vakarų Utenos miesto dalyje. Į šią verčių zoną įeina individualių namų kvartalai, taip pat yra ir komercinių, socialinių bei kultūros objektų, išsidėsčiusių palei kelią Vilnius-Utena ir gretimose gatvėse. Šioje teritorijoje perspektyvoje numatyta gyvenamosios paskirties žemės sklypų plėtra, todėl palaipsniui urbanizuojama: daromi detalūs planai, keičiama žemės sklypų paskirtis bei statomi individualūs gyvenamieji namai. Dėl plėtros, gero susisiekimo, nedidelio atstumo iki Utenos miesto centro, nekilnojamojo turto paklausa šioje teritorijoje pastaruoju metu kilo. </w:t>
      </w:r>
    </w:p>
    <w:p w14:paraId="4F8C1D10" w14:textId="25A51002" w:rsidR="00454E77" w:rsidRPr="00033860" w:rsidRDefault="00454E77" w:rsidP="00454E77">
      <w:r w:rsidRPr="00033860">
        <w:t xml:space="preserve">Remiantis aukščiau pateiktos lentelės apskaičiavimo principais, apskaičiuota socialinė-ekonominė nauda siekia </w:t>
      </w:r>
      <w:r w:rsidR="003A5431">
        <w:t>3 906 955</w:t>
      </w:r>
      <w:r w:rsidRPr="00033860">
        <w:t xml:space="preserve"> EUR (detalūs skaičiavimai pateikiami SNA skaičiuoklėje).</w:t>
      </w:r>
    </w:p>
    <w:p w14:paraId="4D43BBD7" w14:textId="77777777" w:rsidR="00454E77" w:rsidRPr="006E0A53" w:rsidRDefault="00454E77" w:rsidP="00454E77">
      <w:pPr>
        <w:pStyle w:val="Paantrat"/>
        <w:rPr>
          <w:rFonts w:eastAsia="Times New Roman"/>
        </w:rPr>
      </w:pPr>
      <w:bookmarkStart w:id="400" w:name="_Toc160544057"/>
      <w:bookmarkStart w:id="401" w:name="_Toc165002208"/>
      <w:bookmarkStart w:id="402" w:name="_Toc170137215"/>
      <w:bookmarkStart w:id="403" w:name="_Toc170148203"/>
      <w:bookmarkStart w:id="404" w:name="_Toc170416857"/>
      <w:bookmarkStart w:id="405" w:name="_Toc171350991"/>
      <w:bookmarkStart w:id="406" w:name="_Toc171355477"/>
      <w:r w:rsidRPr="006E0A53">
        <w:rPr>
          <w:rFonts w:eastAsia="Times New Roman"/>
        </w:rPr>
        <w:t>5.3.2. Poveikio mastas</w:t>
      </w:r>
      <w:bookmarkEnd w:id="400"/>
      <w:bookmarkEnd w:id="401"/>
      <w:bookmarkEnd w:id="402"/>
      <w:bookmarkEnd w:id="403"/>
      <w:bookmarkEnd w:id="404"/>
      <w:bookmarkEnd w:id="405"/>
      <w:bookmarkEnd w:id="406"/>
    </w:p>
    <w:p w14:paraId="3A89F675" w14:textId="77777777" w:rsidR="00454E77" w:rsidRPr="00033860" w:rsidRDefault="00454E77" w:rsidP="00454E77">
      <w:pPr>
        <w:rPr>
          <w:rFonts w:cs="Arial"/>
          <w:lang w:eastAsia="lt-LT"/>
        </w:rPr>
      </w:pPr>
      <w:r w:rsidRPr="00033860">
        <w:rPr>
          <w:rFonts w:cs="Arial"/>
          <w:lang w:eastAsia="lt-LT"/>
        </w:rPr>
        <w:t>Atitinkamai pateikiami nustatytų socialinio ekonominio poveikio kriterijų ekonominiai įvertinimai. Lentelėje pateikiamas pasirinktų kriterijų masto ir finansinės-ekonominės vertės vertinimas.</w:t>
      </w:r>
    </w:p>
    <w:p w14:paraId="59C0A7B1" w14:textId="77777777" w:rsidR="00454E77" w:rsidRPr="006E0A53" w:rsidRDefault="00454E77" w:rsidP="00454E77">
      <w:pPr>
        <w:pStyle w:val="LentelsL"/>
      </w:pPr>
      <w:bookmarkStart w:id="407" w:name="_Toc160538170"/>
      <w:bookmarkStart w:id="408" w:name="_Toc170137123"/>
      <w:bookmarkStart w:id="409" w:name="_Toc170148141"/>
      <w:bookmarkStart w:id="410" w:name="_Toc170416898"/>
      <w:bookmarkStart w:id="411" w:name="_Toc171350563"/>
      <w:bookmarkStart w:id="412" w:name="_Toc171355257"/>
      <w:bookmarkStart w:id="413" w:name="_Toc198807822"/>
      <w:r w:rsidRPr="006E0A53">
        <w:t>5.3.2. lentelė. Pasirinktų kriterijų masto ir finansinės-ekonominės vertės vertinimas</w:t>
      </w:r>
      <w:bookmarkEnd w:id="407"/>
      <w:bookmarkEnd w:id="408"/>
      <w:bookmarkEnd w:id="409"/>
      <w:bookmarkEnd w:id="410"/>
      <w:bookmarkEnd w:id="411"/>
      <w:bookmarkEnd w:id="412"/>
      <w:bookmarkEnd w:id="413"/>
    </w:p>
    <w:tbl>
      <w:tblPr>
        <w:tblStyle w:val="3sraolentel1parykinimas1"/>
        <w:tblW w:w="5000" w:type="pct"/>
        <w:tblInd w:w="0" w:type="dxa"/>
        <w:tblLook w:val="00A0" w:firstRow="1" w:lastRow="0" w:firstColumn="1" w:lastColumn="0" w:noHBand="0" w:noVBand="0"/>
      </w:tblPr>
      <w:tblGrid>
        <w:gridCol w:w="3114"/>
        <w:gridCol w:w="7081"/>
      </w:tblGrid>
      <w:tr w:rsidR="00454E77" w:rsidRPr="00033860" w14:paraId="18AAAA9D" w14:textId="77777777" w:rsidTr="009E5D1B">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3114" w:type="dxa"/>
          </w:tcPr>
          <w:p w14:paraId="4EEE0C30" w14:textId="77777777" w:rsidR="00454E77" w:rsidRPr="00033860" w:rsidRDefault="00454E77" w:rsidP="009E5D1B">
            <w:pPr>
              <w:spacing w:after="60"/>
              <w:ind w:firstLine="0"/>
              <w:jc w:val="center"/>
              <w:rPr>
                <w:rFonts w:cs="Arial"/>
                <w:color w:val="FFFFFF"/>
                <w:szCs w:val="20"/>
                <w:lang w:val="lt-LT" w:eastAsia="lt-LT"/>
              </w:rPr>
            </w:pPr>
            <w:r w:rsidRPr="00033860">
              <w:rPr>
                <w:rFonts w:cs="Arial"/>
                <w:color w:val="FFFFFF"/>
                <w:szCs w:val="20"/>
                <w:lang w:val="lt-LT" w:eastAsia="lt-LT"/>
              </w:rPr>
              <w:t>Kriterijus</w:t>
            </w:r>
          </w:p>
        </w:tc>
        <w:tc>
          <w:tcPr>
            <w:cnfStyle w:val="000010000000" w:firstRow="0" w:lastRow="0" w:firstColumn="0" w:lastColumn="0" w:oddVBand="1" w:evenVBand="0" w:oddHBand="0" w:evenHBand="0" w:firstRowFirstColumn="0" w:firstRowLastColumn="0" w:lastRowFirstColumn="0" w:lastRowLastColumn="0"/>
            <w:tcW w:w="7081" w:type="dxa"/>
          </w:tcPr>
          <w:p w14:paraId="1D5673F1" w14:textId="77777777" w:rsidR="00454E77" w:rsidRPr="00033860" w:rsidRDefault="00454E77" w:rsidP="009E5D1B">
            <w:pPr>
              <w:spacing w:after="60"/>
              <w:ind w:firstLine="0"/>
              <w:jc w:val="center"/>
              <w:rPr>
                <w:rFonts w:cs="Arial"/>
                <w:color w:val="FFFFFF"/>
                <w:szCs w:val="20"/>
                <w:lang w:val="lt-LT" w:eastAsia="lt-LT"/>
              </w:rPr>
            </w:pPr>
            <w:r w:rsidRPr="00033860">
              <w:rPr>
                <w:rFonts w:cs="Arial"/>
                <w:color w:val="FFFFFF"/>
                <w:szCs w:val="20"/>
                <w:lang w:val="lt-LT" w:eastAsia="lt-LT"/>
              </w:rPr>
              <w:t>Kriterijaus taikymo prielaida</w:t>
            </w:r>
          </w:p>
        </w:tc>
      </w:tr>
      <w:tr w:rsidR="00454E77" w:rsidRPr="00033860" w14:paraId="39C2A85C" w14:textId="77777777" w:rsidTr="009546C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65FF624" w14:textId="77777777" w:rsidR="00454E77" w:rsidRPr="009546C8" w:rsidRDefault="00454E77" w:rsidP="009546C8">
            <w:pPr>
              <w:ind w:firstLine="0"/>
              <w:jc w:val="center"/>
              <w:rPr>
                <w:rFonts w:cs="Arial"/>
                <w:color w:val="000000"/>
                <w:szCs w:val="20"/>
                <w:lang w:val="lt-LT" w:eastAsia="lt-LT"/>
              </w:rPr>
            </w:pPr>
            <w:r w:rsidRPr="009546C8">
              <w:rPr>
                <w:rFonts w:cs="Arial"/>
                <w:color w:val="000000"/>
                <w:szCs w:val="20"/>
                <w:lang w:val="lt-LT" w:eastAsia="lt-LT"/>
              </w:rPr>
              <w:t>Nekilnojamojo turto vertės padidėjimas</w:t>
            </w:r>
          </w:p>
        </w:tc>
        <w:tc>
          <w:tcPr>
            <w:cnfStyle w:val="000010000000" w:firstRow="0" w:lastRow="0" w:firstColumn="0" w:lastColumn="0" w:oddVBand="1" w:evenVBand="0" w:oddHBand="0" w:evenHBand="0" w:firstRowFirstColumn="0" w:firstRowLastColumn="0" w:lastRowFirstColumn="0" w:lastRowLastColumn="0"/>
            <w:tcW w:w="7081" w:type="dxa"/>
          </w:tcPr>
          <w:p w14:paraId="0A72AA42" w14:textId="77777777" w:rsidR="00454E77" w:rsidRPr="00033860" w:rsidRDefault="00454E77" w:rsidP="009E5D1B">
            <w:pPr>
              <w:ind w:firstLine="0"/>
              <w:rPr>
                <w:szCs w:val="20"/>
                <w:lang w:val="lt-LT" w:eastAsia="lt-LT"/>
              </w:rPr>
            </w:pPr>
            <w:r w:rsidRPr="00033860">
              <w:rPr>
                <w:szCs w:val="20"/>
                <w:lang w:val="lt-LT" w:eastAsia="lt-LT"/>
              </w:rPr>
              <w:t>+</w:t>
            </w:r>
            <w:r w:rsidRPr="006E0A53">
              <w:rPr>
                <w:szCs w:val="20"/>
                <w:lang w:val="lt-LT" w:eastAsia="lt-LT"/>
              </w:rPr>
              <w:t>1</w:t>
            </w:r>
            <w:r w:rsidRPr="00033860">
              <w:rPr>
                <w:szCs w:val="20"/>
                <w:lang w:val="lt-LT" w:eastAsia="lt-LT"/>
              </w:rPr>
              <w:t xml:space="preserve"> proc., palyginti su esama situacija</w:t>
            </w:r>
          </w:p>
          <w:p w14:paraId="7EF5E0EC" w14:textId="2A34E6DA" w:rsidR="00454E77" w:rsidRPr="00033860" w:rsidRDefault="00454E77" w:rsidP="009546C8">
            <w:pPr>
              <w:ind w:firstLine="0"/>
              <w:rPr>
                <w:szCs w:val="20"/>
                <w:lang w:val="lt-LT" w:eastAsia="lt-LT"/>
              </w:rPr>
            </w:pPr>
            <w:r>
              <w:rPr>
                <w:szCs w:val="20"/>
                <w:lang w:val="lt-LT" w:eastAsia="lt-LT"/>
              </w:rPr>
              <w:t xml:space="preserve">Kadangi </w:t>
            </w:r>
            <w:r w:rsidR="003A5431">
              <w:rPr>
                <w:szCs w:val="20"/>
                <w:lang w:val="lt-LT" w:eastAsia="lt-LT"/>
              </w:rPr>
              <w:t>Aukštakalnis</w:t>
            </w:r>
            <w:r>
              <w:rPr>
                <w:szCs w:val="20"/>
                <w:lang w:val="lt-LT" w:eastAsia="lt-LT"/>
              </w:rPr>
              <w:t xml:space="preserve"> ploto prasme yra didel</w:t>
            </w:r>
            <w:r w:rsidR="003A5431">
              <w:rPr>
                <w:szCs w:val="20"/>
                <w:lang w:val="lt-LT" w:eastAsia="lt-LT"/>
              </w:rPr>
              <w:t>is</w:t>
            </w:r>
            <w:r>
              <w:rPr>
                <w:szCs w:val="20"/>
                <w:lang w:val="lt-LT" w:eastAsia="lt-LT"/>
              </w:rPr>
              <w:t xml:space="preserve">, todėl </w:t>
            </w:r>
            <w:r w:rsidR="003A5431">
              <w:rPr>
                <w:szCs w:val="20"/>
                <w:lang w:val="lt-LT" w:eastAsia="lt-LT"/>
              </w:rPr>
              <w:t xml:space="preserve">tik </w:t>
            </w:r>
            <w:r w:rsidR="003A5431" w:rsidRPr="003A5431">
              <w:rPr>
                <w:szCs w:val="20"/>
                <w:lang w:val="lt-LT" w:eastAsia="lt-LT"/>
              </w:rPr>
              <w:t>Aukštakalnio daugiabučių namų mikrorajono teritorijos modernizavimas (apribotą Aukštakalnio g., Taikos g., Kupiškio g. ir Vyžuonos parku)</w:t>
            </w:r>
            <w:r w:rsidR="003A5431">
              <w:rPr>
                <w:szCs w:val="20"/>
                <w:lang w:val="lt-LT" w:eastAsia="lt-LT"/>
              </w:rPr>
              <w:t xml:space="preserve"> </w:t>
            </w:r>
            <w:r>
              <w:rPr>
                <w:szCs w:val="20"/>
                <w:lang w:val="lt-LT" w:eastAsia="lt-LT"/>
              </w:rPr>
              <w:t xml:space="preserve">nedarys poveikio visai </w:t>
            </w:r>
            <w:r w:rsidR="003A5431">
              <w:rPr>
                <w:szCs w:val="20"/>
                <w:lang w:val="lt-LT" w:eastAsia="lt-LT"/>
              </w:rPr>
              <w:t>verčių zonai (54.1.5)</w:t>
            </w:r>
            <w:r>
              <w:rPr>
                <w:szCs w:val="20"/>
                <w:lang w:val="lt-LT" w:eastAsia="lt-LT"/>
              </w:rPr>
              <w:t xml:space="preserve">. </w:t>
            </w:r>
            <w:r w:rsidR="003A5431">
              <w:rPr>
                <w:szCs w:val="20"/>
                <w:lang w:val="lt-LT" w:eastAsia="lt-LT"/>
              </w:rPr>
              <w:t>Todėl d</w:t>
            </w:r>
            <w:r>
              <w:rPr>
                <w:szCs w:val="20"/>
                <w:lang w:val="lt-LT" w:eastAsia="lt-LT"/>
              </w:rPr>
              <w:t xml:space="preserve">aroma prielaida, kad </w:t>
            </w:r>
            <w:r w:rsidR="00022640">
              <w:rPr>
                <w:szCs w:val="20"/>
                <w:lang w:val="lt-LT" w:eastAsia="lt-LT"/>
              </w:rPr>
              <w:t>Aukštakalnio kvartalo</w:t>
            </w:r>
            <w:r>
              <w:rPr>
                <w:szCs w:val="20"/>
                <w:lang w:val="lt-LT" w:eastAsia="lt-LT"/>
              </w:rPr>
              <w:t xml:space="preserve"> atnaujinimas poveikis bus juntamas </w:t>
            </w:r>
            <w:r w:rsidR="009546C8">
              <w:rPr>
                <w:szCs w:val="20"/>
                <w:lang w:val="lt-LT" w:eastAsia="lt-LT"/>
              </w:rPr>
              <w:t>80</w:t>
            </w:r>
            <w:r>
              <w:rPr>
                <w:szCs w:val="20"/>
                <w:lang w:val="lt-LT" w:eastAsia="lt-LT"/>
              </w:rPr>
              <w:t xml:space="preserve"> proc. </w:t>
            </w:r>
            <w:r w:rsidR="009546C8">
              <w:rPr>
                <w:szCs w:val="20"/>
                <w:lang w:val="lt-LT" w:eastAsia="lt-LT"/>
              </w:rPr>
              <w:t xml:space="preserve">teritorijos. </w:t>
            </w:r>
            <w:r w:rsidRPr="00033860">
              <w:rPr>
                <w:szCs w:val="20"/>
                <w:lang w:val="lt-LT" w:eastAsia="lt-LT"/>
              </w:rPr>
              <w:t>Taikoma tik gyvenamajam būstui</w:t>
            </w:r>
          </w:p>
        </w:tc>
      </w:tr>
    </w:tbl>
    <w:p w14:paraId="7BC1972D" w14:textId="77777777" w:rsidR="00454E77" w:rsidRPr="00033860" w:rsidRDefault="00454E77" w:rsidP="00454E77">
      <w:pPr>
        <w:ind w:firstLine="0"/>
        <w:jc w:val="center"/>
        <w:rPr>
          <w:i/>
          <w:iCs/>
          <w:sz w:val="18"/>
          <w:szCs w:val="18"/>
        </w:rPr>
      </w:pPr>
      <w:r w:rsidRPr="00033860">
        <w:rPr>
          <w:i/>
          <w:iCs/>
          <w:sz w:val="18"/>
          <w:szCs w:val="18"/>
        </w:rPr>
        <w:t>Šaltinis: sudaryta autorių, 2024 m.</w:t>
      </w:r>
    </w:p>
    <w:p w14:paraId="4CD19DAC" w14:textId="77777777" w:rsidR="00454E77" w:rsidRPr="006E0A53" w:rsidRDefault="00454E77" w:rsidP="00454E77">
      <w:pPr>
        <w:pStyle w:val="Poskyris"/>
      </w:pPr>
      <w:bookmarkStart w:id="414" w:name="_Toc123288139"/>
      <w:bookmarkStart w:id="415" w:name="_Toc159421972"/>
      <w:bookmarkStart w:id="416" w:name="_Toc161166403"/>
      <w:bookmarkStart w:id="417" w:name="_Toc165372648"/>
      <w:bookmarkStart w:id="418" w:name="_Toc171350850"/>
      <w:bookmarkStart w:id="419" w:name="_Toc171350992"/>
      <w:bookmarkStart w:id="420" w:name="_Toc171355478"/>
      <w:r w:rsidRPr="006E0A53">
        <w:t>5.4. Socialinio-ekonominio poveikio rodikliai</w:t>
      </w:r>
      <w:bookmarkEnd w:id="414"/>
      <w:bookmarkEnd w:id="415"/>
      <w:bookmarkEnd w:id="416"/>
      <w:bookmarkEnd w:id="417"/>
      <w:bookmarkEnd w:id="418"/>
      <w:bookmarkEnd w:id="419"/>
      <w:bookmarkEnd w:id="420"/>
    </w:p>
    <w:p w14:paraId="209AA0EF" w14:textId="77777777" w:rsidR="00454E77" w:rsidRPr="00033860" w:rsidRDefault="00454E77" w:rsidP="00454E77">
      <w:pPr>
        <w:spacing w:before="120" w:after="120" w:line="276" w:lineRule="auto"/>
        <w:rPr>
          <w:rFonts w:cs="Times New Roman"/>
          <w:bCs/>
        </w:rPr>
      </w:pPr>
      <w:r w:rsidRPr="00033860">
        <w:rPr>
          <w:rFonts w:cs="Times New Roman"/>
          <w:bCs/>
        </w:rPr>
        <w:t>Šioje dalyje įvertinami pagrindiniai socialinės-ekonominės analizės rezultatai: EGDV rodiklis, EVGN rodiklis ir ENIS rodiklis.</w:t>
      </w:r>
    </w:p>
    <w:p w14:paraId="671CB54E" w14:textId="77777777" w:rsidR="00454E77" w:rsidRPr="00033860" w:rsidRDefault="00454E77" w:rsidP="00454E77">
      <w:pPr>
        <w:spacing w:before="120" w:after="120" w:line="276" w:lineRule="auto"/>
        <w:rPr>
          <w:rFonts w:cs="Times New Roman"/>
          <w:bCs/>
        </w:rPr>
      </w:pPr>
      <w:r w:rsidRPr="00033860">
        <w:rPr>
          <w:rFonts w:cs="Times New Roman"/>
          <w:bCs/>
        </w:rPr>
        <w:t xml:space="preserve">Ekonominė grynoji dabartinė vertė (EGDV) parodo, kokia socialinė ekonominė nauda projektu bus sukurta išorinėje projekto aplinkoje. Jei EDGV &lt; 0, projekto sukuriama diskontuota nauda nepadengia diskontuotų sąnaudų, todėl toks projektas neturėtų būti įgyvendinamas. Esant EGDV &gt; 0, projektu kuriama </w:t>
      </w:r>
      <w:r w:rsidRPr="00033860">
        <w:rPr>
          <w:rFonts w:cs="Times New Roman"/>
          <w:bCs/>
        </w:rPr>
        <w:lastRenderedPageBreak/>
        <w:t>pridėtinė vertė visuomenei ir jo įgyvendinimo galimybės turi būti nagrinėjamos ir lyginamos su projekto įgyvendinimo išlaidomis. Taigi, socialiniu-ekonominiu požiūriu investicijų projektas yra pagrįstas, jei jo EGDV yra teigiama.</w:t>
      </w:r>
    </w:p>
    <w:p w14:paraId="53647249" w14:textId="7A98BDE7" w:rsidR="00454E77" w:rsidRPr="00033860" w:rsidRDefault="00454E77" w:rsidP="00454E77">
      <w:pPr>
        <w:spacing w:before="120" w:after="120" w:line="276" w:lineRule="auto"/>
        <w:rPr>
          <w:rFonts w:cs="Times New Roman"/>
          <w:bCs/>
        </w:rPr>
      </w:pPr>
      <w:r w:rsidRPr="00033860">
        <w:rPr>
          <w:rFonts w:cs="Times New Roman"/>
          <w:bCs/>
        </w:rPr>
        <w:t xml:space="preserve">Alternatyvos įgyvendinimo atveju apskaičiuota EGDV projekto atveju yra teigiama ir lygi </w:t>
      </w:r>
      <w:r w:rsidR="009546C8">
        <w:rPr>
          <w:rFonts w:cs="Times New Roman"/>
          <w:bCs/>
        </w:rPr>
        <w:t>236 792</w:t>
      </w:r>
      <w:r w:rsidRPr="00033860">
        <w:rPr>
          <w:rFonts w:cs="Times New Roman"/>
          <w:bCs/>
        </w:rPr>
        <w:t xml:space="preserve"> EUR. </w:t>
      </w:r>
    </w:p>
    <w:p w14:paraId="4F814B83" w14:textId="77777777" w:rsidR="00454E77" w:rsidRPr="00033860" w:rsidRDefault="00454E77" w:rsidP="00454E77">
      <w:pPr>
        <w:spacing w:before="120" w:after="120" w:line="276" w:lineRule="auto"/>
        <w:rPr>
          <w:rFonts w:cs="Times New Roman"/>
          <w:bCs/>
        </w:rPr>
      </w:pPr>
      <w:r w:rsidRPr="00033860">
        <w:rPr>
          <w:rFonts w:cs="Times New Roman"/>
          <w:bCs/>
        </w:rPr>
        <w:t>Ekonominė vidinė grąžos norma (EVGN) – tai diskonto norma, kuriai esant EGDV yra lygi nuliui. Kadangi skaičiuojant EGDV grynųjų pinigų srautai yra taip pat diskontuojami, apskaičiuotoji EVGN lyginama su SDN, pritaikyta EGDV apskaičiuoti. Žymią socialinę ekonominę naudą duodančio investicijų projekto EVGN turėtų būti didesnė nei pritaikyta socialinė diskonto norma.</w:t>
      </w:r>
    </w:p>
    <w:p w14:paraId="2E3AB722" w14:textId="2FEAF709" w:rsidR="00454E77" w:rsidRPr="00033860" w:rsidRDefault="00454E77" w:rsidP="00454E77">
      <w:pPr>
        <w:spacing w:before="120" w:after="120" w:line="276" w:lineRule="auto"/>
        <w:rPr>
          <w:rFonts w:cs="Times New Roman"/>
          <w:bCs/>
        </w:rPr>
      </w:pPr>
      <w:r w:rsidRPr="00033860">
        <w:rPr>
          <w:rFonts w:cs="Times New Roman"/>
          <w:bCs/>
        </w:rPr>
        <w:t xml:space="preserve">Apskaičiuota projekto EVGN alternatyvos įgyvendinimo atveju siekia </w:t>
      </w:r>
      <w:r w:rsidR="009546C8">
        <w:rPr>
          <w:rFonts w:cs="Times New Roman"/>
          <w:bCs/>
        </w:rPr>
        <w:t>6,88</w:t>
      </w:r>
      <w:r w:rsidRPr="00033860">
        <w:rPr>
          <w:rFonts w:cs="Times New Roman"/>
          <w:bCs/>
        </w:rPr>
        <w:t xml:space="preserve"> proc. bei yra didesnė nei pritaikyta socialinė diskonto norma (5 proc.).</w:t>
      </w:r>
    </w:p>
    <w:p w14:paraId="1D906553" w14:textId="77777777" w:rsidR="00454E77" w:rsidRPr="00033860" w:rsidRDefault="00454E77" w:rsidP="00454E77">
      <w:pPr>
        <w:spacing w:before="120" w:after="120" w:line="276" w:lineRule="auto"/>
        <w:rPr>
          <w:rFonts w:cs="Times New Roman"/>
          <w:bCs/>
        </w:rPr>
      </w:pPr>
      <w:r w:rsidRPr="00033860">
        <w:rPr>
          <w:rFonts w:cs="Times New Roman"/>
          <w:bCs/>
        </w:rPr>
        <w:t>Ekonominis naudos ir sąnaudų santykis (ENIS) – svarbiausiasis socialinės ekonominės analizės rodiklis, atskleidžiantis, kiek kartų projekto sukuriama nauda viršija jam įgyvendinti reikalingas išlaidas. Apskaičiuojamas dalijant suminės ekonominės naudos grynąją dabartinę vertę iš suminės ekonominių išlaidų grynosios dabartinės vertės. Viešųjų investicijų projektų naudos ir sąnaudų santykis visais atvejais privalo būti didesnis už 1.</w:t>
      </w:r>
    </w:p>
    <w:p w14:paraId="478BF00D" w14:textId="14FEA5CE" w:rsidR="00454E77" w:rsidRPr="00033860" w:rsidRDefault="00454E77" w:rsidP="00454E77">
      <w:pPr>
        <w:spacing w:before="120" w:after="120" w:line="276" w:lineRule="auto"/>
        <w:rPr>
          <w:rFonts w:cs="Times New Roman"/>
          <w:bCs/>
        </w:rPr>
      </w:pPr>
      <w:r w:rsidRPr="00033860">
        <w:rPr>
          <w:rFonts w:cs="Times New Roman"/>
          <w:bCs/>
        </w:rPr>
        <w:t xml:space="preserve">ENIS rodiklis projekto alternatyvos atveju yra didesnis už 1 ir lygus </w:t>
      </w:r>
      <w:r w:rsidR="009546C8">
        <w:rPr>
          <w:rFonts w:cs="Times New Roman"/>
          <w:bCs/>
        </w:rPr>
        <w:t>1,11</w:t>
      </w:r>
      <w:r w:rsidRPr="00033860">
        <w:rPr>
          <w:rFonts w:cs="Times New Roman"/>
          <w:bCs/>
        </w:rPr>
        <w:t>.</w:t>
      </w:r>
    </w:p>
    <w:p w14:paraId="5E8506D3" w14:textId="77777777" w:rsidR="00454E77" w:rsidRPr="006E0A53" w:rsidRDefault="00454E77" w:rsidP="00454E77">
      <w:pPr>
        <w:pStyle w:val="Poskyris"/>
      </w:pPr>
      <w:bookmarkStart w:id="421" w:name="_Toc123288140"/>
      <w:bookmarkStart w:id="422" w:name="_Toc159421973"/>
      <w:bookmarkStart w:id="423" w:name="_Toc161166404"/>
      <w:bookmarkStart w:id="424" w:name="_Toc165372649"/>
      <w:bookmarkStart w:id="425" w:name="_Toc171350851"/>
      <w:bookmarkStart w:id="426" w:name="_Toc171350993"/>
      <w:bookmarkStart w:id="427" w:name="_Toc171355479"/>
      <w:r w:rsidRPr="006E0A53">
        <w:t>5.5. Optimalios alternatyvos pasirinkimas SNA metodu</w:t>
      </w:r>
      <w:bookmarkEnd w:id="421"/>
      <w:bookmarkEnd w:id="422"/>
      <w:bookmarkEnd w:id="423"/>
      <w:bookmarkEnd w:id="424"/>
      <w:bookmarkEnd w:id="425"/>
      <w:bookmarkEnd w:id="426"/>
      <w:bookmarkEnd w:id="427"/>
    </w:p>
    <w:p w14:paraId="3063C045" w14:textId="77777777" w:rsidR="00454E77" w:rsidRPr="00033860" w:rsidRDefault="00454E77" w:rsidP="00454E77">
      <w:pPr>
        <w:spacing w:after="0" w:line="240" w:lineRule="auto"/>
        <w:rPr>
          <w:rFonts w:asciiTheme="minorHAnsi" w:hAnsiTheme="minorHAnsi" w:cstheme="minorHAnsi"/>
          <w:b/>
          <w:i/>
          <w:sz w:val="20"/>
          <w:szCs w:val="20"/>
        </w:rPr>
      </w:pPr>
      <w:r w:rsidRPr="00033860">
        <w:t xml:space="preserve">Atlikus ekonominius skaičiavus, nustatyta, kad investicijų projekte nagrinėjama alternatyva yra finansiškai gyvybinga, jos EGDV&gt;0, ENIS&gt;1, vadinasi investicijų projektas yra tinkamas įgyvendinti. </w:t>
      </w:r>
      <w:r w:rsidRPr="00033860">
        <w:rPr>
          <w:rFonts w:asciiTheme="minorHAnsi" w:hAnsiTheme="minorHAnsi" w:cstheme="minorHAnsi"/>
          <w:b/>
          <w:i/>
          <w:sz w:val="20"/>
          <w:szCs w:val="20"/>
        </w:rPr>
        <w:br w:type="page"/>
      </w:r>
    </w:p>
    <w:p w14:paraId="7DD3D4F4" w14:textId="77777777" w:rsidR="00454E77" w:rsidRPr="006E0A53" w:rsidRDefault="00454E77" w:rsidP="00454E77">
      <w:pPr>
        <w:pStyle w:val="Antrat1"/>
      </w:pPr>
      <w:bookmarkStart w:id="428" w:name="_Toc123288141"/>
      <w:bookmarkStart w:id="429" w:name="_Toc159421974"/>
      <w:bookmarkStart w:id="430" w:name="_Toc160544957"/>
      <w:bookmarkStart w:id="431" w:name="_Toc161166405"/>
      <w:bookmarkStart w:id="432" w:name="_Toc165372650"/>
      <w:bookmarkStart w:id="433" w:name="_Toc171350852"/>
      <w:bookmarkStart w:id="434" w:name="_Toc171350994"/>
      <w:bookmarkStart w:id="435" w:name="_Toc171355480"/>
      <w:r w:rsidRPr="006E0A53">
        <w:lastRenderedPageBreak/>
        <w:t>6. Jautrumas ir rizikos</w:t>
      </w:r>
      <w:bookmarkEnd w:id="428"/>
      <w:bookmarkEnd w:id="429"/>
      <w:bookmarkEnd w:id="430"/>
      <w:bookmarkEnd w:id="431"/>
      <w:bookmarkEnd w:id="432"/>
      <w:bookmarkEnd w:id="433"/>
      <w:bookmarkEnd w:id="434"/>
      <w:bookmarkEnd w:id="435"/>
    </w:p>
    <w:p w14:paraId="429D9631" w14:textId="77777777" w:rsidR="00454E77" w:rsidRPr="00033860" w:rsidRDefault="00454E77" w:rsidP="00454E77">
      <w:pPr>
        <w:spacing w:line="256" w:lineRule="auto"/>
        <w:rPr>
          <w:rFonts w:eastAsia="Calibri" w:cs="Arial"/>
          <w:noProof/>
          <w:color w:val="auto"/>
          <w:lang w:eastAsia="en-GB"/>
        </w:rPr>
      </w:pPr>
      <w:bookmarkStart w:id="436" w:name="_Toc41922806"/>
      <w:bookmarkStart w:id="437" w:name="_Toc58587554"/>
      <w:bookmarkStart w:id="438" w:name="_Toc82104615"/>
      <w:bookmarkStart w:id="439" w:name="_Toc110872717"/>
      <w:bookmarkStart w:id="440" w:name="_Toc115875312"/>
      <w:bookmarkStart w:id="441" w:name="_Toc117772588"/>
      <w:r w:rsidRPr="00033860">
        <w:rPr>
          <w:rFonts w:eastAsia="Calibri" w:cs="Arial"/>
          <w:noProof/>
          <w:color w:val="auto"/>
          <w:lang w:eastAsia="en-GB"/>
        </w:rPr>
        <w:t>Rengiant IP yra prognozuojami projekto ateities finansiniai srautai, o prognozuojant bet kokius ateities parametrus tikėtinos prognozavimo klaidos ir netikslumai. Šių klaidų ir netikslumų priežastys gali apimti istorinių duomenų trūkumą, subjektyvių, neplanuotų ir (ar) objektyviai neidentifikuojamų veiksnių pasireiškimą įgyvendinant Projektą. Dėl šios priežasties, šioje IP dalyje įvertinama Projekto įgyvendinimo alternatyvos vertinimo prielaidų tikėtinų pokyčių (prognozių paklaidų) įtaka apskaičiuotiems finansiniams bei ekonominiams rodikliams, taip pat įvertinamos su Projekto įgyvendinimu susijusios rizikos, jų priimtinumas bei galimos valdymo priemonės.</w:t>
      </w:r>
    </w:p>
    <w:p w14:paraId="3297B1E4" w14:textId="77777777" w:rsidR="00454E77" w:rsidRPr="006E0A53" w:rsidRDefault="00454E77" w:rsidP="00454E77">
      <w:pPr>
        <w:pStyle w:val="Poskyris"/>
        <w:rPr>
          <w:rFonts w:eastAsia="Calibri"/>
        </w:rPr>
      </w:pPr>
      <w:bookmarkStart w:id="442" w:name="_Toc104108731"/>
      <w:bookmarkStart w:id="443" w:name="_Toc104230867"/>
      <w:bookmarkStart w:id="444" w:name="_Toc104231516"/>
      <w:bookmarkStart w:id="445" w:name="_Toc153967033"/>
      <w:bookmarkStart w:id="446" w:name="_Toc161121672"/>
      <w:bookmarkStart w:id="447" w:name="_Toc161166406"/>
      <w:bookmarkStart w:id="448" w:name="_Toc165372651"/>
      <w:bookmarkStart w:id="449" w:name="_Toc171350853"/>
      <w:bookmarkStart w:id="450" w:name="_Toc171350995"/>
      <w:bookmarkStart w:id="451" w:name="_Toc171355481"/>
      <w:r w:rsidRPr="006E0A53">
        <w:rPr>
          <w:rFonts w:eastAsia="Calibri"/>
        </w:rPr>
        <w:t>6.1. Jautrumo analizė</w:t>
      </w:r>
      <w:bookmarkEnd w:id="442"/>
      <w:bookmarkEnd w:id="443"/>
      <w:bookmarkEnd w:id="444"/>
      <w:bookmarkEnd w:id="445"/>
      <w:bookmarkEnd w:id="446"/>
      <w:bookmarkEnd w:id="447"/>
      <w:bookmarkEnd w:id="448"/>
      <w:bookmarkEnd w:id="449"/>
      <w:bookmarkEnd w:id="450"/>
      <w:bookmarkEnd w:id="451"/>
    </w:p>
    <w:p w14:paraId="00903460"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Jautrumo analizė atskleidžia, kaip kiekvieno atskiro kintamojo pasikeitimas įtakoja analizuojamo IP rezultatus. Jautrumo analizę reikia atlikti atskirai keičiant prielaidas dėl kiekvieno kintamojo reikšmės ir stebint, kaip šis pasikeitimas įtakoja finansinius (FGDV(I), FVGN(I)) ir ekonominius (EGDV, EVGN) rodiklius. </w:t>
      </w:r>
    </w:p>
    <w:p w14:paraId="3735F15C"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Jautrumo analizės rezultatas yra kritinių kintamųjų ir jų lūžio taškų sąrašas, kritinių kintamųjų įtaka. Nurodytą sąrašą reikia sudaryti, atlikus visų kintamųjų jautrumo analizę. Kritiniais kintamaisiais laikomi kintamieji, kurių reikšmei pasikeitus 1%, projekto FGDV(I), FVGN(I), EGDV, EVGN pasikeičia daugiau nei 1 %. </w:t>
      </w:r>
    </w:p>
    <w:p w14:paraId="2B792FE4"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Jautrumo analizė atliekama tik nustatytai optimaliausiai Projekto įgyvendinimo alternatyvai „Naujų įrenginių įsigijimas“. Jautrumo analizė atliekama tokiu eiliškumu:</w:t>
      </w:r>
    </w:p>
    <w:p w14:paraId="632EF81F" w14:textId="77777777" w:rsidR="00454E77" w:rsidRPr="00033860" w:rsidRDefault="00454E77" w:rsidP="00454E77">
      <w:pPr>
        <w:numPr>
          <w:ilvl w:val="0"/>
          <w:numId w:val="12"/>
        </w:numPr>
        <w:spacing w:after="0" w:line="256" w:lineRule="auto"/>
        <w:ind w:left="993" w:hanging="425"/>
        <w:contextualSpacing/>
        <w:jc w:val="left"/>
        <w:rPr>
          <w:rFonts w:eastAsia="Calibri" w:cs="Arial"/>
          <w:noProof/>
          <w:color w:val="auto"/>
          <w:lang w:eastAsia="en-GB"/>
        </w:rPr>
      </w:pPr>
      <w:r w:rsidRPr="00033860">
        <w:rPr>
          <w:rFonts w:eastAsia="Calibri" w:cs="Arial"/>
          <w:noProof/>
          <w:color w:val="auto"/>
          <w:lang w:eastAsia="en-GB"/>
        </w:rPr>
        <w:t>Nustatomi kintamieji;</w:t>
      </w:r>
    </w:p>
    <w:p w14:paraId="1BF1A33E" w14:textId="77777777" w:rsidR="00454E77" w:rsidRPr="00033860" w:rsidRDefault="00454E77" w:rsidP="00454E77">
      <w:pPr>
        <w:numPr>
          <w:ilvl w:val="0"/>
          <w:numId w:val="12"/>
        </w:numPr>
        <w:spacing w:after="0" w:line="256" w:lineRule="auto"/>
        <w:ind w:left="993" w:hanging="425"/>
        <w:contextualSpacing/>
        <w:jc w:val="left"/>
        <w:rPr>
          <w:rFonts w:eastAsia="Calibri" w:cs="Arial"/>
          <w:noProof/>
          <w:color w:val="auto"/>
          <w:lang w:eastAsia="en-GB"/>
        </w:rPr>
      </w:pPr>
      <w:r w:rsidRPr="00033860">
        <w:rPr>
          <w:rFonts w:eastAsia="Calibri" w:cs="Arial"/>
          <w:noProof/>
          <w:color w:val="auto"/>
          <w:lang w:eastAsia="en-GB"/>
        </w:rPr>
        <w:t>Eliminuojama kintamųjų tarpusavio priklausomybė;</w:t>
      </w:r>
    </w:p>
    <w:p w14:paraId="20103D2B" w14:textId="77777777" w:rsidR="00454E77" w:rsidRPr="00033860" w:rsidRDefault="00454E77" w:rsidP="00454E77">
      <w:pPr>
        <w:numPr>
          <w:ilvl w:val="0"/>
          <w:numId w:val="12"/>
        </w:numPr>
        <w:spacing w:after="0" w:line="256" w:lineRule="auto"/>
        <w:ind w:left="993" w:hanging="425"/>
        <w:contextualSpacing/>
        <w:jc w:val="left"/>
        <w:rPr>
          <w:rFonts w:eastAsia="Calibri" w:cs="Arial"/>
          <w:noProof/>
          <w:color w:val="auto"/>
          <w:lang w:eastAsia="en-GB"/>
        </w:rPr>
      </w:pPr>
      <w:r w:rsidRPr="00033860">
        <w:rPr>
          <w:rFonts w:eastAsia="Calibri" w:cs="Arial"/>
          <w:noProof/>
          <w:color w:val="auto"/>
          <w:lang w:eastAsia="en-GB"/>
        </w:rPr>
        <w:t>Atliekama elastingumo analizė;</w:t>
      </w:r>
    </w:p>
    <w:p w14:paraId="2A076494" w14:textId="77777777" w:rsidR="00454E77" w:rsidRPr="00033860" w:rsidRDefault="00454E77" w:rsidP="00454E77">
      <w:pPr>
        <w:numPr>
          <w:ilvl w:val="0"/>
          <w:numId w:val="12"/>
        </w:numPr>
        <w:spacing w:after="0" w:line="256" w:lineRule="auto"/>
        <w:ind w:left="993" w:hanging="425"/>
        <w:contextualSpacing/>
        <w:jc w:val="left"/>
        <w:rPr>
          <w:rFonts w:eastAsia="Calibri" w:cs="Arial"/>
          <w:noProof/>
          <w:color w:val="auto"/>
          <w:sz w:val="21"/>
          <w:szCs w:val="21"/>
        </w:rPr>
      </w:pPr>
      <w:r w:rsidRPr="00033860">
        <w:rPr>
          <w:rFonts w:eastAsia="Calibri" w:cs="Arial"/>
          <w:noProof/>
          <w:color w:val="auto"/>
          <w:sz w:val="21"/>
          <w:szCs w:val="21"/>
        </w:rPr>
        <w:t xml:space="preserve">Nustatomi kritiniai kintamieji ir jų lūžio taškai. </w:t>
      </w:r>
    </w:p>
    <w:p w14:paraId="78AA3FF4" w14:textId="77777777" w:rsidR="00454E77" w:rsidRPr="006E0A53" w:rsidRDefault="00454E77" w:rsidP="00454E77">
      <w:pPr>
        <w:pStyle w:val="Paantrat"/>
        <w:rPr>
          <w:rFonts w:eastAsia="Calibri"/>
          <w:noProof/>
          <w:lang w:eastAsia="lt-LT"/>
        </w:rPr>
      </w:pPr>
      <w:bookmarkStart w:id="452" w:name="_Toc104108732"/>
      <w:bookmarkStart w:id="453" w:name="_Toc104230868"/>
      <w:bookmarkStart w:id="454" w:name="_Toc104231517"/>
      <w:bookmarkStart w:id="455" w:name="_Toc152747078"/>
      <w:bookmarkStart w:id="456" w:name="_Toc153967034"/>
      <w:bookmarkStart w:id="457" w:name="_Toc161121673"/>
      <w:bookmarkStart w:id="458" w:name="_Toc161166407"/>
      <w:bookmarkStart w:id="459" w:name="_Toc165372652"/>
      <w:bookmarkStart w:id="460" w:name="_Toc171350996"/>
      <w:bookmarkStart w:id="461" w:name="_Toc171355482"/>
      <w:r w:rsidRPr="006E0A53">
        <w:rPr>
          <w:rFonts w:eastAsia="Calibri"/>
          <w:noProof/>
          <w:lang w:eastAsia="lt-LT"/>
        </w:rPr>
        <w:t>6.1.1. Kintamųjų nustatymas</w:t>
      </w:r>
      <w:bookmarkEnd w:id="452"/>
      <w:bookmarkEnd w:id="453"/>
      <w:bookmarkEnd w:id="454"/>
      <w:bookmarkEnd w:id="455"/>
      <w:bookmarkEnd w:id="456"/>
      <w:bookmarkEnd w:id="457"/>
      <w:bookmarkEnd w:id="458"/>
      <w:bookmarkEnd w:id="459"/>
      <w:bookmarkEnd w:id="460"/>
      <w:bookmarkEnd w:id="461"/>
    </w:p>
    <w:p w14:paraId="36646AB4"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Jautrumo analizė leidžia identifikuoti pagrindinius Projekto kintamuosius, darančius didžiausią įtaką projekto rezultatams. Pastarieji skirstomi į tris grupes:</w:t>
      </w:r>
    </w:p>
    <w:p w14:paraId="455E46FE"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1. Bendruosius – bendrosios Projektui taikomo finansinio modelio prielaidos (Projekto ataskaitinis laikotarpis, finansinė diskonto norma, socialinė diskonto norma);</w:t>
      </w:r>
    </w:p>
    <w:p w14:paraId="4CD662AD"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2. Tiesioginius – Projekto investicijų srautai, investicijų likutinė vertė, veiklos pajamos, veiklos ir finansinės išlaidos, mokesčiai, socialinio-ekonominio poveikio finansinė išraiška;</w:t>
      </w:r>
    </w:p>
    <w:p w14:paraId="57946FF9"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3. Specifinius – Projektui būdingi specifiniai rizikos veiksniai, susiję su Projekto specifine veikla ar jo įgyvendinimo ypatumais.</w:t>
      </w:r>
    </w:p>
    <w:p w14:paraId="74987739"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Projekto įgyvendinimo optimaliausios alternatyvos apimtyse aktualūs bendrieji kintamieji (finansinė diskonto norma; socialinė diskonto norma; Projekto ataskaitinis laikotarpis) ir tiesioginiai kintamieji (rangos darbai; projektavimo, techninės priežiūros ir kitos su investicijomis į ilgalaikį turtą susijusios paslaugos;reinvesticijos; investicijų likutinė vertė; elektros energijos išlaidos; infrastruktūros būklės palaikymo išlaidos; kitos išlaidos; ekonominės naudos faktoriai).</w:t>
      </w:r>
    </w:p>
    <w:p w14:paraId="1822C8C2" w14:textId="77777777" w:rsidR="00454E77" w:rsidRPr="006E0A53" w:rsidRDefault="00454E77" w:rsidP="00454E77">
      <w:pPr>
        <w:pStyle w:val="Paantrat"/>
        <w:rPr>
          <w:rFonts w:eastAsia="Calibri"/>
          <w:noProof/>
          <w:lang w:eastAsia="lt-LT"/>
        </w:rPr>
      </w:pPr>
      <w:bookmarkStart w:id="462" w:name="_Toc104108733"/>
      <w:bookmarkStart w:id="463" w:name="_Toc104230869"/>
      <w:bookmarkStart w:id="464" w:name="_Toc104231518"/>
      <w:bookmarkStart w:id="465" w:name="_Toc152747079"/>
      <w:bookmarkStart w:id="466" w:name="_Toc153967035"/>
      <w:bookmarkStart w:id="467" w:name="_Toc161121674"/>
      <w:bookmarkStart w:id="468" w:name="_Toc161166408"/>
      <w:bookmarkStart w:id="469" w:name="_Toc165372653"/>
      <w:bookmarkStart w:id="470" w:name="_Toc171350997"/>
      <w:bookmarkStart w:id="471" w:name="_Toc171355483"/>
      <w:r w:rsidRPr="006E0A53">
        <w:rPr>
          <w:rFonts w:eastAsia="Calibri"/>
          <w:noProof/>
          <w:lang w:eastAsia="lt-LT"/>
        </w:rPr>
        <w:t>6.1.2. Tarpusavio priklausomybės nustatymas</w:t>
      </w:r>
      <w:bookmarkEnd w:id="462"/>
      <w:bookmarkEnd w:id="463"/>
      <w:bookmarkEnd w:id="464"/>
      <w:bookmarkEnd w:id="465"/>
      <w:bookmarkEnd w:id="466"/>
      <w:bookmarkEnd w:id="467"/>
      <w:bookmarkEnd w:id="468"/>
      <w:bookmarkEnd w:id="469"/>
      <w:bookmarkEnd w:id="470"/>
      <w:bookmarkEnd w:id="471"/>
    </w:p>
    <w:p w14:paraId="097C887B"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Atskiri specifiniai kintamieji gali būti to paties tiesioginio kintamojo sudedamoji dalis, o tai gali sąlygoti jautrumo (scenarijų) analizės rezultatų iškraipymą. Dėl šios priežasties IP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14:paraId="098C8D89" w14:textId="77777777" w:rsidR="00454E77" w:rsidRPr="006E0A53" w:rsidRDefault="00454E77" w:rsidP="00454E77">
      <w:pPr>
        <w:pStyle w:val="Paantrat"/>
        <w:rPr>
          <w:rFonts w:eastAsia="Calibri"/>
          <w:noProof/>
          <w:lang w:eastAsia="lt-LT"/>
        </w:rPr>
      </w:pPr>
      <w:bookmarkStart w:id="472" w:name="_Toc104108734"/>
      <w:bookmarkStart w:id="473" w:name="_Toc104230870"/>
      <w:bookmarkStart w:id="474" w:name="_Toc104231519"/>
      <w:bookmarkStart w:id="475" w:name="_Toc152747080"/>
      <w:bookmarkStart w:id="476" w:name="_Toc153967036"/>
      <w:bookmarkStart w:id="477" w:name="_Toc161121675"/>
      <w:bookmarkStart w:id="478" w:name="_Toc161166409"/>
      <w:bookmarkStart w:id="479" w:name="_Toc165372654"/>
      <w:bookmarkStart w:id="480" w:name="_Toc171350998"/>
      <w:bookmarkStart w:id="481" w:name="_Toc171355484"/>
      <w:r w:rsidRPr="006E0A53">
        <w:rPr>
          <w:rFonts w:eastAsia="Calibri"/>
          <w:noProof/>
          <w:lang w:eastAsia="lt-LT"/>
        </w:rPr>
        <w:t>6.1.3. Elastingumo analizė</w:t>
      </w:r>
      <w:bookmarkEnd w:id="472"/>
      <w:bookmarkEnd w:id="473"/>
      <w:bookmarkEnd w:id="474"/>
      <w:bookmarkEnd w:id="475"/>
      <w:bookmarkEnd w:id="476"/>
      <w:bookmarkEnd w:id="477"/>
      <w:bookmarkEnd w:id="478"/>
      <w:bookmarkEnd w:id="479"/>
      <w:bookmarkEnd w:id="480"/>
      <w:bookmarkEnd w:id="481"/>
    </w:p>
    <w:p w14:paraId="701E72BE"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lastRenderedPageBreak/>
        <w:t xml:space="preserve">Elastingumo analizė parodo, kaip kiekvieno atskiro kintamojo pasikeitimas įtakoja IP rezultatus. Projekto atveju buvo atlikta skaičiuojamoji elastingumo analizė pasirenkant, kad atitinkamas kintamasis kis tokiais procentiniais dydžiais: -25%, -20%, -15%, -10%, -5%, -3%, -1%, 0%, 1%, 3%, 5%, 10%, 15%, 20%, 25%, ir stebint šio pasikeitimo įtaką finansiniams (FGDV(I), FVGN(I)) ir ekonominiams (EGDV, EVGN) rodikliams. </w:t>
      </w:r>
    </w:p>
    <w:p w14:paraId="5B24E925" w14:textId="77777777" w:rsidR="00454E77" w:rsidRPr="00033860" w:rsidRDefault="00454E77" w:rsidP="00454E77">
      <w:pPr>
        <w:spacing w:line="256" w:lineRule="auto"/>
        <w:rPr>
          <w:rFonts w:eastAsia="Calibri" w:cs="Arial"/>
          <w:bCs/>
          <w:iCs/>
          <w:noProof/>
          <w:color w:val="auto"/>
          <w:lang w:eastAsia="en-GB"/>
        </w:rPr>
      </w:pPr>
      <w:r w:rsidRPr="00033860">
        <w:rPr>
          <w:rFonts w:eastAsia="Calibri" w:cs="Arial"/>
          <w:noProof/>
          <w:color w:val="auto"/>
          <w:lang w:eastAsia="en-GB"/>
        </w:rPr>
        <w:t xml:space="preserve">Detalūs Elastingumo analizės rezultatai pateikiami </w:t>
      </w:r>
      <w:r w:rsidRPr="00033860">
        <w:rPr>
          <w:rFonts w:eastAsia="Calibri" w:cs="Arial"/>
          <w:bCs/>
          <w:iCs/>
          <w:noProof/>
          <w:color w:val="auto"/>
          <w:lang w:eastAsia="en-GB"/>
        </w:rPr>
        <w:t>SNA skaičiuoklės 5.2 darbalaukyje.</w:t>
      </w:r>
    </w:p>
    <w:p w14:paraId="32110FAD" w14:textId="77777777" w:rsidR="00454E77" w:rsidRPr="006E0A53" w:rsidRDefault="00454E77" w:rsidP="00454E77">
      <w:pPr>
        <w:pStyle w:val="Paantrat"/>
        <w:rPr>
          <w:rFonts w:eastAsia="Calibri"/>
          <w:noProof/>
          <w:lang w:eastAsia="lt-LT"/>
        </w:rPr>
      </w:pPr>
      <w:bookmarkStart w:id="482" w:name="_Toc104108735"/>
      <w:bookmarkStart w:id="483" w:name="_Toc104230871"/>
      <w:bookmarkStart w:id="484" w:name="_Toc104231520"/>
      <w:bookmarkStart w:id="485" w:name="_Toc152747081"/>
      <w:bookmarkStart w:id="486" w:name="_Toc153967037"/>
      <w:bookmarkStart w:id="487" w:name="_Toc161121676"/>
      <w:bookmarkStart w:id="488" w:name="_Toc161166410"/>
      <w:bookmarkStart w:id="489" w:name="_Toc165372655"/>
      <w:bookmarkStart w:id="490" w:name="_Toc171350999"/>
      <w:bookmarkStart w:id="491" w:name="_Toc171355485"/>
      <w:r w:rsidRPr="006E0A53">
        <w:rPr>
          <w:rFonts w:eastAsia="Calibri"/>
          <w:noProof/>
          <w:lang w:eastAsia="lt-LT"/>
        </w:rPr>
        <w:t>6.1.4. Kritiniai kintamieji</w:t>
      </w:r>
      <w:bookmarkEnd w:id="482"/>
      <w:bookmarkEnd w:id="483"/>
      <w:bookmarkEnd w:id="484"/>
      <w:bookmarkEnd w:id="485"/>
      <w:bookmarkEnd w:id="486"/>
      <w:bookmarkEnd w:id="487"/>
      <w:bookmarkEnd w:id="488"/>
      <w:bookmarkEnd w:id="489"/>
      <w:bookmarkEnd w:id="490"/>
      <w:bookmarkEnd w:id="491"/>
    </w:p>
    <w:p w14:paraId="53933484"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Aukščiau atlikta elastingumo analizė identifikavo 1 kritinį kintamąjį, kurio reikšmei padidėjus (sumažėjus) 1%, bent vieno finansinio ar ekonominio rodiklio reikšmė pakinta daugiau nei 1%. Nustatytiems kritiniams kintamiesiems taip pat paskaičiuojami lūžio taškai. Lūžio taškas – tai kritinio kintamojo reikšmė, kurią pasiekus EGDV tampa lygi nuliui, arba kitaip tariant, Projekto sukuriama socialinė-ekonominė nauda nesiekia minimalios priimtinos reikšmės, kuriai esant grynoji dabartinė projekto išlaidų vertė lygi sukuriamai naudai. </w:t>
      </w:r>
    </w:p>
    <w:p w14:paraId="51528F88" w14:textId="77777777" w:rsidR="00454E77" w:rsidRPr="006E0A53" w:rsidRDefault="00454E77" w:rsidP="00454E77">
      <w:pPr>
        <w:pStyle w:val="LentelsL"/>
        <w:rPr>
          <w:rFonts w:eastAsia="Calibri"/>
          <w:noProof/>
          <w:lang w:eastAsia="lt-LT" w:bidi="lo-LA"/>
        </w:rPr>
      </w:pPr>
      <w:bookmarkStart w:id="492" w:name="_Toc45177968"/>
      <w:bookmarkStart w:id="493" w:name="_Toc153966937"/>
      <w:bookmarkStart w:id="494" w:name="_Toc161121543"/>
      <w:bookmarkStart w:id="495" w:name="_Toc161166272"/>
      <w:bookmarkStart w:id="496" w:name="_Toc165367103"/>
      <w:bookmarkStart w:id="497" w:name="_Toc165372535"/>
      <w:bookmarkStart w:id="498" w:name="_Toc171350564"/>
      <w:bookmarkStart w:id="499" w:name="_Toc171355258"/>
      <w:bookmarkStart w:id="500" w:name="_Toc198807823"/>
      <w:r w:rsidRPr="006E0A53">
        <w:rPr>
          <w:rFonts w:eastAsia="Calibri"/>
          <w:noProof/>
          <w:lang w:eastAsia="lt-LT" w:bidi="lo-LA"/>
        </w:rPr>
        <w:t>6.1.4.1. lentelė. Projekto alternatyvos kritiniai kintamieji ir jų lūžio taškai</w:t>
      </w:r>
      <w:bookmarkEnd w:id="492"/>
      <w:bookmarkEnd w:id="493"/>
      <w:bookmarkEnd w:id="494"/>
      <w:bookmarkEnd w:id="495"/>
      <w:bookmarkEnd w:id="496"/>
      <w:bookmarkEnd w:id="497"/>
      <w:bookmarkEnd w:id="498"/>
      <w:bookmarkEnd w:id="499"/>
      <w:bookmarkEnd w:id="500"/>
    </w:p>
    <w:tbl>
      <w:tblPr>
        <w:tblStyle w:val="3sraolentel1parykinimas112"/>
        <w:tblW w:w="5000" w:type="pct"/>
        <w:tblLook w:val="04A0" w:firstRow="1" w:lastRow="0" w:firstColumn="1" w:lastColumn="0" w:noHBand="0" w:noVBand="1"/>
      </w:tblPr>
      <w:tblGrid>
        <w:gridCol w:w="984"/>
        <w:gridCol w:w="4255"/>
        <w:gridCol w:w="1136"/>
        <w:gridCol w:w="1134"/>
        <w:gridCol w:w="1295"/>
        <w:gridCol w:w="1391"/>
      </w:tblGrid>
      <w:tr w:rsidR="00454E77" w:rsidRPr="006D34E3" w14:paraId="03749C24" w14:textId="77777777" w:rsidTr="00882BA8">
        <w:trPr>
          <w:cnfStyle w:val="100000000000" w:firstRow="1" w:lastRow="0" w:firstColumn="0" w:lastColumn="0" w:oddVBand="0" w:evenVBand="0" w:oddHBand="0" w:evenHBand="0" w:firstRowFirstColumn="0" w:firstRowLastColumn="0" w:lastRowFirstColumn="0" w:lastRowLastColumn="0"/>
          <w:trHeight w:val="1056"/>
        </w:trPr>
        <w:tc>
          <w:tcPr>
            <w:cnfStyle w:val="001000000100" w:firstRow="0" w:lastRow="0" w:firstColumn="1" w:lastColumn="0" w:oddVBand="0" w:evenVBand="0" w:oddHBand="0" w:evenHBand="0" w:firstRowFirstColumn="1" w:firstRowLastColumn="0" w:lastRowFirstColumn="0" w:lastRowLastColumn="0"/>
            <w:tcW w:w="483" w:type="pct"/>
            <w:noWrap/>
            <w:vAlign w:val="center"/>
            <w:hideMark/>
          </w:tcPr>
          <w:p w14:paraId="67593D9A" w14:textId="77777777" w:rsidR="00454E77" w:rsidRPr="006D34E3" w:rsidRDefault="00454E77" w:rsidP="00882BA8">
            <w:pPr>
              <w:ind w:firstLine="0"/>
              <w:jc w:val="center"/>
              <w:rPr>
                <w:rFonts w:eastAsia="Times New Roman" w:cs="Arial"/>
                <w:color w:val="FFFFFF"/>
                <w:sz w:val="20"/>
                <w:szCs w:val="20"/>
                <w:lang w:eastAsia="lt-LT"/>
              </w:rPr>
            </w:pPr>
          </w:p>
        </w:tc>
        <w:tc>
          <w:tcPr>
            <w:tcW w:w="2087" w:type="pct"/>
            <w:noWrap/>
            <w:vAlign w:val="center"/>
            <w:hideMark/>
          </w:tcPr>
          <w:p w14:paraId="659D3E0B" w14:textId="77777777" w:rsidR="00454E77" w:rsidRPr="006D34E3" w:rsidRDefault="00454E77" w:rsidP="00882BA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6D34E3">
              <w:rPr>
                <w:rFonts w:eastAsia="Times New Roman" w:cs="Arial"/>
                <w:color w:val="FFFFFF"/>
                <w:sz w:val="20"/>
                <w:szCs w:val="20"/>
                <w:lang w:eastAsia="lt-LT"/>
              </w:rPr>
              <w:t>Pasirinktas kintamasis bei pokytis</w:t>
            </w:r>
          </w:p>
        </w:tc>
        <w:tc>
          <w:tcPr>
            <w:tcW w:w="557" w:type="pct"/>
            <w:noWrap/>
            <w:vAlign w:val="center"/>
            <w:hideMark/>
          </w:tcPr>
          <w:p w14:paraId="5C622AEC" w14:textId="77777777" w:rsidR="00454E77" w:rsidRPr="006D34E3" w:rsidRDefault="00454E77" w:rsidP="00882BA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6D34E3">
              <w:rPr>
                <w:rFonts w:eastAsia="Times New Roman" w:cs="Arial"/>
                <w:color w:val="FFFFFF"/>
                <w:sz w:val="20"/>
                <w:szCs w:val="20"/>
                <w:lang w:eastAsia="lt-LT"/>
              </w:rPr>
              <w:t>(GDV)</w:t>
            </w:r>
          </w:p>
        </w:tc>
        <w:tc>
          <w:tcPr>
            <w:tcW w:w="556" w:type="pct"/>
            <w:noWrap/>
            <w:vAlign w:val="center"/>
            <w:hideMark/>
          </w:tcPr>
          <w:p w14:paraId="3D159466" w14:textId="77777777" w:rsidR="00454E77" w:rsidRPr="006D34E3" w:rsidRDefault="00454E77" w:rsidP="00882BA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6D34E3">
              <w:rPr>
                <w:rFonts w:eastAsia="Times New Roman" w:cs="Arial"/>
                <w:color w:val="FFFFFF"/>
                <w:sz w:val="20"/>
                <w:szCs w:val="20"/>
                <w:lang w:eastAsia="lt-LT"/>
              </w:rPr>
              <w:t>(realiai)</w:t>
            </w:r>
          </w:p>
        </w:tc>
        <w:tc>
          <w:tcPr>
            <w:tcW w:w="635" w:type="pct"/>
            <w:vAlign w:val="center"/>
            <w:hideMark/>
          </w:tcPr>
          <w:p w14:paraId="7FEADFC6" w14:textId="77777777" w:rsidR="00454E77" w:rsidRPr="006D34E3" w:rsidRDefault="00454E77" w:rsidP="00882BA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6D34E3">
              <w:rPr>
                <w:rFonts w:eastAsia="Times New Roman" w:cs="Arial"/>
                <w:color w:val="FFFFFF"/>
                <w:sz w:val="20"/>
                <w:szCs w:val="20"/>
                <w:lang w:eastAsia="lt-LT"/>
              </w:rPr>
              <w:t>Lūžio taškai (GDV)</w:t>
            </w:r>
          </w:p>
        </w:tc>
        <w:tc>
          <w:tcPr>
            <w:tcW w:w="682" w:type="pct"/>
            <w:vAlign w:val="center"/>
            <w:hideMark/>
          </w:tcPr>
          <w:p w14:paraId="70979D26" w14:textId="77777777" w:rsidR="00454E77" w:rsidRPr="006D34E3" w:rsidRDefault="00454E77" w:rsidP="00882BA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6D34E3">
              <w:rPr>
                <w:rFonts w:eastAsia="Times New Roman" w:cs="Arial"/>
                <w:color w:val="FFFFFF"/>
                <w:sz w:val="20"/>
                <w:szCs w:val="20"/>
                <w:lang w:eastAsia="lt-LT"/>
              </w:rPr>
              <w:t>Lūžio taškai (% nuo plano)</w:t>
            </w:r>
          </w:p>
        </w:tc>
      </w:tr>
      <w:tr w:rsidR="00454E77" w:rsidRPr="006D34E3" w14:paraId="29139668"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noWrap/>
            <w:hideMark/>
          </w:tcPr>
          <w:p w14:paraId="2B96C2C2" w14:textId="77777777" w:rsidR="00454E77" w:rsidRPr="006D34E3" w:rsidRDefault="00454E77" w:rsidP="009E5D1B">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w:t>
            </w:r>
          </w:p>
        </w:tc>
        <w:tc>
          <w:tcPr>
            <w:tcW w:w="2087" w:type="pct"/>
            <w:noWrap/>
            <w:hideMark/>
          </w:tcPr>
          <w:p w14:paraId="51BA505C" w14:textId="77777777" w:rsidR="00454E77" w:rsidRPr="006D34E3" w:rsidRDefault="00454E77" w:rsidP="009E5D1B">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Projekto ataskaitinis laikotarpis</w:t>
            </w:r>
          </w:p>
        </w:tc>
        <w:tc>
          <w:tcPr>
            <w:tcW w:w="557" w:type="pct"/>
            <w:noWrap/>
            <w:hideMark/>
          </w:tcPr>
          <w:p w14:paraId="73A9C8FD"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556" w:type="pct"/>
            <w:noWrap/>
            <w:hideMark/>
          </w:tcPr>
          <w:p w14:paraId="53907D82"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35" w:type="pct"/>
            <w:noWrap/>
            <w:hideMark/>
          </w:tcPr>
          <w:p w14:paraId="692BB7C5"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82" w:type="pct"/>
            <w:noWrap/>
            <w:hideMark/>
          </w:tcPr>
          <w:p w14:paraId="4D35EEB6"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r>
      <w:tr w:rsidR="00454E77" w:rsidRPr="006D34E3" w14:paraId="4450FA69"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noWrap/>
            <w:hideMark/>
          </w:tcPr>
          <w:p w14:paraId="6F7DE8E6" w14:textId="77777777" w:rsidR="00454E77" w:rsidRPr="006D34E3" w:rsidRDefault="00454E77" w:rsidP="009E5D1B">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w:t>
            </w:r>
          </w:p>
        </w:tc>
        <w:tc>
          <w:tcPr>
            <w:tcW w:w="2087" w:type="pct"/>
            <w:noWrap/>
            <w:hideMark/>
          </w:tcPr>
          <w:p w14:paraId="4C5CA695" w14:textId="77777777" w:rsidR="00454E77" w:rsidRPr="006D34E3" w:rsidRDefault="00454E77" w:rsidP="009E5D1B">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Finansinė diskonto norma</w:t>
            </w:r>
          </w:p>
        </w:tc>
        <w:tc>
          <w:tcPr>
            <w:tcW w:w="557" w:type="pct"/>
            <w:noWrap/>
            <w:hideMark/>
          </w:tcPr>
          <w:p w14:paraId="196F72AE"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556" w:type="pct"/>
            <w:noWrap/>
            <w:hideMark/>
          </w:tcPr>
          <w:p w14:paraId="638F3ACD"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35" w:type="pct"/>
            <w:noWrap/>
            <w:hideMark/>
          </w:tcPr>
          <w:p w14:paraId="08CFB027"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82" w:type="pct"/>
            <w:noWrap/>
            <w:hideMark/>
          </w:tcPr>
          <w:p w14:paraId="22A58E4E"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r>
      <w:tr w:rsidR="00454E77" w:rsidRPr="006D34E3" w14:paraId="08CA1A3A"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noWrap/>
            <w:hideMark/>
          </w:tcPr>
          <w:p w14:paraId="71A37132" w14:textId="77777777" w:rsidR="00454E77" w:rsidRPr="006D34E3" w:rsidRDefault="00454E77" w:rsidP="009E5D1B">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w:t>
            </w:r>
          </w:p>
        </w:tc>
        <w:tc>
          <w:tcPr>
            <w:tcW w:w="2087" w:type="pct"/>
            <w:noWrap/>
            <w:hideMark/>
          </w:tcPr>
          <w:p w14:paraId="263A9050" w14:textId="77777777" w:rsidR="00454E77" w:rsidRPr="006D34E3" w:rsidRDefault="00454E77" w:rsidP="009E5D1B">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Socialinė diskonto norma</w:t>
            </w:r>
          </w:p>
        </w:tc>
        <w:tc>
          <w:tcPr>
            <w:tcW w:w="557" w:type="pct"/>
            <w:noWrap/>
            <w:hideMark/>
          </w:tcPr>
          <w:p w14:paraId="2FBF1E5C"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556" w:type="pct"/>
            <w:noWrap/>
            <w:hideMark/>
          </w:tcPr>
          <w:p w14:paraId="51FC8C55"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35" w:type="pct"/>
            <w:noWrap/>
            <w:hideMark/>
          </w:tcPr>
          <w:p w14:paraId="60A07BB5"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c>
          <w:tcPr>
            <w:tcW w:w="682" w:type="pct"/>
            <w:noWrap/>
            <w:hideMark/>
          </w:tcPr>
          <w:p w14:paraId="07B6BF00"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6D34E3">
              <w:rPr>
                <w:rFonts w:cs="Arial"/>
                <w:color w:val="000000"/>
                <w:sz w:val="18"/>
                <w:szCs w:val="18"/>
              </w:rPr>
              <w:t>-</w:t>
            </w:r>
          </w:p>
        </w:tc>
      </w:tr>
      <w:tr w:rsidR="00454E77" w:rsidRPr="006D34E3" w14:paraId="5F837191"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4C5CD187" w14:textId="77777777" w:rsidR="00454E77" w:rsidRPr="006D34E3" w:rsidRDefault="00454E77" w:rsidP="009E5D1B">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A.1.</w:t>
            </w:r>
          </w:p>
        </w:tc>
        <w:tc>
          <w:tcPr>
            <w:tcW w:w="2087" w:type="pct"/>
            <w:hideMark/>
          </w:tcPr>
          <w:p w14:paraId="1FDEF333" w14:textId="77777777" w:rsidR="00454E77" w:rsidRPr="006D34E3" w:rsidRDefault="00454E77" w:rsidP="009E5D1B">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Žemė</w:t>
            </w:r>
          </w:p>
        </w:tc>
        <w:tc>
          <w:tcPr>
            <w:tcW w:w="557" w:type="pct"/>
            <w:hideMark/>
          </w:tcPr>
          <w:p w14:paraId="4724A61F"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6405CEBF"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4DD96D45"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2941E1E2" w14:textId="77777777" w:rsidR="00454E77" w:rsidRPr="006D34E3" w:rsidRDefault="00454E77" w:rsidP="009E5D1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454E77" w:rsidRPr="006D34E3" w14:paraId="25933406"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50A8B90B" w14:textId="77777777" w:rsidR="00454E77" w:rsidRPr="006D34E3" w:rsidRDefault="00454E77" w:rsidP="009E5D1B">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A.2.</w:t>
            </w:r>
          </w:p>
        </w:tc>
        <w:tc>
          <w:tcPr>
            <w:tcW w:w="2087" w:type="pct"/>
            <w:hideMark/>
          </w:tcPr>
          <w:p w14:paraId="73CFAE04" w14:textId="77777777" w:rsidR="00454E77" w:rsidRPr="006D34E3" w:rsidRDefault="00454E77" w:rsidP="009E5D1B">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Nekilnojamasis turtas</w:t>
            </w:r>
          </w:p>
        </w:tc>
        <w:tc>
          <w:tcPr>
            <w:tcW w:w="557" w:type="pct"/>
            <w:hideMark/>
          </w:tcPr>
          <w:p w14:paraId="0153B330"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030DE2ED"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46C75133"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6782F238" w14:textId="77777777" w:rsidR="00454E77" w:rsidRPr="006D34E3" w:rsidRDefault="00454E77" w:rsidP="009E5D1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512E5484"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1B3F9051"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A.3.</w:t>
            </w:r>
          </w:p>
        </w:tc>
        <w:tc>
          <w:tcPr>
            <w:tcW w:w="2087" w:type="pct"/>
            <w:hideMark/>
          </w:tcPr>
          <w:p w14:paraId="70902780"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Statyba, rekonstravimas, kapitalinis remontas ir kiti darbai</w:t>
            </w:r>
          </w:p>
        </w:tc>
        <w:tc>
          <w:tcPr>
            <w:tcW w:w="557" w:type="pct"/>
            <w:hideMark/>
          </w:tcPr>
          <w:p w14:paraId="65483C8E" w14:textId="0BA085FB"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3 141 453</w:t>
            </w:r>
          </w:p>
        </w:tc>
        <w:tc>
          <w:tcPr>
            <w:tcW w:w="556" w:type="pct"/>
            <w:hideMark/>
          </w:tcPr>
          <w:p w14:paraId="1F47F286" w14:textId="54248F71"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3 525 031</w:t>
            </w:r>
          </w:p>
        </w:tc>
        <w:tc>
          <w:tcPr>
            <w:tcW w:w="635" w:type="pct"/>
            <w:hideMark/>
          </w:tcPr>
          <w:p w14:paraId="262FB77A" w14:textId="47F98666"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4 309 367</w:t>
            </w:r>
          </w:p>
        </w:tc>
        <w:tc>
          <w:tcPr>
            <w:tcW w:w="682" w:type="pct"/>
            <w:hideMark/>
          </w:tcPr>
          <w:p w14:paraId="0F9E9106" w14:textId="546028FA"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37%</w:t>
            </w:r>
          </w:p>
        </w:tc>
      </w:tr>
      <w:tr w:rsidR="009546C8" w:rsidRPr="006D34E3" w14:paraId="556BC6E7"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796D34C6"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A.4.</w:t>
            </w:r>
          </w:p>
        </w:tc>
        <w:tc>
          <w:tcPr>
            <w:tcW w:w="2087" w:type="pct"/>
            <w:hideMark/>
          </w:tcPr>
          <w:p w14:paraId="6D8E948D"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Įranga, įrenginiai ir kitas ilgalaikis turtas</w:t>
            </w:r>
          </w:p>
        </w:tc>
        <w:tc>
          <w:tcPr>
            <w:tcW w:w="557" w:type="pct"/>
            <w:hideMark/>
          </w:tcPr>
          <w:p w14:paraId="11E5D28C" w14:textId="22F4891A"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38CAF8EF" w14:textId="1B4D5CFE"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5DBCCBE1" w14:textId="0B62A567"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2EE65586" w14:textId="029DD403"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784A7007" w14:textId="77777777" w:rsidTr="00882BA8">
        <w:trPr>
          <w:trHeight w:val="540"/>
        </w:trPr>
        <w:tc>
          <w:tcPr>
            <w:cnfStyle w:val="001000000000" w:firstRow="0" w:lastRow="0" w:firstColumn="1" w:lastColumn="0" w:oddVBand="0" w:evenVBand="0" w:oddHBand="0" w:evenHBand="0" w:firstRowFirstColumn="0" w:firstRowLastColumn="0" w:lastRowFirstColumn="0" w:lastRowLastColumn="0"/>
            <w:tcW w:w="483" w:type="pct"/>
            <w:hideMark/>
          </w:tcPr>
          <w:p w14:paraId="22BA61DD"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A.5.</w:t>
            </w:r>
          </w:p>
        </w:tc>
        <w:tc>
          <w:tcPr>
            <w:tcW w:w="2087" w:type="pct"/>
            <w:hideMark/>
          </w:tcPr>
          <w:p w14:paraId="63491BDF"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Projektavimo, techninės priežiūros ir kitos su investicijomis į ilgalaikį turtą (A.1.-A.4.) susijusios paslaugos</w:t>
            </w:r>
          </w:p>
        </w:tc>
        <w:tc>
          <w:tcPr>
            <w:tcW w:w="557" w:type="pct"/>
            <w:hideMark/>
          </w:tcPr>
          <w:p w14:paraId="06BF29E2" w14:textId="3771DC32"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200 242</w:t>
            </w:r>
          </w:p>
        </w:tc>
        <w:tc>
          <w:tcPr>
            <w:tcW w:w="556" w:type="pct"/>
            <w:hideMark/>
          </w:tcPr>
          <w:p w14:paraId="6EB67DD8" w14:textId="334FB7A9"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211 502</w:t>
            </w:r>
          </w:p>
        </w:tc>
        <w:tc>
          <w:tcPr>
            <w:tcW w:w="635" w:type="pct"/>
            <w:hideMark/>
          </w:tcPr>
          <w:p w14:paraId="6A06B0E4" w14:textId="21087958"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1 294 673</w:t>
            </w:r>
          </w:p>
        </w:tc>
        <w:tc>
          <w:tcPr>
            <w:tcW w:w="682" w:type="pct"/>
            <w:hideMark/>
          </w:tcPr>
          <w:p w14:paraId="1DBD0A8C" w14:textId="47552F7E"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547%</w:t>
            </w:r>
          </w:p>
        </w:tc>
      </w:tr>
      <w:tr w:rsidR="009546C8" w:rsidRPr="006D34E3" w14:paraId="5566B5BB"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5AB8AE35"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A.6.</w:t>
            </w:r>
          </w:p>
        </w:tc>
        <w:tc>
          <w:tcPr>
            <w:tcW w:w="2087" w:type="pct"/>
            <w:hideMark/>
          </w:tcPr>
          <w:p w14:paraId="7A001638"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Projekto administravimas ir vykdymas</w:t>
            </w:r>
          </w:p>
        </w:tc>
        <w:tc>
          <w:tcPr>
            <w:tcW w:w="557" w:type="pct"/>
            <w:hideMark/>
          </w:tcPr>
          <w:p w14:paraId="706162EB" w14:textId="4B4BE5E5"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234 034</w:t>
            </w:r>
          </w:p>
        </w:tc>
        <w:tc>
          <w:tcPr>
            <w:tcW w:w="556" w:type="pct"/>
            <w:hideMark/>
          </w:tcPr>
          <w:p w14:paraId="631CC5E2" w14:textId="0067EBFC"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261 682</w:t>
            </w:r>
          </w:p>
        </w:tc>
        <w:tc>
          <w:tcPr>
            <w:tcW w:w="635" w:type="pct"/>
            <w:hideMark/>
          </w:tcPr>
          <w:p w14:paraId="61E05A52" w14:textId="24A2D072"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1 151 160</w:t>
            </w:r>
          </w:p>
        </w:tc>
        <w:tc>
          <w:tcPr>
            <w:tcW w:w="682" w:type="pct"/>
            <w:hideMark/>
          </w:tcPr>
          <w:p w14:paraId="76F5F937" w14:textId="0CFB3C1E"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392%</w:t>
            </w:r>
          </w:p>
        </w:tc>
      </w:tr>
      <w:tr w:rsidR="009546C8" w:rsidRPr="006D34E3" w14:paraId="0FE7B2C5"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60569F6C"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A.7.</w:t>
            </w:r>
          </w:p>
        </w:tc>
        <w:tc>
          <w:tcPr>
            <w:tcW w:w="2087" w:type="pct"/>
            <w:hideMark/>
          </w:tcPr>
          <w:p w14:paraId="762EDFED"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Kitos paslaugos ir išlaidos</w:t>
            </w:r>
          </w:p>
        </w:tc>
        <w:tc>
          <w:tcPr>
            <w:tcW w:w="557" w:type="pct"/>
            <w:hideMark/>
          </w:tcPr>
          <w:p w14:paraId="7F51844D" w14:textId="56C4F124"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1 651</w:t>
            </w:r>
          </w:p>
        </w:tc>
        <w:tc>
          <w:tcPr>
            <w:tcW w:w="556" w:type="pct"/>
            <w:hideMark/>
          </w:tcPr>
          <w:p w14:paraId="754D6BE4" w14:textId="7BBDE61A"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1 785</w:t>
            </w:r>
          </w:p>
        </w:tc>
        <w:tc>
          <w:tcPr>
            <w:tcW w:w="635" w:type="pct"/>
            <w:hideMark/>
          </w:tcPr>
          <w:p w14:paraId="3630F5A7" w14:textId="6F34B075"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1 015 475</w:t>
            </w:r>
          </w:p>
        </w:tc>
        <w:tc>
          <w:tcPr>
            <w:tcW w:w="682" w:type="pct"/>
            <w:hideMark/>
          </w:tcPr>
          <w:p w14:paraId="0F4CC9D5" w14:textId="017EA35F"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61421%</w:t>
            </w:r>
          </w:p>
        </w:tc>
      </w:tr>
      <w:tr w:rsidR="009546C8" w:rsidRPr="006D34E3" w14:paraId="59BD7300"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46C1E07F"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A.8.</w:t>
            </w:r>
          </w:p>
        </w:tc>
        <w:tc>
          <w:tcPr>
            <w:tcW w:w="2087" w:type="pct"/>
            <w:hideMark/>
          </w:tcPr>
          <w:p w14:paraId="16CE3311"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Reinvesticijos </w:t>
            </w:r>
          </w:p>
        </w:tc>
        <w:tc>
          <w:tcPr>
            <w:tcW w:w="557" w:type="pct"/>
            <w:hideMark/>
          </w:tcPr>
          <w:p w14:paraId="7F89DF39" w14:textId="6399823B"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67459BEB" w14:textId="32383D29"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747B7D48" w14:textId="393DC079"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4082171C" w14:textId="58AABE9B"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0F8FA15A"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53F19B12"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B.</w:t>
            </w:r>
          </w:p>
        </w:tc>
        <w:tc>
          <w:tcPr>
            <w:tcW w:w="2087" w:type="pct"/>
            <w:hideMark/>
          </w:tcPr>
          <w:p w14:paraId="76D6D3BB"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Investicijų likutinė vertė</w:t>
            </w:r>
          </w:p>
        </w:tc>
        <w:tc>
          <w:tcPr>
            <w:tcW w:w="557" w:type="pct"/>
            <w:hideMark/>
          </w:tcPr>
          <w:p w14:paraId="2A85B71A" w14:textId="38788E88"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852 848</w:t>
            </w:r>
          </w:p>
        </w:tc>
        <w:tc>
          <w:tcPr>
            <w:tcW w:w="556" w:type="pct"/>
            <w:hideMark/>
          </w:tcPr>
          <w:p w14:paraId="66CE382F" w14:textId="2C26698E"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1 597 368</w:t>
            </w:r>
          </w:p>
        </w:tc>
        <w:tc>
          <w:tcPr>
            <w:tcW w:w="635" w:type="pct"/>
            <w:hideMark/>
          </w:tcPr>
          <w:p w14:paraId="104E57D1" w14:textId="41CE2637"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-303 988</w:t>
            </w:r>
          </w:p>
        </w:tc>
        <w:tc>
          <w:tcPr>
            <w:tcW w:w="682" w:type="pct"/>
            <w:hideMark/>
          </w:tcPr>
          <w:p w14:paraId="288BA041" w14:textId="4BF56645"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-136%</w:t>
            </w:r>
          </w:p>
        </w:tc>
      </w:tr>
      <w:tr w:rsidR="009546C8" w:rsidRPr="006D34E3" w14:paraId="4946C19B"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142DB4F7"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C.1.</w:t>
            </w:r>
          </w:p>
        </w:tc>
        <w:tc>
          <w:tcPr>
            <w:tcW w:w="2087" w:type="pct"/>
            <w:hideMark/>
          </w:tcPr>
          <w:p w14:paraId="38843535"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Prekių pardavimo pajamos</w:t>
            </w:r>
          </w:p>
        </w:tc>
        <w:tc>
          <w:tcPr>
            <w:tcW w:w="557" w:type="pct"/>
            <w:hideMark/>
          </w:tcPr>
          <w:p w14:paraId="42FA050D" w14:textId="61AC9113"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0CA0928D" w14:textId="0B4F6823"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0722E200" w14:textId="4C91E925"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6044C502" w14:textId="5A08C173"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7B177EFE"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3A7E3605"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C.2.</w:t>
            </w:r>
          </w:p>
        </w:tc>
        <w:tc>
          <w:tcPr>
            <w:tcW w:w="2087" w:type="pct"/>
            <w:hideMark/>
          </w:tcPr>
          <w:p w14:paraId="16EB2813"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Paslaugų suteikimo pajamos</w:t>
            </w:r>
          </w:p>
        </w:tc>
        <w:tc>
          <w:tcPr>
            <w:tcW w:w="557" w:type="pct"/>
            <w:hideMark/>
          </w:tcPr>
          <w:p w14:paraId="566D149A" w14:textId="35C50308"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31BC3E86" w14:textId="6B236B44"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1DB767B5" w14:textId="1286E955"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20125A1B" w14:textId="38150848"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74ECDF3A"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4F6FD786"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C.3.</w:t>
            </w:r>
          </w:p>
        </w:tc>
        <w:tc>
          <w:tcPr>
            <w:tcW w:w="2087" w:type="pct"/>
            <w:hideMark/>
          </w:tcPr>
          <w:p w14:paraId="10AC1642"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Finansinės ir investicinės veiklos bei kitos pajamos</w:t>
            </w:r>
          </w:p>
        </w:tc>
        <w:tc>
          <w:tcPr>
            <w:tcW w:w="557" w:type="pct"/>
            <w:hideMark/>
          </w:tcPr>
          <w:p w14:paraId="34DEAF01" w14:textId="78B320B0"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5DEC88B6" w14:textId="358AC3E4"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564595AB" w14:textId="7B585376"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468B9C02" w14:textId="7E4DBC98"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5D979D36"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3E3CA07E"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D.1.1.</w:t>
            </w:r>
          </w:p>
        </w:tc>
        <w:tc>
          <w:tcPr>
            <w:tcW w:w="2087" w:type="pct"/>
            <w:hideMark/>
          </w:tcPr>
          <w:p w14:paraId="36E5D552"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Žaliavos</w:t>
            </w:r>
          </w:p>
        </w:tc>
        <w:tc>
          <w:tcPr>
            <w:tcW w:w="557" w:type="pct"/>
            <w:hideMark/>
          </w:tcPr>
          <w:p w14:paraId="2A357292" w14:textId="6C363DE4"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5F792553" w14:textId="7B5AA050"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4599DCA2" w14:textId="1647ACEB"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3AB219E1" w14:textId="546286B4"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2B211429"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1C76FD9B"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D.1.2.</w:t>
            </w:r>
          </w:p>
        </w:tc>
        <w:tc>
          <w:tcPr>
            <w:tcW w:w="2087" w:type="pct"/>
            <w:hideMark/>
          </w:tcPr>
          <w:p w14:paraId="1BEBE6BF"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Darbo užmokesčio išlaidos</w:t>
            </w:r>
          </w:p>
        </w:tc>
        <w:tc>
          <w:tcPr>
            <w:tcW w:w="557" w:type="pct"/>
            <w:hideMark/>
          </w:tcPr>
          <w:p w14:paraId="43FFF325" w14:textId="4CA9F84F"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4D1FB067" w14:textId="5454B5D4"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53BF30B7" w14:textId="59177264"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68BCB964" w14:textId="67A3167D"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3DF16BB5"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2F0F32C6"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D.1.3.</w:t>
            </w:r>
          </w:p>
        </w:tc>
        <w:tc>
          <w:tcPr>
            <w:tcW w:w="2087" w:type="pct"/>
            <w:hideMark/>
          </w:tcPr>
          <w:p w14:paraId="751BB383"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Elektros energijos išlaidos</w:t>
            </w:r>
          </w:p>
        </w:tc>
        <w:tc>
          <w:tcPr>
            <w:tcW w:w="557" w:type="pct"/>
            <w:hideMark/>
          </w:tcPr>
          <w:p w14:paraId="42C2A3C6" w14:textId="654D827A"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4011AE15" w14:textId="5A4848C2"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01503C97" w14:textId="5802F862"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7E3121FA" w14:textId="606520C1"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45C8FD01"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71BDD5BE"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D.1.4.</w:t>
            </w:r>
          </w:p>
        </w:tc>
        <w:tc>
          <w:tcPr>
            <w:tcW w:w="2087" w:type="pct"/>
            <w:hideMark/>
          </w:tcPr>
          <w:p w14:paraId="1ABDD5CF"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Šildymo (išskyrus elektrą) išlaidos</w:t>
            </w:r>
          </w:p>
        </w:tc>
        <w:tc>
          <w:tcPr>
            <w:tcW w:w="557" w:type="pct"/>
            <w:hideMark/>
          </w:tcPr>
          <w:p w14:paraId="7FC01C5E" w14:textId="2A191B0A"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080D4EDE" w14:textId="49E33624"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019752EC" w14:textId="6434D83A"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2554EB06" w14:textId="7DDBF1A8"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7E73AEFB"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4A9EDAB4"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D.1.5.</w:t>
            </w:r>
          </w:p>
        </w:tc>
        <w:tc>
          <w:tcPr>
            <w:tcW w:w="2087" w:type="pct"/>
            <w:hideMark/>
          </w:tcPr>
          <w:p w14:paraId="4B390A8D"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Infrastruktūros būklės palaikymo išlaidos</w:t>
            </w:r>
          </w:p>
        </w:tc>
        <w:tc>
          <w:tcPr>
            <w:tcW w:w="557" w:type="pct"/>
            <w:hideMark/>
          </w:tcPr>
          <w:p w14:paraId="665690EC" w14:textId="32565466"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149 880</w:t>
            </w:r>
          </w:p>
        </w:tc>
        <w:tc>
          <w:tcPr>
            <w:tcW w:w="556" w:type="pct"/>
            <w:hideMark/>
          </w:tcPr>
          <w:p w14:paraId="22029570" w14:textId="0C17B535"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224 192</w:t>
            </w:r>
          </w:p>
        </w:tc>
        <w:tc>
          <w:tcPr>
            <w:tcW w:w="635" w:type="pct"/>
            <w:hideMark/>
          </w:tcPr>
          <w:p w14:paraId="582BAC26" w14:textId="24F19987"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1 475 200</w:t>
            </w:r>
          </w:p>
        </w:tc>
        <w:tc>
          <w:tcPr>
            <w:tcW w:w="682" w:type="pct"/>
            <w:hideMark/>
          </w:tcPr>
          <w:p w14:paraId="1E780C11" w14:textId="6302751A"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884%</w:t>
            </w:r>
          </w:p>
        </w:tc>
      </w:tr>
      <w:tr w:rsidR="009546C8" w:rsidRPr="006D34E3" w14:paraId="2063CBD2"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370CC5F9"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D.1.6.</w:t>
            </w:r>
          </w:p>
        </w:tc>
        <w:tc>
          <w:tcPr>
            <w:tcW w:w="2087" w:type="pct"/>
            <w:hideMark/>
          </w:tcPr>
          <w:p w14:paraId="0013C5CA"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Kitos išlaidos</w:t>
            </w:r>
          </w:p>
        </w:tc>
        <w:tc>
          <w:tcPr>
            <w:tcW w:w="557" w:type="pct"/>
            <w:hideMark/>
          </w:tcPr>
          <w:p w14:paraId="1197922E" w14:textId="0D3E5D19"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56 134</w:t>
            </w:r>
          </w:p>
        </w:tc>
        <w:tc>
          <w:tcPr>
            <w:tcW w:w="556" w:type="pct"/>
            <w:hideMark/>
          </w:tcPr>
          <w:p w14:paraId="7ECFA03D" w14:textId="371D324D"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83 966</w:t>
            </w:r>
          </w:p>
        </w:tc>
        <w:tc>
          <w:tcPr>
            <w:tcW w:w="635" w:type="pct"/>
            <w:hideMark/>
          </w:tcPr>
          <w:p w14:paraId="7E432E20" w14:textId="49AFCA53"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1 150 391</w:t>
            </w:r>
          </w:p>
        </w:tc>
        <w:tc>
          <w:tcPr>
            <w:tcW w:w="682" w:type="pct"/>
            <w:hideMark/>
          </w:tcPr>
          <w:p w14:paraId="724D73E3" w14:textId="0AFE9C5E"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1949%</w:t>
            </w:r>
          </w:p>
        </w:tc>
      </w:tr>
      <w:tr w:rsidR="009546C8" w:rsidRPr="006D34E3" w14:paraId="17ADC170" w14:textId="77777777" w:rsidTr="00882BA8">
        <w:trPr>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2F8EF09C"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D.2.</w:t>
            </w:r>
          </w:p>
        </w:tc>
        <w:tc>
          <w:tcPr>
            <w:tcW w:w="2087" w:type="pct"/>
            <w:hideMark/>
          </w:tcPr>
          <w:p w14:paraId="19B168CA" w14:textId="77777777" w:rsidR="009546C8" w:rsidRPr="006D34E3" w:rsidRDefault="009546C8" w:rsidP="009546C8">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Gautų paskolų (G.3.1.) palūkanos</w:t>
            </w:r>
          </w:p>
        </w:tc>
        <w:tc>
          <w:tcPr>
            <w:tcW w:w="557" w:type="pct"/>
            <w:hideMark/>
          </w:tcPr>
          <w:p w14:paraId="460DD83C" w14:textId="3079B9CD"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556" w:type="pct"/>
            <w:hideMark/>
          </w:tcPr>
          <w:p w14:paraId="1C2D613F" w14:textId="630E38C5"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0</w:t>
            </w:r>
          </w:p>
        </w:tc>
        <w:tc>
          <w:tcPr>
            <w:tcW w:w="635" w:type="pct"/>
            <w:hideMark/>
          </w:tcPr>
          <w:p w14:paraId="13F87380" w14:textId="6B715C50"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c>
          <w:tcPr>
            <w:tcW w:w="682" w:type="pct"/>
            <w:hideMark/>
          </w:tcPr>
          <w:p w14:paraId="3D739F29" w14:textId="58F3EF78" w:rsidR="009546C8" w:rsidRPr="006D34E3"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w:t>
            </w:r>
          </w:p>
        </w:tc>
      </w:tr>
      <w:tr w:rsidR="009546C8" w:rsidRPr="006D34E3" w14:paraId="3E5F1960" w14:textId="77777777" w:rsidTr="00882B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pct"/>
            <w:hideMark/>
          </w:tcPr>
          <w:p w14:paraId="7FE29B7C" w14:textId="77777777" w:rsidR="009546C8" w:rsidRPr="006D34E3" w:rsidRDefault="009546C8" w:rsidP="009546C8">
            <w:pPr>
              <w:ind w:firstLine="0"/>
              <w:jc w:val="center"/>
              <w:rPr>
                <w:rFonts w:eastAsia="Times New Roman" w:cs="Arial"/>
                <w:i/>
                <w:iCs/>
                <w:color w:val="000000"/>
                <w:sz w:val="20"/>
                <w:szCs w:val="20"/>
                <w:lang w:eastAsia="lt-LT"/>
              </w:rPr>
            </w:pPr>
            <w:r w:rsidRPr="006D34E3">
              <w:rPr>
                <w:rFonts w:eastAsia="Times New Roman" w:cs="Arial"/>
                <w:i/>
                <w:iCs/>
                <w:color w:val="000000"/>
                <w:sz w:val="20"/>
                <w:szCs w:val="20"/>
                <w:lang w:eastAsia="lt-LT"/>
              </w:rPr>
              <w:t>H.1.1.</w:t>
            </w:r>
          </w:p>
        </w:tc>
        <w:tc>
          <w:tcPr>
            <w:tcW w:w="2087" w:type="pct"/>
            <w:hideMark/>
          </w:tcPr>
          <w:p w14:paraId="3373CDEC" w14:textId="77777777" w:rsidR="009546C8" w:rsidRPr="006D34E3" w:rsidRDefault="009546C8" w:rsidP="009546C8">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6D34E3">
              <w:rPr>
                <w:rFonts w:eastAsia="Times New Roman" w:cs="Arial"/>
                <w:color w:val="000000"/>
                <w:sz w:val="20"/>
                <w:szCs w:val="20"/>
                <w:lang w:eastAsia="lt-LT"/>
              </w:rPr>
              <w:t xml:space="preserve">bendra SE naudos </w:t>
            </w:r>
            <w:proofErr w:type="spellStart"/>
            <w:r w:rsidRPr="006D34E3">
              <w:rPr>
                <w:rFonts w:eastAsia="Times New Roman" w:cs="Arial"/>
                <w:color w:val="000000"/>
                <w:sz w:val="20"/>
                <w:szCs w:val="20"/>
                <w:lang w:eastAsia="lt-LT"/>
              </w:rPr>
              <w:t>komponеntų</w:t>
            </w:r>
            <w:proofErr w:type="spellEnd"/>
            <w:r w:rsidRPr="006D34E3">
              <w:rPr>
                <w:rFonts w:eastAsia="Times New Roman" w:cs="Arial"/>
                <w:color w:val="000000"/>
                <w:sz w:val="20"/>
                <w:szCs w:val="20"/>
                <w:lang w:eastAsia="lt-LT"/>
              </w:rPr>
              <w:t xml:space="preserve"> finansinė išraiška</w:t>
            </w:r>
          </w:p>
        </w:tc>
        <w:tc>
          <w:tcPr>
            <w:tcW w:w="557" w:type="pct"/>
            <w:hideMark/>
          </w:tcPr>
          <w:p w14:paraId="7CAFA388" w14:textId="55896F7F"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2 334 195</w:t>
            </w:r>
          </w:p>
        </w:tc>
        <w:tc>
          <w:tcPr>
            <w:tcW w:w="556" w:type="pct"/>
            <w:hideMark/>
          </w:tcPr>
          <w:p w14:paraId="79219F93" w14:textId="25D98086"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3 125 564</w:t>
            </w:r>
          </w:p>
        </w:tc>
        <w:tc>
          <w:tcPr>
            <w:tcW w:w="635" w:type="pct"/>
            <w:hideMark/>
          </w:tcPr>
          <w:p w14:paraId="19F3BE52" w14:textId="47F1471E"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2 097 404</w:t>
            </w:r>
          </w:p>
        </w:tc>
        <w:tc>
          <w:tcPr>
            <w:tcW w:w="682" w:type="pct"/>
            <w:hideMark/>
          </w:tcPr>
          <w:p w14:paraId="36D90344" w14:textId="1BAF4C55" w:rsidR="009546C8" w:rsidRPr="006D34E3"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Pr>
                <w:rFonts w:cs="Arial"/>
                <w:color w:val="000000"/>
                <w:sz w:val="20"/>
                <w:szCs w:val="20"/>
              </w:rPr>
              <w:t>-10%</w:t>
            </w:r>
          </w:p>
        </w:tc>
      </w:tr>
    </w:tbl>
    <w:p w14:paraId="615D5143" w14:textId="77777777" w:rsidR="00454E77" w:rsidRPr="00033860" w:rsidRDefault="00454E77" w:rsidP="00454E77">
      <w:pPr>
        <w:spacing w:line="256" w:lineRule="auto"/>
        <w:ind w:firstLine="0"/>
        <w:jc w:val="center"/>
        <w:rPr>
          <w:rFonts w:eastAsia="Times New Roman" w:cs="Arial"/>
          <w:i/>
          <w:noProof/>
          <w:color w:val="000000"/>
          <w:sz w:val="20"/>
          <w:szCs w:val="20"/>
          <w:lang w:eastAsia="lt-LT"/>
        </w:rPr>
      </w:pPr>
      <w:r w:rsidRPr="00033860">
        <w:rPr>
          <w:rFonts w:eastAsia="Times New Roman" w:cs="Arial"/>
          <w:i/>
          <w:noProof/>
          <w:color w:val="000000"/>
          <w:sz w:val="20"/>
          <w:szCs w:val="20"/>
          <w:lang w:eastAsia="lt-LT"/>
        </w:rPr>
        <w:t>Šaltinis: autorių analizė, remiantis CPVA pateikiama SNA skaičiuokle</w:t>
      </w:r>
    </w:p>
    <w:p w14:paraId="54036BED" w14:textId="77777777" w:rsidR="00454E77" w:rsidRPr="006E0A53" w:rsidRDefault="00454E77" w:rsidP="00454E77">
      <w:pPr>
        <w:pStyle w:val="Poskyris"/>
        <w:rPr>
          <w:rFonts w:eastAsia="Calibri"/>
        </w:rPr>
      </w:pPr>
      <w:bookmarkStart w:id="501" w:name="_Toc104108736"/>
      <w:bookmarkStart w:id="502" w:name="_Toc104230873"/>
      <w:bookmarkStart w:id="503" w:name="_Toc104231521"/>
      <w:bookmarkStart w:id="504" w:name="_Toc153967038"/>
      <w:bookmarkStart w:id="505" w:name="_Toc161121677"/>
      <w:bookmarkStart w:id="506" w:name="_Toc161166411"/>
      <w:bookmarkStart w:id="507" w:name="_Toc165372656"/>
      <w:bookmarkStart w:id="508" w:name="_Toc171350854"/>
      <w:bookmarkStart w:id="509" w:name="_Toc171351000"/>
      <w:bookmarkStart w:id="510" w:name="_Toc171355486"/>
      <w:r w:rsidRPr="006E0A53">
        <w:rPr>
          <w:rFonts w:eastAsia="Calibri"/>
        </w:rPr>
        <w:lastRenderedPageBreak/>
        <w:t>6.2. S</w:t>
      </w:r>
      <w:bookmarkEnd w:id="501"/>
      <w:r w:rsidRPr="006E0A53">
        <w:rPr>
          <w:rFonts w:eastAsia="Calibri"/>
        </w:rPr>
        <w:t>cenarijų analizė</w:t>
      </w:r>
      <w:bookmarkEnd w:id="502"/>
      <w:bookmarkEnd w:id="503"/>
      <w:bookmarkEnd w:id="504"/>
      <w:bookmarkEnd w:id="505"/>
      <w:bookmarkEnd w:id="506"/>
      <w:bookmarkEnd w:id="507"/>
      <w:bookmarkEnd w:id="508"/>
      <w:bookmarkEnd w:id="509"/>
      <w:bookmarkEnd w:id="510"/>
    </w:p>
    <w:p w14:paraId="22505537"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Scenarijų analizė yra speciali jautrumo analizės forma. Standartinėje jautrumo analizėje buvo išnagrinėta kiekvieno atskiro kintamojo įtaka Projekto rodikliams. </w:t>
      </w:r>
    </w:p>
    <w:p w14:paraId="7EE1EAF4"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ir ekonominiai rodikliai paskaičiuoti kiekvienam kritinių kintamųjų reikšmių deriniui (scenarijui).</w:t>
      </w:r>
    </w:p>
    <w:p w14:paraId="3BFF99E3"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Optimalios alternatyvos atveju iš viso atliekama penkių galimų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 Scenarijų analizės rezultatai pateikiami 6.2.1. lentelėje.</w:t>
      </w:r>
    </w:p>
    <w:p w14:paraId="57BF6E0F" w14:textId="77777777" w:rsidR="00454E77" w:rsidRPr="006E0A53" w:rsidRDefault="00454E77" w:rsidP="00454E77">
      <w:pPr>
        <w:pStyle w:val="Paantrat"/>
        <w:rPr>
          <w:rFonts w:eastAsia="Calibri"/>
          <w:noProof/>
          <w:lang w:eastAsia="lt-LT" w:bidi="lo-LA"/>
        </w:rPr>
      </w:pPr>
      <w:bookmarkStart w:id="511" w:name="_Toc153966938"/>
      <w:bookmarkStart w:id="512" w:name="_Toc161121544"/>
      <w:bookmarkStart w:id="513" w:name="_Toc161166273"/>
      <w:bookmarkStart w:id="514" w:name="_Toc165367104"/>
      <w:bookmarkStart w:id="515" w:name="_Toc165372536"/>
      <w:bookmarkStart w:id="516" w:name="_Toc171350565"/>
      <w:bookmarkStart w:id="517" w:name="_Toc171355487"/>
      <w:r w:rsidRPr="006E0A53">
        <w:rPr>
          <w:rFonts w:eastAsia="Calibri"/>
          <w:noProof/>
          <w:lang w:eastAsia="lt-LT" w:bidi="lo-LA"/>
        </w:rPr>
        <w:t>6.2.1. lentelė. Optimaliausios Projekto įgyvendinimo alternatyvos scenarijų analizė</w:t>
      </w:r>
      <w:bookmarkEnd w:id="511"/>
      <w:bookmarkEnd w:id="512"/>
      <w:bookmarkEnd w:id="513"/>
      <w:bookmarkEnd w:id="514"/>
      <w:bookmarkEnd w:id="515"/>
      <w:bookmarkEnd w:id="516"/>
      <w:bookmarkEnd w:id="517"/>
    </w:p>
    <w:tbl>
      <w:tblPr>
        <w:tblStyle w:val="3sraolentel1parykinimas15"/>
        <w:tblW w:w="0" w:type="auto"/>
        <w:tblLayout w:type="fixed"/>
        <w:tblLook w:val="04A0" w:firstRow="1" w:lastRow="0" w:firstColumn="1" w:lastColumn="0" w:noHBand="0" w:noVBand="1"/>
      </w:tblPr>
      <w:tblGrid>
        <w:gridCol w:w="3964"/>
        <w:gridCol w:w="1418"/>
        <w:gridCol w:w="1276"/>
        <w:gridCol w:w="1134"/>
        <w:gridCol w:w="1316"/>
        <w:gridCol w:w="1087"/>
      </w:tblGrid>
      <w:tr w:rsidR="00454E77" w:rsidRPr="00033860" w14:paraId="46890C98" w14:textId="77777777" w:rsidTr="009E5D1B">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3964" w:type="dxa"/>
            <w:hideMark/>
          </w:tcPr>
          <w:p w14:paraId="65EE120F" w14:textId="77777777" w:rsidR="00454E77" w:rsidRPr="00033860" w:rsidRDefault="00454E77" w:rsidP="009E5D1B">
            <w:pPr>
              <w:suppressAutoHyphens/>
              <w:ind w:firstLine="0"/>
              <w:jc w:val="center"/>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Scenarijaus pavadinimas /</w:t>
            </w:r>
            <w:r w:rsidRPr="00033860">
              <w:rPr>
                <w:rFonts w:cs="Arial"/>
                <w:noProof/>
                <w:color w:val="FFFFFF" w:themeColor="background1"/>
                <w:sz w:val="18"/>
                <w:szCs w:val="18"/>
                <w:lang w:val="lt-LT" w:eastAsia="ar-SA"/>
              </w:rPr>
              <w:br/>
              <w:t>Finansinis (ekonominis) rodiklis ir jo reikšmė</w:t>
            </w:r>
          </w:p>
        </w:tc>
        <w:tc>
          <w:tcPr>
            <w:tcW w:w="1418" w:type="dxa"/>
            <w:hideMark/>
          </w:tcPr>
          <w:p w14:paraId="7937B6C4"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Pesimistinis</w:t>
            </w:r>
          </w:p>
        </w:tc>
        <w:tc>
          <w:tcPr>
            <w:tcW w:w="1276" w:type="dxa"/>
            <w:hideMark/>
          </w:tcPr>
          <w:p w14:paraId="696B7DEE"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Mažiau pesimistinis</w:t>
            </w:r>
          </w:p>
        </w:tc>
        <w:tc>
          <w:tcPr>
            <w:tcW w:w="1134" w:type="dxa"/>
            <w:hideMark/>
          </w:tcPr>
          <w:p w14:paraId="5BCAEFB2"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Realus</w:t>
            </w:r>
          </w:p>
        </w:tc>
        <w:tc>
          <w:tcPr>
            <w:tcW w:w="1316" w:type="dxa"/>
            <w:hideMark/>
          </w:tcPr>
          <w:p w14:paraId="135A7082"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Mažiau optimistinis</w:t>
            </w:r>
          </w:p>
        </w:tc>
        <w:tc>
          <w:tcPr>
            <w:tcW w:w="1087" w:type="dxa"/>
            <w:hideMark/>
          </w:tcPr>
          <w:p w14:paraId="0F9AF3D6"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18"/>
                <w:szCs w:val="18"/>
                <w:lang w:val="lt-LT" w:eastAsia="ar-SA"/>
              </w:rPr>
            </w:pPr>
            <w:r w:rsidRPr="00033860">
              <w:rPr>
                <w:rFonts w:cs="Arial"/>
                <w:noProof/>
                <w:color w:val="FFFFFF" w:themeColor="background1"/>
                <w:sz w:val="18"/>
                <w:szCs w:val="18"/>
                <w:lang w:val="lt-LT" w:eastAsia="ar-SA"/>
              </w:rPr>
              <w:t>Optimistinis</w:t>
            </w:r>
          </w:p>
        </w:tc>
      </w:tr>
      <w:tr w:rsidR="009546C8" w:rsidRPr="00033860" w14:paraId="7941D69D" w14:textId="77777777" w:rsidTr="009E5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2B4F15F" w14:textId="77777777" w:rsidR="009546C8" w:rsidRPr="00033860" w:rsidRDefault="009546C8" w:rsidP="009546C8">
            <w:pPr>
              <w:suppressAutoHyphens/>
              <w:ind w:firstLine="0"/>
              <w:jc w:val="left"/>
              <w:rPr>
                <w:rFonts w:cs="Arial"/>
                <w:iCs/>
                <w:noProof/>
                <w:color w:val="auto"/>
                <w:sz w:val="18"/>
                <w:szCs w:val="18"/>
                <w:lang w:val="lt-LT" w:eastAsia="ar-SA"/>
              </w:rPr>
            </w:pPr>
            <w:r w:rsidRPr="00033860">
              <w:rPr>
                <w:rFonts w:cs="Arial"/>
                <w:iCs/>
                <w:noProof/>
                <w:color w:val="auto"/>
                <w:sz w:val="18"/>
                <w:szCs w:val="18"/>
                <w:lang w:val="lt-LT" w:eastAsia="ar-SA"/>
              </w:rPr>
              <w:t>Finansinė grynoji dabartinė vertė investicijoms - FGDV(I)</w:t>
            </w:r>
          </w:p>
        </w:tc>
        <w:tc>
          <w:tcPr>
            <w:tcW w:w="1418" w:type="dxa"/>
            <w:vAlign w:val="center"/>
            <w:hideMark/>
          </w:tcPr>
          <w:p w14:paraId="429C8E4C" w14:textId="77B217A8"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-4 089 609</w:t>
            </w:r>
          </w:p>
        </w:tc>
        <w:tc>
          <w:tcPr>
            <w:tcW w:w="1276" w:type="dxa"/>
            <w:vAlign w:val="center"/>
            <w:hideMark/>
          </w:tcPr>
          <w:p w14:paraId="0B0BC9B6" w14:textId="42F26637"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-3 394 172</w:t>
            </w:r>
          </w:p>
        </w:tc>
        <w:tc>
          <w:tcPr>
            <w:tcW w:w="1134" w:type="dxa"/>
            <w:vAlign w:val="center"/>
            <w:hideMark/>
          </w:tcPr>
          <w:p w14:paraId="5E460543" w14:textId="319529D6"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-2 930 549</w:t>
            </w:r>
          </w:p>
        </w:tc>
        <w:tc>
          <w:tcPr>
            <w:tcW w:w="1316" w:type="dxa"/>
            <w:vAlign w:val="center"/>
            <w:hideMark/>
          </w:tcPr>
          <w:p w14:paraId="3F44B362" w14:textId="45F00162"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-2 466 924</w:t>
            </w:r>
          </w:p>
        </w:tc>
        <w:tc>
          <w:tcPr>
            <w:tcW w:w="1087" w:type="dxa"/>
            <w:vAlign w:val="center"/>
            <w:hideMark/>
          </w:tcPr>
          <w:p w14:paraId="49A27A7D" w14:textId="64B9222D"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-1 771 487</w:t>
            </w:r>
          </w:p>
        </w:tc>
      </w:tr>
      <w:tr w:rsidR="009546C8" w:rsidRPr="00033860" w14:paraId="4E4D7BBF" w14:textId="77777777" w:rsidTr="009E5D1B">
        <w:trPr>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DD330A1" w14:textId="77777777" w:rsidR="009546C8" w:rsidRPr="00033860" w:rsidRDefault="009546C8" w:rsidP="009546C8">
            <w:pPr>
              <w:suppressAutoHyphens/>
              <w:ind w:firstLine="0"/>
              <w:jc w:val="left"/>
              <w:rPr>
                <w:rFonts w:cs="Arial"/>
                <w:iCs/>
                <w:noProof/>
                <w:color w:val="auto"/>
                <w:sz w:val="18"/>
                <w:szCs w:val="18"/>
                <w:lang w:val="lt-LT" w:eastAsia="ar-SA"/>
              </w:rPr>
            </w:pPr>
            <w:r w:rsidRPr="00033860">
              <w:rPr>
                <w:rFonts w:cs="Arial"/>
                <w:iCs/>
                <w:noProof/>
                <w:color w:val="auto"/>
                <w:sz w:val="18"/>
                <w:szCs w:val="18"/>
                <w:lang w:val="lt-LT" w:eastAsia="ar-SA"/>
              </w:rPr>
              <w:t>Finansinė vidinė grąžos norma investicijoms - FVGN(I)</w:t>
            </w:r>
          </w:p>
        </w:tc>
        <w:tc>
          <w:tcPr>
            <w:tcW w:w="1418" w:type="dxa"/>
            <w:vAlign w:val="center"/>
            <w:hideMark/>
          </w:tcPr>
          <w:p w14:paraId="59FD8A65" w14:textId="7E7C6779"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-11,67%</w:t>
            </w:r>
          </w:p>
        </w:tc>
        <w:tc>
          <w:tcPr>
            <w:tcW w:w="1276" w:type="dxa"/>
            <w:vAlign w:val="center"/>
            <w:hideMark/>
          </w:tcPr>
          <w:p w14:paraId="6EB332E9" w14:textId="1396A18C"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-9,28%</w:t>
            </w:r>
          </w:p>
        </w:tc>
        <w:tc>
          <w:tcPr>
            <w:tcW w:w="1134" w:type="dxa"/>
            <w:vAlign w:val="center"/>
            <w:hideMark/>
          </w:tcPr>
          <w:p w14:paraId="6BB4F5E6" w14:textId="2AD57938"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-7,74%</w:t>
            </w:r>
          </w:p>
        </w:tc>
        <w:tc>
          <w:tcPr>
            <w:tcW w:w="1316" w:type="dxa"/>
            <w:vAlign w:val="center"/>
            <w:hideMark/>
          </w:tcPr>
          <w:p w14:paraId="184A7011" w14:textId="18726BF8"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-6,19%</w:t>
            </w:r>
          </w:p>
        </w:tc>
        <w:tc>
          <w:tcPr>
            <w:tcW w:w="1087" w:type="dxa"/>
            <w:vAlign w:val="center"/>
            <w:hideMark/>
          </w:tcPr>
          <w:p w14:paraId="7ABA0B39" w14:textId="652A8475"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-3,78%</w:t>
            </w:r>
          </w:p>
        </w:tc>
      </w:tr>
      <w:tr w:rsidR="009546C8" w:rsidRPr="00033860" w14:paraId="04F51A3C" w14:textId="77777777" w:rsidTr="009E5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D9139EA" w14:textId="77777777" w:rsidR="009546C8" w:rsidRPr="00033860" w:rsidRDefault="009546C8" w:rsidP="009546C8">
            <w:pPr>
              <w:suppressAutoHyphens/>
              <w:ind w:firstLine="0"/>
              <w:jc w:val="left"/>
              <w:rPr>
                <w:rFonts w:cs="Arial"/>
                <w:iCs/>
                <w:noProof/>
                <w:color w:val="auto"/>
                <w:sz w:val="18"/>
                <w:szCs w:val="18"/>
                <w:lang w:val="lt-LT" w:eastAsia="ar-SA"/>
              </w:rPr>
            </w:pPr>
            <w:r w:rsidRPr="00033860">
              <w:rPr>
                <w:rFonts w:cs="Arial"/>
                <w:iCs/>
                <w:noProof/>
                <w:color w:val="auto"/>
                <w:sz w:val="18"/>
                <w:szCs w:val="18"/>
                <w:lang w:val="lt-LT" w:eastAsia="ar-SA"/>
              </w:rPr>
              <w:t>Finansinė modifikuota vidinė grąžos norma investicijoms - FMVGN(I)</w:t>
            </w:r>
          </w:p>
        </w:tc>
        <w:tc>
          <w:tcPr>
            <w:tcW w:w="1418" w:type="dxa"/>
            <w:vAlign w:val="center"/>
            <w:hideMark/>
          </w:tcPr>
          <w:p w14:paraId="17676C39" w14:textId="4693737C"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-8,36%</w:t>
            </w:r>
          </w:p>
        </w:tc>
        <w:tc>
          <w:tcPr>
            <w:tcW w:w="1276" w:type="dxa"/>
            <w:vAlign w:val="center"/>
            <w:hideMark/>
          </w:tcPr>
          <w:p w14:paraId="75AF929B" w14:textId="31F91E61"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-6,52%</w:t>
            </w:r>
          </w:p>
        </w:tc>
        <w:tc>
          <w:tcPr>
            <w:tcW w:w="1134" w:type="dxa"/>
            <w:vAlign w:val="center"/>
            <w:hideMark/>
          </w:tcPr>
          <w:p w14:paraId="6B984495" w14:textId="0E7915AF"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-5,32%</w:t>
            </w:r>
          </w:p>
        </w:tc>
        <w:tc>
          <w:tcPr>
            <w:tcW w:w="1316" w:type="dxa"/>
            <w:vAlign w:val="center"/>
            <w:hideMark/>
          </w:tcPr>
          <w:p w14:paraId="4B8C0722" w14:textId="2AA5E966"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-4,11%</w:t>
            </w:r>
          </w:p>
        </w:tc>
        <w:tc>
          <w:tcPr>
            <w:tcW w:w="1087" w:type="dxa"/>
            <w:vAlign w:val="center"/>
            <w:hideMark/>
          </w:tcPr>
          <w:p w14:paraId="55FA78B2" w14:textId="6E91D255"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-2,21%</w:t>
            </w:r>
          </w:p>
        </w:tc>
      </w:tr>
      <w:tr w:rsidR="009546C8" w:rsidRPr="00033860" w14:paraId="1CCA0C51" w14:textId="77777777" w:rsidTr="009E5D1B">
        <w:trPr>
          <w:trHeight w:val="22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9FC33E8" w14:textId="77777777" w:rsidR="009546C8" w:rsidRPr="00033860" w:rsidRDefault="009546C8" w:rsidP="009546C8">
            <w:pPr>
              <w:suppressAutoHyphens/>
              <w:ind w:firstLine="0"/>
              <w:jc w:val="left"/>
              <w:rPr>
                <w:rFonts w:cs="Arial"/>
                <w:iCs/>
                <w:noProof/>
                <w:color w:val="auto"/>
                <w:sz w:val="18"/>
                <w:szCs w:val="18"/>
                <w:lang w:val="lt-LT" w:eastAsia="ar-SA"/>
              </w:rPr>
            </w:pPr>
            <w:r w:rsidRPr="00033860">
              <w:rPr>
                <w:rFonts w:cs="Arial"/>
                <w:iCs/>
                <w:noProof/>
                <w:color w:val="auto"/>
                <w:sz w:val="18"/>
                <w:szCs w:val="18"/>
                <w:lang w:val="lt-LT" w:eastAsia="ar-SA"/>
              </w:rPr>
              <w:t>Ekonominė grynoji dabartinė vertė - EGDV</w:t>
            </w:r>
          </w:p>
        </w:tc>
        <w:tc>
          <w:tcPr>
            <w:tcW w:w="1418" w:type="dxa"/>
            <w:vAlign w:val="center"/>
            <w:hideMark/>
          </w:tcPr>
          <w:p w14:paraId="6B602964" w14:textId="67DDB1F7"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-589 944</w:t>
            </w:r>
          </w:p>
        </w:tc>
        <w:tc>
          <w:tcPr>
            <w:tcW w:w="1276" w:type="dxa"/>
            <w:vAlign w:val="center"/>
            <w:hideMark/>
          </w:tcPr>
          <w:p w14:paraId="6320C08F" w14:textId="2ED5C628"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-93 903</w:t>
            </w:r>
          </w:p>
        </w:tc>
        <w:tc>
          <w:tcPr>
            <w:tcW w:w="1134" w:type="dxa"/>
            <w:vAlign w:val="center"/>
            <w:hideMark/>
          </w:tcPr>
          <w:p w14:paraId="7A88290E" w14:textId="0C1BE973"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236 792</w:t>
            </w:r>
          </w:p>
        </w:tc>
        <w:tc>
          <w:tcPr>
            <w:tcW w:w="1316" w:type="dxa"/>
            <w:vAlign w:val="center"/>
            <w:hideMark/>
          </w:tcPr>
          <w:p w14:paraId="549BE8A2" w14:textId="5DBDAC7C"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567 487</w:t>
            </w:r>
          </w:p>
        </w:tc>
        <w:tc>
          <w:tcPr>
            <w:tcW w:w="1087" w:type="dxa"/>
            <w:vAlign w:val="center"/>
            <w:hideMark/>
          </w:tcPr>
          <w:p w14:paraId="7C387414" w14:textId="1A36E5B4" w:rsidR="009546C8" w:rsidRPr="009546C8"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1 063 528</w:t>
            </w:r>
          </w:p>
        </w:tc>
      </w:tr>
      <w:tr w:rsidR="009546C8" w:rsidRPr="00033860" w14:paraId="67B4E551" w14:textId="77777777" w:rsidTr="009E5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E474C61" w14:textId="77777777" w:rsidR="009546C8" w:rsidRPr="00033860" w:rsidRDefault="009546C8" w:rsidP="009546C8">
            <w:pPr>
              <w:suppressAutoHyphens/>
              <w:ind w:firstLine="0"/>
              <w:jc w:val="left"/>
              <w:rPr>
                <w:rFonts w:cs="Arial"/>
                <w:iCs/>
                <w:noProof/>
                <w:color w:val="auto"/>
                <w:sz w:val="18"/>
                <w:szCs w:val="18"/>
                <w:lang w:val="lt-LT" w:eastAsia="ar-SA"/>
              </w:rPr>
            </w:pPr>
            <w:r w:rsidRPr="00033860">
              <w:rPr>
                <w:rFonts w:cs="Arial"/>
                <w:iCs/>
                <w:noProof/>
                <w:color w:val="auto"/>
                <w:sz w:val="18"/>
                <w:szCs w:val="18"/>
                <w:lang w:val="lt-LT" w:eastAsia="ar-SA"/>
              </w:rPr>
              <w:t>Ekonominė vidinė grąžos norma - EVGN</w:t>
            </w:r>
          </w:p>
        </w:tc>
        <w:tc>
          <w:tcPr>
            <w:tcW w:w="1418" w:type="dxa"/>
            <w:vAlign w:val="center"/>
            <w:hideMark/>
          </w:tcPr>
          <w:p w14:paraId="6049ED9E" w14:textId="53D4591D"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0,76%</w:t>
            </w:r>
          </w:p>
        </w:tc>
        <w:tc>
          <w:tcPr>
            <w:tcW w:w="1276" w:type="dxa"/>
            <w:vAlign w:val="center"/>
            <w:hideMark/>
          </w:tcPr>
          <w:p w14:paraId="0F2DB213" w14:textId="7B3E0AAA"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4,29%</w:t>
            </w:r>
          </w:p>
        </w:tc>
        <w:tc>
          <w:tcPr>
            <w:tcW w:w="1134" w:type="dxa"/>
            <w:vAlign w:val="center"/>
            <w:hideMark/>
          </w:tcPr>
          <w:p w14:paraId="6715370D" w14:textId="3686EF1D"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6,88%</w:t>
            </w:r>
          </w:p>
        </w:tc>
        <w:tc>
          <w:tcPr>
            <w:tcW w:w="1316" w:type="dxa"/>
            <w:vAlign w:val="center"/>
            <w:hideMark/>
          </w:tcPr>
          <w:p w14:paraId="33EDD7BF" w14:textId="3B7EB8D1"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9,76%</w:t>
            </w:r>
          </w:p>
        </w:tc>
        <w:tc>
          <w:tcPr>
            <w:tcW w:w="1087" w:type="dxa"/>
            <w:vAlign w:val="center"/>
            <w:hideMark/>
          </w:tcPr>
          <w:p w14:paraId="467A950D" w14:textId="14E88823" w:rsidR="009546C8" w:rsidRPr="009546C8"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lang w:val="lt-LT" w:eastAsia="ar-SA"/>
              </w:rPr>
            </w:pPr>
            <w:r w:rsidRPr="009546C8">
              <w:rPr>
                <w:rFonts w:cs="Arial"/>
                <w:color w:val="000000"/>
                <w:sz w:val="18"/>
                <w:szCs w:val="18"/>
              </w:rPr>
              <w:t>14,98%</w:t>
            </w:r>
          </w:p>
        </w:tc>
      </w:tr>
    </w:tbl>
    <w:p w14:paraId="21CE4D36" w14:textId="77777777" w:rsidR="00454E77" w:rsidRPr="00033860" w:rsidRDefault="00454E77" w:rsidP="00454E77">
      <w:pPr>
        <w:spacing w:line="256" w:lineRule="auto"/>
        <w:ind w:firstLine="0"/>
        <w:jc w:val="center"/>
        <w:rPr>
          <w:rFonts w:eastAsia="Times New Roman" w:cs="Arial"/>
          <w:i/>
          <w:noProof/>
          <w:color w:val="000000"/>
          <w:sz w:val="20"/>
          <w:szCs w:val="20"/>
          <w:lang w:eastAsia="lt-LT"/>
        </w:rPr>
      </w:pPr>
      <w:r w:rsidRPr="00033860">
        <w:rPr>
          <w:rFonts w:eastAsia="Times New Roman" w:cs="Arial"/>
          <w:i/>
          <w:noProof/>
          <w:color w:val="000000"/>
          <w:sz w:val="20"/>
          <w:szCs w:val="20"/>
          <w:lang w:eastAsia="lt-LT"/>
        </w:rPr>
        <w:t>Šaltinis: autorių analizė, remiantis CPVA pateikiama SNA skaičiuokle</w:t>
      </w:r>
    </w:p>
    <w:p w14:paraId="0274E2F8" w14:textId="60DE10F6"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Taigi, atlikta scenarijų analizė rodė, kad mažiausia pasiekiama EGDV reikšmė („Pesimistinis“ scenarijus) siekia </w:t>
      </w:r>
      <w:r w:rsidR="009546C8">
        <w:rPr>
          <w:rFonts w:eastAsia="Calibri" w:cs="Arial"/>
          <w:noProof/>
          <w:color w:val="auto"/>
          <w:lang w:eastAsia="en-GB"/>
        </w:rPr>
        <w:t>-589 944</w:t>
      </w:r>
      <w:r w:rsidRPr="006E0A53">
        <w:rPr>
          <w:rFonts w:eastAsia="Calibri" w:cs="Arial"/>
          <w:noProof/>
          <w:color w:val="auto"/>
          <w:lang w:eastAsia="en-GB"/>
        </w:rPr>
        <w:t xml:space="preserve"> </w:t>
      </w:r>
      <w:r w:rsidRPr="00033860">
        <w:rPr>
          <w:rFonts w:eastAsia="Calibri" w:cs="Arial"/>
          <w:noProof/>
          <w:color w:val="auto"/>
          <w:lang w:eastAsia="en-GB"/>
        </w:rPr>
        <w:t xml:space="preserve">Eur, o didžiausia („Optimistinis“ scenarijus) – </w:t>
      </w:r>
      <w:r w:rsidR="009546C8">
        <w:rPr>
          <w:rFonts w:eastAsia="Calibri" w:cs="Arial"/>
          <w:noProof/>
          <w:color w:val="auto"/>
          <w:lang w:eastAsia="en-GB"/>
        </w:rPr>
        <w:t>1 063 528</w:t>
      </w:r>
      <w:r w:rsidRPr="00033860">
        <w:rPr>
          <w:rFonts w:eastAsia="Calibri" w:cs="Arial"/>
          <w:noProof/>
          <w:color w:val="auto"/>
          <w:lang w:eastAsia="en-GB"/>
        </w:rPr>
        <w:t xml:space="preserve"> Eur.</w:t>
      </w:r>
    </w:p>
    <w:p w14:paraId="5933E91B" w14:textId="77777777" w:rsidR="00454E77" w:rsidRPr="00033860" w:rsidRDefault="00454E77" w:rsidP="00454E77">
      <w:pPr>
        <w:spacing w:line="256" w:lineRule="auto"/>
        <w:rPr>
          <w:rFonts w:eastAsia="Calibri" w:cs="Arial"/>
          <w:bCs/>
          <w:iCs/>
          <w:noProof/>
          <w:color w:val="auto"/>
          <w:lang w:eastAsia="en-GB"/>
        </w:rPr>
      </w:pPr>
      <w:r w:rsidRPr="00033860">
        <w:rPr>
          <w:rFonts w:eastAsia="Calibri" w:cs="Arial"/>
          <w:noProof/>
          <w:color w:val="auto"/>
          <w:lang w:eastAsia="en-GB"/>
        </w:rPr>
        <w:t xml:space="preserve">Atsižvelgiant į aukščiau pateiktas prielaidas, galima teikti kad Projekto įgyvendinimas socialiniu ekonominiu požiūriu yra atsiperkantis. Detalūs scenarijų analizės rezultatai bei prielaidos pateikiami </w:t>
      </w:r>
      <w:r w:rsidRPr="00033860">
        <w:rPr>
          <w:rFonts w:eastAsia="Calibri" w:cs="Arial"/>
          <w:bCs/>
          <w:iCs/>
          <w:noProof/>
          <w:color w:val="auto"/>
          <w:lang w:eastAsia="en-GB"/>
        </w:rPr>
        <w:t>SNA skaičiuoklės 5.3 darbalaukyje.</w:t>
      </w:r>
    </w:p>
    <w:p w14:paraId="3782A6AD" w14:textId="77777777" w:rsidR="00454E77" w:rsidRPr="006E0A53" w:rsidRDefault="00454E77" w:rsidP="00454E77">
      <w:pPr>
        <w:pStyle w:val="Poskyris"/>
        <w:rPr>
          <w:rFonts w:eastAsia="Calibri"/>
        </w:rPr>
      </w:pPr>
      <w:bookmarkStart w:id="518" w:name="_Toc104108737"/>
      <w:bookmarkStart w:id="519" w:name="_Toc104230875"/>
      <w:bookmarkStart w:id="520" w:name="_Toc104231522"/>
      <w:bookmarkStart w:id="521" w:name="_Toc153967039"/>
      <w:bookmarkStart w:id="522" w:name="_Toc161121678"/>
      <w:bookmarkStart w:id="523" w:name="_Toc161166412"/>
      <w:bookmarkStart w:id="524" w:name="_Toc165372657"/>
      <w:bookmarkStart w:id="525" w:name="_Toc171350855"/>
      <w:bookmarkStart w:id="526" w:name="_Toc171351001"/>
      <w:bookmarkStart w:id="527" w:name="_Toc171355488"/>
      <w:r w:rsidRPr="006E0A53">
        <w:rPr>
          <w:rFonts w:eastAsia="Calibri"/>
        </w:rPr>
        <w:t>6.3. Kintamųjų tikimybės</w:t>
      </w:r>
      <w:bookmarkEnd w:id="518"/>
      <w:bookmarkEnd w:id="519"/>
      <w:bookmarkEnd w:id="520"/>
      <w:bookmarkEnd w:id="521"/>
      <w:bookmarkEnd w:id="522"/>
      <w:bookmarkEnd w:id="523"/>
      <w:bookmarkEnd w:id="524"/>
      <w:bookmarkEnd w:id="525"/>
      <w:bookmarkEnd w:id="526"/>
      <w:bookmarkEnd w:id="527"/>
    </w:p>
    <w:p w14:paraId="2A40FA9D"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19DB229E"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Optimalios projekto alternatyvos atveju, remiantis Metodika, Investicinio projekto skaičiuoklėje kiekvienam tiesioginiam kintamajam pagal nutylėjimą parinktas labiausiai tikėtinas tikimybių skirstinys ir jo parametrų reikšmės.</w:t>
      </w:r>
    </w:p>
    <w:p w14:paraId="06CBC91D" w14:textId="77777777" w:rsidR="00454E77" w:rsidRPr="006E0A53" w:rsidRDefault="00454E77" w:rsidP="00454E77">
      <w:pPr>
        <w:pStyle w:val="Poskyris"/>
        <w:rPr>
          <w:rFonts w:eastAsia="Calibri"/>
        </w:rPr>
      </w:pPr>
      <w:bookmarkStart w:id="528" w:name="_Toc104108738"/>
      <w:bookmarkStart w:id="529" w:name="_Toc104230876"/>
      <w:bookmarkStart w:id="530" w:name="_Toc104231523"/>
      <w:bookmarkStart w:id="531" w:name="_Toc153967040"/>
      <w:bookmarkStart w:id="532" w:name="_Toc161121679"/>
      <w:bookmarkStart w:id="533" w:name="_Toc161166413"/>
      <w:bookmarkStart w:id="534" w:name="_Toc165372658"/>
      <w:bookmarkStart w:id="535" w:name="_Toc171355489"/>
      <w:r w:rsidRPr="006E0A53">
        <w:rPr>
          <w:rFonts w:eastAsia="Calibri"/>
        </w:rPr>
        <w:t>6.4. Rizikų vertinimas</w:t>
      </w:r>
      <w:bookmarkEnd w:id="528"/>
      <w:bookmarkEnd w:id="529"/>
      <w:bookmarkEnd w:id="530"/>
      <w:bookmarkEnd w:id="531"/>
      <w:bookmarkEnd w:id="532"/>
      <w:bookmarkEnd w:id="533"/>
      <w:bookmarkEnd w:id="534"/>
      <w:bookmarkEnd w:id="535"/>
    </w:p>
    <w:p w14:paraId="52EF1C79" w14:textId="77777777" w:rsidR="00454E77" w:rsidRPr="00033860" w:rsidRDefault="00454E77" w:rsidP="00454E77">
      <w:pPr>
        <w:spacing w:line="256" w:lineRule="auto"/>
        <w:jc w:val="left"/>
        <w:rPr>
          <w:rFonts w:eastAsia="Calibri" w:cs="Arial"/>
          <w:noProof/>
          <w:color w:val="auto"/>
          <w:lang w:eastAsia="en-GB"/>
        </w:rPr>
      </w:pPr>
      <w:r w:rsidRPr="00033860">
        <w:rPr>
          <w:rFonts w:eastAsia="Calibri" w:cs="Arial"/>
          <w:noProof/>
          <w:color w:val="auto"/>
          <w:lang w:eastAsia="en-GB"/>
        </w:rPr>
        <w:t>Rizikų vertinimas yra atliekamas šiuo eiliškumu:</w:t>
      </w:r>
    </w:p>
    <w:p w14:paraId="3A243DFA" w14:textId="77777777" w:rsidR="00454E77" w:rsidRPr="00033860" w:rsidRDefault="00454E77" w:rsidP="00454E77">
      <w:pPr>
        <w:numPr>
          <w:ilvl w:val="0"/>
          <w:numId w:val="13"/>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t>Nustatomas kiekvieno (tiesioginio) kintamojo rizikos įvertis;</w:t>
      </w:r>
    </w:p>
    <w:p w14:paraId="1B6A6881" w14:textId="77777777" w:rsidR="00454E77" w:rsidRPr="00033860" w:rsidRDefault="00454E77" w:rsidP="00454E77">
      <w:pPr>
        <w:numPr>
          <w:ilvl w:val="0"/>
          <w:numId w:val="13"/>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t>Paskirstomi rizikos įverčiai atitinkamoms rizikų grupėms;</w:t>
      </w:r>
    </w:p>
    <w:p w14:paraId="5C37D7AE" w14:textId="77777777" w:rsidR="00454E77" w:rsidRPr="00033860" w:rsidRDefault="00454E77" w:rsidP="00454E77">
      <w:pPr>
        <w:numPr>
          <w:ilvl w:val="0"/>
          <w:numId w:val="13"/>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Rizikų grupėms priskirti įverčiai susumuojami;</w:t>
      </w:r>
    </w:p>
    <w:p w14:paraId="655A1E9A" w14:textId="77777777" w:rsidR="00454E77" w:rsidRPr="00033860" w:rsidRDefault="00454E77" w:rsidP="00454E77">
      <w:pPr>
        <w:numPr>
          <w:ilvl w:val="0"/>
          <w:numId w:val="13"/>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lastRenderedPageBreak/>
        <w:t xml:space="preserve">Paskirstomi kiekvieno rizikų grupės įverčio reikšmė pagal projekto ataskaitinio laikotarpio metus. </w:t>
      </w:r>
    </w:p>
    <w:p w14:paraId="4D54E578" w14:textId="77777777" w:rsidR="00454E77" w:rsidRPr="006E0A53" w:rsidRDefault="00454E77" w:rsidP="00454E77">
      <w:pPr>
        <w:pStyle w:val="Paantrat"/>
        <w:rPr>
          <w:rFonts w:eastAsia="Calibri"/>
          <w:noProof/>
          <w:lang w:eastAsia="lt-LT"/>
        </w:rPr>
      </w:pPr>
      <w:bookmarkStart w:id="536" w:name="_Toc104108739"/>
      <w:bookmarkStart w:id="537" w:name="_Toc104230877"/>
      <w:bookmarkStart w:id="538" w:name="_Toc104231524"/>
      <w:bookmarkStart w:id="539" w:name="_Toc152747082"/>
      <w:bookmarkStart w:id="540" w:name="_Toc153967041"/>
      <w:bookmarkStart w:id="541" w:name="_Toc161121680"/>
      <w:bookmarkStart w:id="542" w:name="_Toc161166414"/>
      <w:bookmarkStart w:id="543" w:name="_Toc165372659"/>
      <w:bookmarkStart w:id="544" w:name="_Toc171351002"/>
      <w:bookmarkStart w:id="545" w:name="_Toc171355490"/>
      <w:r w:rsidRPr="006E0A53">
        <w:rPr>
          <w:rFonts w:eastAsia="Calibri"/>
          <w:noProof/>
          <w:lang w:eastAsia="lt-LT"/>
        </w:rPr>
        <w:t>6.4.1. Kintamųjų rizikos įverčiai</w:t>
      </w:r>
      <w:bookmarkEnd w:id="536"/>
      <w:bookmarkEnd w:id="537"/>
      <w:bookmarkEnd w:id="538"/>
      <w:bookmarkEnd w:id="539"/>
      <w:bookmarkEnd w:id="540"/>
      <w:bookmarkEnd w:id="541"/>
      <w:bookmarkEnd w:id="542"/>
      <w:bookmarkEnd w:id="543"/>
      <w:bookmarkEnd w:id="544"/>
      <w:bookmarkEnd w:id="545"/>
    </w:p>
    <w:p w14:paraId="4CF3F92C"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Kiekvieno kritinio (tiesioginio) kintamojo rizikos įverčiui apskaičiuoti pasirenkama mažiausia reikšmė, kurios (pagal kaupiamosios tikimybių kreivės duomenis) kritinis (tiesioginis) kintamasis neviršija 70 proc. atvejų. </w:t>
      </w:r>
    </w:p>
    <w:p w14:paraId="46AAD8E3"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Remiantis Metodika, skaičiuoklė kiekvieno kritinio (tiesioginio) kintamojo rizikos įverčius apskaičiuoja pati. Kritiniai (tiesioginiai) kintamieji buvo nustatyti 6.1.4. IP dalyje.</w:t>
      </w:r>
    </w:p>
    <w:p w14:paraId="234F5662" w14:textId="77777777" w:rsidR="00454E77" w:rsidRPr="006E0A53" w:rsidRDefault="00454E77" w:rsidP="00454E77">
      <w:pPr>
        <w:pStyle w:val="Paantrat"/>
        <w:rPr>
          <w:rFonts w:eastAsia="Calibri"/>
          <w:noProof/>
          <w:lang w:eastAsia="lt-LT"/>
        </w:rPr>
      </w:pPr>
      <w:bookmarkStart w:id="546" w:name="_Toc104108740"/>
      <w:bookmarkStart w:id="547" w:name="_Toc104230878"/>
      <w:bookmarkStart w:id="548" w:name="_Toc104231525"/>
      <w:bookmarkStart w:id="549" w:name="_Toc152747083"/>
      <w:bookmarkStart w:id="550" w:name="_Toc153967042"/>
      <w:bookmarkStart w:id="551" w:name="_Toc161121681"/>
      <w:bookmarkStart w:id="552" w:name="_Toc161166415"/>
      <w:bookmarkStart w:id="553" w:name="_Toc165372660"/>
      <w:bookmarkStart w:id="554" w:name="_Toc171351003"/>
      <w:bookmarkStart w:id="555" w:name="_Toc171355491"/>
      <w:r w:rsidRPr="006E0A53">
        <w:rPr>
          <w:rFonts w:eastAsia="Calibri"/>
          <w:noProof/>
          <w:lang w:eastAsia="lt-LT"/>
        </w:rPr>
        <w:t>6.4.2. Rizikos grupės</w:t>
      </w:r>
      <w:bookmarkEnd w:id="546"/>
      <w:bookmarkEnd w:id="547"/>
      <w:bookmarkEnd w:id="548"/>
      <w:bookmarkEnd w:id="549"/>
      <w:bookmarkEnd w:id="550"/>
      <w:bookmarkEnd w:id="551"/>
      <w:bookmarkEnd w:id="552"/>
      <w:bookmarkEnd w:id="553"/>
      <w:bookmarkEnd w:id="554"/>
      <w:bookmarkEnd w:id="555"/>
    </w:p>
    <w:p w14:paraId="35B19FE1"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Nustačius tiesioginių kintamųjų rizikos įverčius, įvertinamos projekte galinčios pasireikšti rizikos. Išskiriamos 8 rizikų grupės: </w:t>
      </w:r>
    </w:p>
    <w:p w14:paraId="7A4F5001"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Projektavimo (planavimo) kokybės rizikų grupė; </w:t>
      </w:r>
    </w:p>
    <w:p w14:paraId="4FBD2B53"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Įsigyjamų (atliekamų) rangos darbų kokybės rizikų grupė; </w:t>
      </w:r>
    </w:p>
    <w:p w14:paraId="2733FDD3"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Įsigyjamos (pagaminamos) įrangos, įrenginių ir kito turto kokybės rizikų grupė; </w:t>
      </w:r>
    </w:p>
    <w:p w14:paraId="109D45FF"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Įsigyjamų (atliekamų) paslaugų kokybės rizikų grupė; </w:t>
      </w:r>
    </w:p>
    <w:p w14:paraId="7C92FFE8"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Finansavimo prieinamumo rizikų grupė; </w:t>
      </w:r>
    </w:p>
    <w:p w14:paraId="2E7050EE"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Teikiamų paslaugų rizikų grupė; </w:t>
      </w:r>
    </w:p>
    <w:p w14:paraId="25DD98CC"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Paklausos rinkoje rizikų grupė; </w:t>
      </w:r>
    </w:p>
    <w:p w14:paraId="413B97E3" w14:textId="77777777" w:rsidR="00454E77" w:rsidRPr="00033860" w:rsidRDefault="00454E77" w:rsidP="00454E77">
      <w:pPr>
        <w:numPr>
          <w:ilvl w:val="1"/>
          <w:numId w:val="14"/>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Turto likutinės vertės rizikų grupė. </w:t>
      </w:r>
    </w:p>
    <w:p w14:paraId="263EA7C6"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Vertinant Projekto rizikas būtina atsižvelgti ir įvertinti, ar konkretus rizikos veiksnys turi įtakos Projektui, kaip minimizuoti šią įtaką ir tinkamai suvaldyti jos pasireiškimą.</w:t>
      </w:r>
    </w:p>
    <w:p w14:paraId="4CB71545"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Vertinant Projekte galinčias pasireikšti rizikas, atskirai kiekvienai rizikų grupei pagal rizikos pasireiškimo pobūdį atitinkamai priskiriami šių tiesioginių kintamųjų rizikos įverčiai: </w:t>
      </w:r>
    </w:p>
    <w:p w14:paraId="26B7D6B4"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Projektavimo (planavimo) kokybės rizikų grupė – tiesioginiai kintamieji: projektavimo, techninės priežiūros ir kitos su investicijomis į ilgalaikį turtą susijusios paslaugos, projekto administravimas ir vykdymas. </w:t>
      </w:r>
    </w:p>
    <w:p w14:paraId="75B47AAC"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Įsigyjamų (atliekamų) rangos darbų kokybės rizikų grupė – tiesioginiai kintamieji: žemė, nekilnojamasis turtas, statyba, rekonstravimas, kapitalinis remontas ir kiti darbai. </w:t>
      </w:r>
    </w:p>
    <w:p w14:paraId="27D31D09"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Įsigyjamos (pagaminamos) įrangos, įrenginių ir kito turto kokybės rizikų grupė – tiesioginiai kintamieji: įranga, įrenginiai ir kitas turtas. </w:t>
      </w:r>
    </w:p>
    <w:p w14:paraId="690DA22E"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Įsigyjamų (atliekamų) paslaugų kokybės rizikų grupė – tiesioginiai kintamieji: kitos paslaugos. </w:t>
      </w:r>
    </w:p>
    <w:p w14:paraId="4B13BC97"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Finansavimo prieinamumo rizikų grupė – tiesioginiai kintamieji: gautų paskolų palūkanos. </w:t>
      </w:r>
    </w:p>
    <w:p w14:paraId="4F36CCB0"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 xml:space="preserve">Teikiamų paslaugų rizikų grupė – tiesioginiai kintamieji: išlaidos (išskyrus paskolų palūkanas). </w:t>
      </w:r>
    </w:p>
    <w:p w14:paraId="045761FE"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Paklausos rinkoje rizikų grupė – tiesioginiai kintamieji: pajamos.</w:t>
      </w:r>
    </w:p>
    <w:p w14:paraId="27570FE3" w14:textId="77777777" w:rsidR="00454E77" w:rsidRPr="00033860" w:rsidRDefault="00454E77" w:rsidP="00454E77">
      <w:pPr>
        <w:numPr>
          <w:ilvl w:val="0"/>
          <w:numId w:val="15"/>
        </w:numPr>
        <w:spacing w:after="0" w:line="256" w:lineRule="auto"/>
        <w:ind w:left="993" w:hanging="426"/>
        <w:contextualSpacing/>
        <w:jc w:val="left"/>
        <w:rPr>
          <w:rFonts w:eastAsia="Calibri" w:cs="Arial"/>
          <w:noProof/>
          <w:color w:val="auto"/>
        </w:rPr>
      </w:pPr>
      <w:r w:rsidRPr="00033860">
        <w:rPr>
          <w:rFonts w:eastAsia="Calibri" w:cs="Arial"/>
          <w:noProof/>
          <w:color w:val="auto"/>
        </w:rPr>
        <w:t>Turto likutinės vertės rizikų grupė – tiesioginiai kintamieji: investicijų likutinė vertė, reinvesticijos.</w:t>
      </w:r>
    </w:p>
    <w:p w14:paraId="52093D4C" w14:textId="77777777" w:rsidR="00454E77" w:rsidRPr="00033860" w:rsidRDefault="00454E77" w:rsidP="00454E77">
      <w:pPr>
        <w:spacing w:line="256" w:lineRule="auto"/>
        <w:jc w:val="left"/>
        <w:rPr>
          <w:rFonts w:eastAsia="Calibri" w:cs="Arial"/>
          <w:noProof/>
          <w:color w:val="auto"/>
          <w:lang w:eastAsia="en-GB"/>
        </w:rPr>
      </w:pPr>
      <w:r w:rsidRPr="00033860">
        <w:rPr>
          <w:rFonts w:eastAsia="Calibri" w:cs="Arial"/>
          <w:noProof/>
          <w:color w:val="auto"/>
          <w:lang w:eastAsia="en-GB"/>
        </w:rPr>
        <w:t>Šio Projekto atveju bus nagrinėjama 1 pagrindinė rizikų grupė, kuriai tenka 40 proc. visos rizikų vertės – teikiamų paslaugų rizika.</w:t>
      </w:r>
    </w:p>
    <w:p w14:paraId="4781718A" w14:textId="77777777" w:rsidR="00454E77" w:rsidRPr="006E0A53" w:rsidRDefault="00454E77" w:rsidP="00454E77">
      <w:pPr>
        <w:pStyle w:val="Paantrat"/>
        <w:rPr>
          <w:rFonts w:eastAsia="Calibri"/>
          <w:noProof/>
          <w:lang w:eastAsia="lt-LT"/>
        </w:rPr>
      </w:pPr>
      <w:bookmarkStart w:id="556" w:name="_Toc104108741"/>
      <w:bookmarkStart w:id="557" w:name="_Toc104230879"/>
      <w:bookmarkStart w:id="558" w:name="_Toc104231526"/>
      <w:bookmarkStart w:id="559" w:name="_Toc152747084"/>
      <w:bookmarkStart w:id="560" w:name="_Toc153967043"/>
      <w:bookmarkStart w:id="561" w:name="_Toc161121682"/>
      <w:bookmarkStart w:id="562" w:name="_Toc161166416"/>
      <w:bookmarkStart w:id="563" w:name="_Toc165372661"/>
      <w:bookmarkStart w:id="564" w:name="_Toc171351004"/>
      <w:bookmarkStart w:id="565" w:name="_Toc171355492"/>
      <w:r w:rsidRPr="006E0A53">
        <w:rPr>
          <w:rFonts w:eastAsia="Calibri"/>
          <w:noProof/>
          <w:lang w:eastAsia="lt-LT"/>
        </w:rPr>
        <w:t>6.4.3. Vertės rizikos grupėse</w:t>
      </w:r>
      <w:bookmarkEnd w:id="556"/>
      <w:bookmarkEnd w:id="557"/>
      <w:bookmarkEnd w:id="558"/>
      <w:bookmarkEnd w:id="559"/>
      <w:bookmarkEnd w:id="560"/>
      <w:bookmarkEnd w:id="561"/>
      <w:bookmarkEnd w:id="562"/>
      <w:bookmarkEnd w:id="563"/>
      <w:bookmarkEnd w:id="564"/>
      <w:bookmarkEnd w:id="565"/>
    </w:p>
    <w:p w14:paraId="4BED884F"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14:paraId="72931BFB" w14:textId="77777777" w:rsidR="00454E77" w:rsidRPr="006E0A53" w:rsidRDefault="00454E77" w:rsidP="00454E77">
      <w:pPr>
        <w:pStyle w:val="Paantrat"/>
        <w:rPr>
          <w:rFonts w:eastAsia="Calibri"/>
          <w:noProof/>
          <w:lang w:eastAsia="lt-LT"/>
        </w:rPr>
      </w:pPr>
      <w:bookmarkStart w:id="566" w:name="_Toc104108742"/>
      <w:bookmarkStart w:id="567" w:name="_Toc104230880"/>
      <w:bookmarkStart w:id="568" w:name="_Toc104231527"/>
      <w:bookmarkStart w:id="569" w:name="_Toc152747085"/>
      <w:bookmarkStart w:id="570" w:name="_Toc153967044"/>
      <w:bookmarkStart w:id="571" w:name="_Toc161121683"/>
      <w:bookmarkStart w:id="572" w:name="_Toc161166417"/>
      <w:bookmarkStart w:id="573" w:name="_Toc165372662"/>
      <w:bookmarkStart w:id="574" w:name="_Toc171351005"/>
      <w:bookmarkStart w:id="575" w:name="_Toc171355493"/>
      <w:r w:rsidRPr="006E0A53">
        <w:rPr>
          <w:rFonts w:eastAsia="Calibri"/>
          <w:noProof/>
          <w:lang w:eastAsia="lt-LT"/>
        </w:rPr>
        <w:t>6.4.4. Rizikos grupių vertės</w:t>
      </w:r>
      <w:bookmarkEnd w:id="566"/>
      <w:bookmarkEnd w:id="567"/>
      <w:bookmarkEnd w:id="568"/>
      <w:bookmarkEnd w:id="569"/>
      <w:bookmarkEnd w:id="570"/>
      <w:bookmarkEnd w:id="571"/>
      <w:bookmarkEnd w:id="572"/>
      <w:bookmarkEnd w:id="573"/>
      <w:bookmarkEnd w:id="574"/>
      <w:bookmarkEnd w:id="575"/>
    </w:p>
    <w:p w14:paraId="10A571DC"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Kiekvieną rizikos įvertį pagal projekto ataskaitinio laikotarpio metus skaičiuoklė paskirsto proporcingai šios rizikų grupės įtakojamo tiesioginio kintamojo lėšų srautui.</w:t>
      </w:r>
    </w:p>
    <w:p w14:paraId="360DBA32"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lastRenderedPageBreak/>
        <w:t xml:space="preserve">Žemiau esančioje 6.4.4.1 lentelėje pateikiamas Projekto rizikų finansinis vertinimas bei rizikų įtaka Projektui. </w:t>
      </w:r>
    </w:p>
    <w:p w14:paraId="47ACEF9F" w14:textId="77777777" w:rsidR="00454E77" w:rsidRPr="006E0A53" w:rsidRDefault="00454E77" w:rsidP="00454E77">
      <w:pPr>
        <w:pStyle w:val="LentelsL"/>
        <w:rPr>
          <w:rFonts w:eastAsia="Calibri"/>
          <w:noProof/>
          <w:lang w:eastAsia="lt-LT" w:bidi="lo-LA"/>
        </w:rPr>
      </w:pPr>
      <w:bookmarkStart w:id="576" w:name="_Toc104153625"/>
      <w:bookmarkStart w:id="577" w:name="_Toc104230881"/>
      <w:bookmarkStart w:id="578" w:name="_Toc104231139"/>
      <w:bookmarkStart w:id="579" w:name="_Toc153966939"/>
      <w:bookmarkStart w:id="580" w:name="_Toc161121545"/>
      <w:bookmarkStart w:id="581" w:name="_Toc161166274"/>
      <w:bookmarkStart w:id="582" w:name="_Toc165367105"/>
      <w:bookmarkStart w:id="583" w:name="_Toc165372537"/>
      <w:bookmarkStart w:id="584" w:name="_Toc171350566"/>
      <w:bookmarkStart w:id="585" w:name="_Toc171355259"/>
      <w:bookmarkStart w:id="586" w:name="_Toc198807824"/>
      <w:r w:rsidRPr="006E0A53">
        <w:rPr>
          <w:rFonts w:eastAsia="Calibri"/>
          <w:noProof/>
          <w:lang w:eastAsia="lt-LT" w:bidi="lo-LA"/>
        </w:rPr>
        <w:t>6.4.4.1. lentelė. Optimalios projekto alternatyvos rizikų vertinimas</w:t>
      </w:r>
      <w:bookmarkEnd w:id="576"/>
      <w:bookmarkEnd w:id="577"/>
      <w:bookmarkEnd w:id="578"/>
      <w:bookmarkEnd w:id="579"/>
      <w:bookmarkEnd w:id="580"/>
      <w:bookmarkEnd w:id="581"/>
      <w:bookmarkEnd w:id="582"/>
      <w:bookmarkEnd w:id="583"/>
      <w:bookmarkEnd w:id="584"/>
      <w:bookmarkEnd w:id="585"/>
      <w:bookmarkEnd w:id="586"/>
    </w:p>
    <w:tbl>
      <w:tblPr>
        <w:tblStyle w:val="3sraolentel1parykinimas15"/>
        <w:tblW w:w="4934" w:type="pct"/>
        <w:jc w:val="center"/>
        <w:tblLook w:val="04A0" w:firstRow="1" w:lastRow="0" w:firstColumn="1" w:lastColumn="0" w:noHBand="0" w:noVBand="1"/>
      </w:tblPr>
      <w:tblGrid>
        <w:gridCol w:w="5008"/>
        <w:gridCol w:w="2076"/>
        <w:gridCol w:w="2976"/>
      </w:tblGrid>
      <w:tr w:rsidR="00454E77" w:rsidRPr="00033860" w14:paraId="0064D931" w14:textId="77777777" w:rsidTr="009E5D1B">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100" w:firstRow="0" w:lastRow="0" w:firstColumn="1" w:lastColumn="0" w:oddVBand="0" w:evenVBand="0" w:oddHBand="0" w:evenHBand="0" w:firstRowFirstColumn="1" w:firstRowLastColumn="0" w:lastRowFirstColumn="0" w:lastRowLastColumn="0"/>
            <w:tcW w:w="2489" w:type="pct"/>
            <w:hideMark/>
          </w:tcPr>
          <w:p w14:paraId="50719056" w14:textId="77777777" w:rsidR="00454E77" w:rsidRPr="00033860" w:rsidRDefault="00454E77" w:rsidP="009E5D1B">
            <w:pPr>
              <w:suppressAutoHyphens/>
              <w:ind w:firstLine="0"/>
              <w:jc w:val="center"/>
              <w:rPr>
                <w:rFonts w:cs="Arial"/>
                <w:noProof/>
                <w:color w:val="FFFFFF" w:themeColor="background1"/>
                <w:sz w:val="20"/>
                <w:szCs w:val="20"/>
                <w:lang w:val="lt-LT" w:eastAsia="ar-SA"/>
              </w:rPr>
            </w:pPr>
            <w:r w:rsidRPr="00033860">
              <w:rPr>
                <w:rFonts w:cs="Arial"/>
                <w:noProof/>
                <w:color w:val="FFFFFF" w:themeColor="background1"/>
                <w:sz w:val="20"/>
                <w:szCs w:val="20"/>
                <w:lang w:val="lt-LT" w:eastAsia="ar-SA"/>
              </w:rPr>
              <w:t>Rizikų grupės pavadinimas</w:t>
            </w:r>
          </w:p>
        </w:tc>
        <w:tc>
          <w:tcPr>
            <w:tcW w:w="1032" w:type="pct"/>
            <w:hideMark/>
          </w:tcPr>
          <w:p w14:paraId="2FBB0A76"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20"/>
                <w:szCs w:val="20"/>
                <w:lang w:val="lt-LT" w:eastAsia="ar-SA"/>
              </w:rPr>
            </w:pPr>
            <w:r w:rsidRPr="00033860">
              <w:rPr>
                <w:rFonts w:cs="Arial"/>
                <w:noProof/>
                <w:color w:val="FFFFFF" w:themeColor="background1"/>
                <w:sz w:val="20"/>
                <w:szCs w:val="20"/>
                <w:lang w:val="lt-LT" w:eastAsia="ar-SA"/>
              </w:rPr>
              <w:t>Rizikų finansinė diskontuota vertė</w:t>
            </w:r>
          </w:p>
        </w:tc>
        <w:tc>
          <w:tcPr>
            <w:tcW w:w="1479" w:type="pct"/>
            <w:hideMark/>
          </w:tcPr>
          <w:p w14:paraId="358D14D4" w14:textId="77777777" w:rsidR="00454E77" w:rsidRPr="00033860" w:rsidRDefault="00454E77" w:rsidP="009E5D1B">
            <w:pPr>
              <w:suppressAutoHyphens/>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20"/>
                <w:szCs w:val="20"/>
                <w:lang w:val="lt-LT" w:eastAsia="ar-SA"/>
              </w:rPr>
            </w:pPr>
            <w:r w:rsidRPr="00033860">
              <w:rPr>
                <w:rFonts w:cs="Arial"/>
                <w:noProof/>
                <w:color w:val="FFFFFF" w:themeColor="background1"/>
                <w:sz w:val="20"/>
                <w:szCs w:val="20"/>
                <w:lang w:val="lt-LT" w:eastAsia="ar-SA"/>
              </w:rPr>
              <w:t>Biudžeto eilutės, įtakojamos rizikų grupės</w:t>
            </w:r>
          </w:p>
        </w:tc>
      </w:tr>
      <w:tr w:rsidR="009546C8" w:rsidRPr="00033860" w14:paraId="05F30110" w14:textId="77777777" w:rsidTr="009E5D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37ECEDEA"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1. Projektavimo rizika</w:t>
            </w:r>
          </w:p>
        </w:tc>
        <w:tc>
          <w:tcPr>
            <w:tcW w:w="1032" w:type="pct"/>
            <w:vAlign w:val="center"/>
            <w:hideMark/>
          </w:tcPr>
          <w:p w14:paraId="176FFDEF" w14:textId="58700C28"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123 766</w:t>
            </w:r>
          </w:p>
        </w:tc>
        <w:tc>
          <w:tcPr>
            <w:tcW w:w="1479" w:type="pct"/>
            <w:vAlign w:val="center"/>
            <w:hideMark/>
          </w:tcPr>
          <w:p w14:paraId="3E6D661B" w14:textId="77777777"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A.5., A.6.</w:t>
            </w:r>
          </w:p>
        </w:tc>
      </w:tr>
      <w:tr w:rsidR="009546C8" w:rsidRPr="00033860" w14:paraId="35EB9A46" w14:textId="77777777" w:rsidTr="009E5D1B">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567C81D3"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2. Rangos darbų rizika</w:t>
            </w:r>
          </w:p>
        </w:tc>
        <w:tc>
          <w:tcPr>
            <w:tcW w:w="1032" w:type="pct"/>
            <w:vAlign w:val="center"/>
            <w:hideMark/>
          </w:tcPr>
          <w:p w14:paraId="018D72A5" w14:textId="58E49D2D"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1 083 867</w:t>
            </w:r>
          </w:p>
        </w:tc>
        <w:tc>
          <w:tcPr>
            <w:tcW w:w="1479" w:type="pct"/>
            <w:vAlign w:val="center"/>
            <w:hideMark/>
          </w:tcPr>
          <w:p w14:paraId="2A73C224" w14:textId="77777777"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A.1., A.2., A.3.</w:t>
            </w:r>
          </w:p>
        </w:tc>
      </w:tr>
      <w:tr w:rsidR="009546C8" w:rsidRPr="00033860" w14:paraId="727A09B4" w14:textId="77777777" w:rsidTr="009E5D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2A8A4171"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3. Įsigyjamos (pagaminamos) įrangos, įrenginių ir kito ilgalaikio turto rizika</w:t>
            </w:r>
          </w:p>
        </w:tc>
        <w:tc>
          <w:tcPr>
            <w:tcW w:w="1032" w:type="pct"/>
            <w:vAlign w:val="center"/>
            <w:hideMark/>
          </w:tcPr>
          <w:p w14:paraId="14FD4B4B" w14:textId="10D9D839"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0</w:t>
            </w:r>
          </w:p>
        </w:tc>
        <w:tc>
          <w:tcPr>
            <w:tcW w:w="1479" w:type="pct"/>
            <w:vAlign w:val="center"/>
            <w:hideMark/>
          </w:tcPr>
          <w:p w14:paraId="543E3B69" w14:textId="77777777"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A.4.</w:t>
            </w:r>
          </w:p>
        </w:tc>
      </w:tr>
      <w:tr w:rsidR="009546C8" w:rsidRPr="00033860" w14:paraId="7B4F2E91" w14:textId="77777777" w:rsidTr="009E5D1B">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4ED32112"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4. Įsigyjamų Paslaugų rizika</w:t>
            </w:r>
          </w:p>
        </w:tc>
        <w:tc>
          <w:tcPr>
            <w:tcW w:w="1032" w:type="pct"/>
            <w:vAlign w:val="center"/>
            <w:hideMark/>
          </w:tcPr>
          <w:p w14:paraId="14A891EC" w14:textId="5302FDE8"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437</w:t>
            </w:r>
          </w:p>
        </w:tc>
        <w:tc>
          <w:tcPr>
            <w:tcW w:w="1479" w:type="pct"/>
            <w:vAlign w:val="center"/>
            <w:hideMark/>
          </w:tcPr>
          <w:p w14:paraId="21F2D12B" w14:textId="77777777"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A.7.</w:t>
            </w:r>
          </w:p>
        </w:tc>
      </w:tr>
      <w:tr w:rsidR="009546C8" w:rsidRPr="00033860" w14:paraId="7716A81B" w14:textId="77777777" w:rsidTr="009E5D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27BA699D"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5. Finansavimo prieinamumo rizika</w:t>
            </w:r>
          </w:p>
        </w:tc>
        <w:tc>
          <w:tcPr>
            <w:tcW w:w="1032" w:type="pct"/>
            <w:vAlign w:val="center"/>
            <w:hideMark/>
          </w:tcPr>
          <w:p w14:paraId="3572661B" w14:textId="32245FBC"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0</w:t>
            </w:r>
          </w:p>
        </w:tc>
        <w:tc>
          <w:tcPr>
            <w:tcW w:w="1479" w:type="pct"/>
            <w:vAlign w:val="center"/>
            <w:hideMark/>
          </w:tcPr>
          <w:p w14:paraId="00C3EAE3" w14:textId="77777777"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D.2.</w:t>
            </w:r>
          </w:p>
        </w:tc>
      </w:tr>
      <w:tr w:rsidR="009546C8" w:rsidRPr="00033860" w14:paraId="7A258CCA" w14:textId="77777777" w:rsidTr="009E5D1B">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3B3C0301"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6. Teikiamų Paslaugų rizika</w:t>
            </w:r>
          </w:p>
        </w:tc>
        <w:tc>
          <w:tcPr>
            <w:tcW w:w="1032" w:type="pct"/>
            <w:vAlign w:val="center"/>
            <w:hideMark/>
          </w:tcPr>
          <w:p w14:paraId="084C11A9" w14:textId="2A7D6AA7"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67 816</w:t>
            </w:r>
          </w:p>
        </w:tc>
        <w:tc>
          <w:tcPr>
            <w:tcW w:w="1479" w:type="pct"/>
            <w:vAlign w:val="center"/>
            <w:hideMark/>
          </w:tcPr>
          <w:p w14:paraId="694E4121" w14:textId="77777777"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D.1.1., D.1.2., D.1.3., D.1.4., D.1.5., D.1.6.</w:t>
            </w:r>
          </w:p>
        </w:tc>
      </w:tr>
      <w:tr w:rsidR="009546C8" w:rsidRPr="00033860" w14:paraId="14ACD4D4" w14:textId="77777777" w:rsidTr="009E5D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0D97209D"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7. Paklausos rinkoje rizika</w:t>
            </w:r>
          </w:p>
        </w:tc>
        <w:tc>
          <w:tcPr>
            <w:tcW w:w="1032" w:type="pct"/>
            <w:vAlign w:val="center"/>
            <w:hideMark/>
          </w:tcPr>
          <w:p w14:paraId="79CAEAFE" w14:textId="2147421E"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0</w:t>
            </w:r>
          </w:p>
        </w:tc>
        <w:tc>
          <w:tcPr>
            <w:tcW w:w="1479" w:type="pct"/>
            <w:vAlign w:val="center"/>
            <w:hideMark/>
          </w:tcPr>
          <w:p w14:paraId="78A608CF" w14:textId="77777777" w:rsidR="009546C8" w:rsidRPr="00033860" w:rsidRDefault="009546C8" w:rsidP="009546C8">
            <w:pPr>
              <w:suppressAutoHyphens/>
              <w:ind w:firstLine="0"/>
              <w:jc w:val="center"/>
              <w:cnfStyle w:val="000000100000" w:firstRow="0" w:lastRow="0" w:firstColumn="0" w:lastColumn="0" w:oddVBand="0" w:evenVBand="0" w:oddHBand="1"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C.1., C.2., C.3.</w:t>
            </w:r>
          </w:p>
        </w:tc>
      </w:tr>
      <w:tr w:rsidR="009546C8" w:rsidRPr="00033860" w14:paraId="229EEFF6" w14:textId="77777777" w:rsidTr="009E5D1B">
        <w:trPr>
          <w:trHeight w:val="20"/>
          <w:jc w:val="center"/>
        </w:trPr>
        <w:tc>
          <w:tcPr>
            <w:cnfStyle w:val="001000000000" w:firstRow="0" w:lastRow="0" w:firstColumn="1" w:lastColumn="0" w:oddVBand="0" w:evenVBand="0" w:oddHBand="0" w:evenHBand="0" w:firstRowFirstColumn="0" w:firstRowLastColumn="0" w:lastRowFirstColumn="0" w:lastRowLastColumn="0"/>
            <w:tcW w:w="2489" w:type="pct"/>
            <w:hideMark/>
          </w:tcPr>
          <w:p w14:paraId="456D8495" w14:textId="77777777" w:rsidR="009546C8" w:rsidRPr="00033860" w:rsidRDefault="009546C8" w:rsidP="009546C8">
            <w:pPr>
              <w:suppressAutoHyphens/>
              <w:ind w:firstLine="0"/>
              <w:jc w:val="left"/>
              <w:rPr>
                <w:rFonts w:cs="Arial"/>
                <w:noProof/>
                <w:color w:val="auto"/>
                <w:sz w:val="20"/>
                <w:szCs w:val="20"/>
                <w:lang w:val="lt-LT" w:eastAsia="ar-SA"/>
              </w:rPr>
            </w:pPr>
            <w:r w:rsidRPr="00033860">
              <w:rPr>
                <w:rFonts w:cs="Arial"/>
                <w:color w:val="auto"/>
                <w:sz w:val="20"/>
                <w:szCs w:val="20"/>
                <w:lang w:val="lt-LT" w:eastAsia="en-GB"/>
              </w:rPr>
              <w:t>8. Turto likutinės vertės rizika</w:t>
            </w:r>
          </w:p>
        </w:tc>
        <w:tc>
          <w:tcPr>
            <w:tcW w:w="1032" w:type="pct"/>
            <w:vAlign w:val="center"/>
            <w:hideMark/>
          </w:tcPr>
          <w:p w14:paraId="1584317B" w14:textId="78874FA3"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280 740</w:t>
            </w:r>
          </w:p>
        </w:tc>
        <w:tc>
          <w:tcPr>
            <w:tcW w:w="1479" w:type="pct"/>
            <w:vAlign w:val="center"/>
            <w:hideMark/>
          </w:tcPr>
          <w:p w14:paraId="0B6AFE00" w14:textId="77777777" w:rsidR="009546C8" w:rsidRPr="00033860" w:rsidRDefault="009546C8" w:rsidP="009546C8">
            <w:pPr>
              <w:suppressAutoHyphens/>
              <w:ind w:firstLine="0"/>
              <w:jc w:val="center"/>
              <w:cnfStyle w:val="000000000000" w:firstRow="0" w:lastRow="0" w:firstColumn="0" w:lastColumn="0" w:oddVBand="0" w:evenVBand="0" w:oddHBand="0" w:evenHBand="0" w:firstRowFirstColumn="0" w:firstRowLastColumn="0" w:lastRowFirstColumn="0" w:lastRowLastColumn="0"/>
              <w:rPr>
                <w:rFonts w:cs="Arial"/>
                <w:bCs/>
                <w:noProof/>
                <w:color w:val="auto"/>
                <w:sz w:val="20"/>
                <w:szCs w:val="20"/>
                <w:lang w:val="lt-LT" w:eastAsia="ar-SA"/>
              </w:rPr>
            </w:pPr>
            <w:r>
              <w:rPr>
                <w:rFonts w:cs="Arial"/>
                <w:color w:val="000000"/>
                <w:sz w:val="20"/>
                <w:szCs w:val="20"/>
              </w:rPr>
              <w:t>A.8., B.</w:t>
            </w:r>
          </w:p>
        </w:tc>
      </w:tr>
    </w:tbl>
    <w:p w14:paraId="46687F6B" w14:textId="77777777" w:rsidR="00454E77" w:rsidRPr="00033860" w:rsidRDefault="00454E77" w:rsidP="00454E77">
      <w:pPr>
        <w:spacing w:line="256" w:lineRule="auto"/>
        <w:ind w:firstLine="0"/>
        <w:jc w:val="center"/>
        <w:rPr>
          <w:rFonts w:eastAsia="Times New Roman" w:cs="Arial"/>
          <w:i/>
          <w:noProof/>
          <w:color w:val="000000"/>
          <w:sz w:val="20"/>
          <w:szCs w:val="20"/>
          <w:lang w:eastAsia="lt-LT"/>
        </w:rPr>
      </w:pPr>
      <w:r w:rsidRPr="00033860">
        <w:rPr>
          <w:rFonts w:eastAsia="Times New Roman" w:cs="Arial"/>
          <w:i/>
          <w:noProof/>
          <w:color w:val="000000"/>
          <w:sz w:val="20"/>
          <w:szCs w:val="20"/>
          <w:lang w:eastAsia="lt-LT"/>
        </w:rPr>
        <w:t>Šaltinis: autorių analizė, remiantis CPVA pateikiama SNA skaičiuokle</w:t>
      </w:r>
    </w:p>
    <w:p w14:paraId="31ECF78D" w14:textId="1DA51535"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Bendra identifikuotų rizikų vertė yra </w:t>
      </w:r>
      <w:r w:rsidR="009546C8">
        <w:rPr>
          <w:rFonts w:eastAsia="Calibri" w:cs="Arial"/>
          <w:noProof/>
          <w:color w:val="auto"/>
          <w:lang w:eastAsia="en-GB"/>
        </w:rPr>
        <w:t>1 556 626</w:t>
      </w:r>
      <w:r w:rsidRPr="00033860">
        <w:rPr>
          <w:rFonts w:eastAsia="Calibri" w:cs="Arial"/>
          <w:noProof/>
          <w:color w:val="auto"/>
          <w:lang w:eastAsia="en-GB"/>
        </w:rPr>
        <w:t xml:space="preserve"> Eur, iš kurių </w:t>
      </w:r>
      <w:r w:rsidR="009546C8">
        <w:rPr>
          <w:rFonts w:eastAsia="Calibri" w:cs="Arial"/>
          <w:noProof/>
          <w:color w:val="auto"/>
          <w:lang w:eastAsia="en-GB"/>
        </w:rPr>
        <w:t>69,6</w:t>
      </w:r>
      <w:r>
        <w:rPr>
          <w:rFonts w:eastAsia="Calibri" w:cs="Arial"/>
          <w:noProof/>
          <w:color w:val="auto"/>
          <w:lang w:eastAsia="en-GB"/>
        </w:rPr>
        <w:t xml:space="preserve"> </w:t>
      </w:r>
      <w:r w:rsidRPr="00033860">
        <w:rPr>
          <w:rFonts w:eastAsia="Calibri" w:cs="Arial"/>
          <w:noProof/>
          <w:color w:val="auto"/>
          <w:lang w:eastAsia="en-GB"/>
        </w:rPr>
        <w:t>proc. sudaro rangos darbų rizikų grupei priskirta rizikų vertė, todėl atitinkamai jai ir turi būti numatytas ypatingas dėmesys bei atitinkami rizikų valdymo veiksniai ir jų valdymo priemonės. Remiantis aukščiau pateiktais duomenimis, būtina pažymėti ir tai, kad siekiant iš anksto eliminuoti galimas rizikas bei jų pasekmes, būtina užtikrinti įsigyjamos įrangos kokybę ir kainą (t. y. skirti didelį dėmesį įrangos įsigijimo kainai ir jos kokybei), užtikrinti teikiamų paslaugų kokybę, kurią įtakoja planuojamų išlaidų pasikeitimai.</w:t>
      </w:r>
    </w:p>
    <w:p w14:paraId="6AE1A13B" w14:textId="77777777" w:rsidR="00454E77" w:rsidRPr="006E0A53" w:rsidRDefault="00454E77" w:rsidP="00454E77">
      <w:pPr>
        <w:pStyle w:val="Poskyris"/>
        <w:rPr>
          <w:rFonts w:eastAsia="Calibri"/>
        </w:rPr>
      </w:pPr>
      <w:bookmarkStart w:id="587" w:name="_Toc104108743"/>
      <w:bookmarkStart w:id="588" w:name="_Toc104230882"/>
      <w:bookmarkStart w:id="589" w:name="_Toc104231528"/>
      <w:bookmarkStart w:id="590" w:name="_Toc153967045"/>
      <w:bookmarkStart w:id="591" w:name="_Toc161121684"/>
      <w:bookmarkStart w:id="592" w:name="_Toc161166418"/>
      <w:bookmarkStart w:id="593" w:name="_Toc165372663"/>
      <w:bookmarkStart w:id="594" w:name="_Toc171350856"/>
      <w:bookmarkStart w:id="595" w:name="_Toc171351006"/>
      <w:bookmarkStart w:id="596" w:name="_Toc171355494"/>
      <w:r w:rsidRPr="006E0A53">
        <w:rPr>
          <w:rFonts w:eastAsia="Calibri"/>
        </w:rPr>
        <w:t>6.5. Rizikos priimtinumas</w:t>
      </w:r>
      <w:bookmarkEnd w:id="587"/>
      <w:bookmarkEnd w:id="588"/>
      <w:bookmarkEnd w:id="589"/>
      <w:bookmarkEnd w:id="590"/>
      <w:bookmarkEnd w:id="591"/>
      <w:bookmarkEnd w:id="592"/>
      <w:bookmarkEnd w:id="593"/>
      <w:bookmarkEnd w:id="594"/>
      <w:bookmarkEnd w:id="595"/>
      <w:bookmarkEnd w:id="596"/>
    </w:p>
    <w:p w14:paraId="6CF3396F"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Skaičiavimuose buvo atlikta rizikos priimtinumo analizė </w:t>
      </w:r>
      <w:r w:rsidRPr="00033860">
        <w:rPr>
          <w:rFonts w:eastAsia="Calibri" w:cs="Arial"/>
          <w:i/>
          <w:iCs/>
          <w:noProof/>
          <w:color w:val="auto"/>
          <w:lang w:eastAsia="en-GB"/>
        </w:rPr>
        <w:t>Monte Carlo</w:t>
      </w:r>
      <w:r w:rsidRPr="00033860">
        <w:rPr>
          <w:rFonts w:eastAsia="Calibri" w:cs="Arial"/>
          <w:noProof/>
          <w:color w:val="auto"/>
          <w:lang w:eastAsia="en-GB"/>
        </w:rPr>
        <w:t xml:space="preserve"> metodu. </w:t>
      </w:r>
      <w:r w:rsidRPr="00033860">
        <w:rPr>
          <w:rFonts w:eastAsia="Calibri" w:cs="Arial"/>
          <w:i/>
          <w:iCs/>
          <w:noProof/>
          <w:color w:val="auto"/>
          <w:lang w:eastAsia="en-GB"/>
        </w:rPr>
        <w:t>Monte Carlo</w:t>
      </w:r>
      <w:r w:rsidRPr="00033860">
        <w:rPr>
          <w:rFonts w:eastAsia="Calibri" w:cs="Arial"/>
          <w:noProof/>
          <w:color w:val="auto"/>
          <w:lang w:eastAsia="en-GB"/>
        </w:rPr>
        <w:t xml:space="preserve"> metodas – statistikoje taikomas simuliacijos metodas, kurio esmė – galimų proceso (algoritmo) rezultatų simuliavimas. Metodas taikomas 3 žingsniais: nustatomos galimų kintamųjų reikšmių leistinos ribos, generuojami atsitiktiniai kintamieji, esantys nustatytose ribose, atliekami deterministiniai skaičiavimai su pasirinktomis kintamųjų reikšmėmis, agreguojami individualių skaičiavimų rezultatai į vieną visumą. Agreguoti rezultatai sudaro statistinės distribucijos kreivę, kuri rizikos analizės atveju atspindi analizuojamos rizikos poveikio efekto tikimybių kreivę. Projekto skaičiavimams buvo atlikta 500 simuliacijų.</w:t>
      </w:r>
    </w:p>
    <w:p w14:paraId="49EF51D5"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t xml:space="preserve">Šis metodas leido nustatyti, kokia tikimybė yra pasiekti norimus rezultatus. Skaičiavimuose buvo nurodyta, kad pageidaujami finansiniai rodikliai būtų bent tokie, kad Projektas taptų atsiperkantis. Ekonominiams rodikliams buvo nustatytos ribos, kad ekonominis atsiperkamumas būtų bent didesnis už socialinę diskonto normą, žr. 6.5.1 lentelę. </w:t>
      </w:r>
    </w:p>
    <w:p w14:paraId="7D23319D" w14:textId="77777777" w:rsidR="00454E77" w:rsidRPr="00033860" w:rsidRDefault="00454E77" w:rsidP="00454E77">
      <w:pPr>
        <w:keepNext/>
        <w:keepLines/>
        <w:ind w:firstLine="0"/>
        <w:jc w:val="center"/>
        <w:outlineLvl w:val="4"/>
        <w:rPr>
          <w:rFonts w:eastAsia="Calibri" w:cstheme="majorBidi"/>
          <w:b/>
          <w:noProof/>
          <w:color w:val="1F3864" w:themeColor="accent1" w:themeShade="80"/>
          <w:lang w:eastAsia="lt-LT" w:bidi="lo-LA"/>
        </w:rPr>
      </w:pPr>
      <w:bookmarkStart w:id="597" w:name="_Toc104153626"/>
      <w:bookmarkStart w:id="598" w:name="_Toc104230883"/>
      <w:bookmarkStart w:id="599" w:name="_Toc104231140"/>
      <w:bookmarkStart w:id="600" w:name="_Toc153966940"/>
      <w:bookmarkStart w:id="601" w:name="_Toc161121546"/>
      <w:bookmarkStart w:id="602" w:name="_Toc161166275"/>
      <w:bookmarkStart w:id="603" w:name="_Toc165367106"/>
      <w:bookmarkStart w:id="604" w:name="_Toc165372538"/>
      <w:bookmarkStart w:id="605" w:name="_Toc171350567"/>
      <w:r w:rsidRPr="00033860">
        <w:rPr>
          <w:rFonts w:eastAsia="Calibri" w:cstheme="majorBidi"/>
          <w:b/>
          <w:noProof/>
          <w:color w:val="1F3864" w:themeColor="accent1" w:themeShade="80"/>
          <w:lang w:eastAsia="lt-LT" w:bidi="lo-LA"/>
        </w:rPr>
        <w:t>6.5.1. lentelė. Monte Carlo metodo analizės rezultatai</w:t>
      </w:r>
      <w:bookmarkEnd w:id="597"/>
      <w:bookmarkEnd w:id="598"/>
      <w:bookmarkEnd w:id="599"/>
      <w:bookmarkEnd w:id="600"/>
      <w:bookmarkEnd w:id="601"/>
      <w:bookmarkEnd w:id="602"/>
      <w:bookmarkEnd w:id="603"/>
      <w:bookmarkEnd w:id="604"/>
      <w:bookmarkEnd w:id="605"/>
    </w:p>
    <w:tbl>
      <w:tblPr>
        <w:tblStyle w:val="3sraolentel1parykinimas15"/>
        <w:tblW w:w="0" w:type="auto"/>
        <w:tblLook w:val="04A0" w:firstRow="1" w:lastRow="0" w:firstColumn="1" w:lastColumn="0" w:noHBand="0" w:noVBand="1"/>
      </w:tblPr>
      <w:tblGrid>
        <w:gridCol w:w="839"/>
        <w:gridCol w:w="3902"/>
        <w:gridCol w:w="3109"/>
        <w:gridCol w:w="2345"/>
      </w:tblGrid>
      <w:tr w:rsidR="00454E77" w:rsidRPr="00033860" w14:paraId="2D491C01" w14:textId="77777777" w:rsidTr="009E5D1B">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0" w:type="auto"/>
            <w:hideMark/>
          </w:tcPr>
          <w:p w14:paraId="4A33610D" w14:textId="77777777" w:rsidR="00454E77" w:rsidRPr="00033860" w:rsidRDefault="00454E77" w:rsidP="009E5D1B">
            <w:pPr>
              <w:ind w:firstLine="0"/>
              <w:jc w:val="center"/>
              <w:rPr>
                <w:rFonts w:cs="Arial"/>
                <w:noProof/>
                <w:color w:val="FFFFFF" w:themeColor="background1"/>
                <w:w w:val="80"/>
                <w:sz w:val="20"/>
                <w:szCs w:val="20"/>
                <w:lang w:val="lt-LT" w:eastAsia="en-GB"/>
              </w:rPr>
            </w:pPr>
            <w:r w:rsidRPr="00033860">
              <w:rPr>
                <w:rFonts w:cs="Arial"/>
                <w:noProof/>
                <w:color w:val="FFFFFF" w:themeColor="background1"/>
                <w:w w:val="80"/>
                <w:sz w:val="20"/>
                <w:szCs w:val="20"/>
                <w:lang w:val="lt-LT" w:eastAsia="en-GB"/>
              </w:rPr>
              <w:t>Rodiklis</w:t>
            </w:r>
          </w:p>
        </w:tc>
        <w:tc>
          <w:tcPr>
            <w:tcW w:w="0" w:type="auto"/>
            <w:hideMark/>
          </w:tcPr>
          <w:p w14:paraId="301F03DE" w14:textId="77777777" w:rsidR="00454E77" w:rsidRPr="00033860" w:rsidRDefault="00454E77" w:rsidP="009E5D1B">
            <w:pPr>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w w:val="80"/>
                <w:sz w:val="20"/>
                <w:szCs w:val="20"/>
                <w:lang w:val="lt-LT" w:eastAsia="en-GB"/>
              </w:rPr>
            </w:pPr>
            <w:r w:rsidRPr="00033860">
              <w:rPr>
                <w:rFonts w:cs="Arial"/>
                <w:noProof/>
                <w:color w:val="FFFFFF" w:themeColor="background1"/>
                <w:w w:val="80"/>
                <w:sz w:val="20"/>
                <w:szCs w:val="20"/>
                <w:lang w:val="lt-LT" w:eastAsia="en-GB"/>
              </w:rPr>
              <w:t>Nurodykite pageidaujamą (minimaliai priimtiną) rodiklio reikšmę</w:t>
            </w:r>
          </w:p>
        </w:tc>
        <w:tc>
          <w:tcPr>
            <w:tcW w:w="0" w:type="auto"/>
            <w:hideMark/>
          </w:tcPr>
          <w:p w14:paraId="30E434D0" w14:textId="77777777" w:rsidR="00454E77" w:rsidRPr="00033860" w:rsidRDefault="00454E77" w:rsidP="009E5D1B">
            <w:pPr>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w w:val="80"/>
                <w:sz w:val="20"/>
                <w:szCs w:val="20"/>
                <w:lang w:val="lt-LT" w:eastAsia="en-GB"/>
              </w:rPr>
            </w:pPr>
            <w:r w:rsidRPr="00033860">
              <w:rPr>
                <w:rFonts w:cs="Arial"/>
                <w:noProof/>
                <w:color w:val="FFFFFF" w:themeColor="background1"/>
                <w:w w:val="80"/>
                <w:sz w:val="20"/>
                <w:szCs w:val="20"/>
                <w:lang w:val="lt-LT" w:eastAsia="en-GB"/>
              </w:rPr>
              <w:t>Tikimybė, kad Jūsų nurodyta reikšmė bus pasiekta</w:t>
            </w:r>
          </w:p>
        </w:tc>
        <w:tc>
          <w:tcPr>
            <w:tcW w:w="0" w:type="auto"/>
            <w:hideMark/>
          </w:tcPr>
          <w:p w14:paraId="3DCAEF3F" w14:textId="77777777" w:rsidR="00454E77" w:rsidRPr="00033860" w:rsidRDefault="00454E77" w:rsidP="009E5D1B">
            <w:pPr>
              <w:ind w:firstLine="0"/>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w w:val="80"/>
                <w:sz w:val="20"/>
                <w:szCs w:val="20"/>
                <w:lang w:val="lt-LT" w:eastAsia="en-GB"/>
              </w:rPr>
            </w:pPr>
            <w:r w:rsidRPr="00033860">
              <w:rPr>
                <w:rFonts w:cs="Arial"/>
                <w:noProof/>
                <w:color w:val="FFFFFF" w:themeColor="background1"/>
                <w:w w:val="80"/>
                <w:sz w:val="20"/>
                <w:szCs w:val="20"/>
                <w:lang w:val="lt-LT" w:eastAsia="en-GB"/>
              </w:rPr>
              <w:t>Labiausiai tikėtina rodiklio reikšmė</w:t>
            </w:r>
          </w:p>
        </w:tc>
      </w:tr>
      <w:tr w:rsidR="009546C8" w:rsidRPr="00033860" w14:paraId="691D0F5A" w14:textId="77777777" w:rsidTr="009E5D1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68C41D37" w14:textId="77777777" w:rsidR="009546C8" w:rsidRPr="00033860" w:rsidRDefault="009546C8" w:rsidP="009546C8">
            <w:pPr>
              <w:ind w:firstLine="0"/>
              <w:jc w:val="center"/>
              <w:rPr>
                <w:rFonts w:cs="Arial"/>
                <w:noProof/>
                <w:color w:val="auto"/>
                <w:w w:val="80"/>
                <w:sz w:val="20"/>
                <w:szCs w:val="20"/>
                <w:lang w:val="lt-LT" w:eastAsia="en-GB"/>
              </w:rPr>
            </w:pPr>
            <w:r w:rsidRPr="00033860">
              <w:rPr>
                <w:rFonts w:cs="Arial"/>
                <w:noProof/>
                <w:color w:val="auto"/>
                <w:w w:val="80"/>
                <w:sz w:val="20"/>
                <w:szCs w:val="20"/>
                <w:lang w:val="lt-LT" w:eastAsia="en-GB"/>
              </w:rPr>
              <w:t>FGDV(I)</w:t>
            </w:r>
          </w:p>
        </w:tc>
        <w:tc>
          <w:tcPr>
            <w:tcW w:w="0" w:type="auto"/>
            <w:noWrap/>
            <w:vAlign w:val="center"/>
            <w:hideMark/>
          </w:tcPr>
          <w:p w14:paraId="46A1B26D" w14:textId="1E00302E"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0</w:t>
            </w:r>
          </w:p>
        </w:tc>
        <w:tc>
          <w:tcPr>
            <w:tcW w:w="0" w:type="auto"/>
            <w:vAlign w:val="center"/>
            <w:hideMark/>
          </w:tcPr>
          <w:p w14:paraId="4446EB92" w14:textId="5C4C401E"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0,0%</w:t>
            </w:r>
          </w:p>
        </w:tc>
        <w:tc>
          <w:tcPr>
            <w:tcW w:w="0" w:type="auto"/>
            <w:noWrap/>
            <w:vAlign w:val="center"/>
            <w:hideMark/>
          </w:tcPr>
          <w:p w14:paraId="6FC8100F" w14:textId="05D285C7"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 xml:space="preserve">-2 665 558 </w:t>
            </w:r>
          </w:p>
        </w:tc>
      </w:tr>
      <w:tr w:rsidR="009546C8" w:rsidRPr="00033860" w14:paraId="744BE25A" w14:textId="77777777" w:rsidTr="009E5D1B">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1AE2CBEF" w14:textId="77777777" w:rsidR="009546C8" w:rsidRPr="00033860" w:rsidRDefault="009546C8" w:rsidP="009546C8">
            <w:pPr>
              <w:ind w:firstLine="0"/>
              <w:jc w:val="center"/>
              <w:rPr>
                <w:rFonts w:cs="Arial"/>
                <w:noProof/>
                <w:color w:val="auto"/>
                <w:w w:val="80"/>
                <w:sz w:val="20"/>
                <w:szCs w:val="20"/>
                <w:lang w:val="lt-LT" w:eastAsia="en-GB"/>
              </w:rPr>
            </w:pPr>
            <w:r w:rsidRPr="00033860">
              <w:rPr>
                <w:rFonts w:cs="Arial"/>
                <w:noProof/>
                <w:color w:val="auto"/>
                <w:w w:val="80"/>
                <w:sz w:val="20"/>
                <w:szCs w:val="20"/>
                <w:lang w:val="lt-LT" w:eastAsia="en-GB"/>
              </w:rPr>
              <w:t>FVGN(I)</w:t>
            </w:r>
          </w:p>
        </w:tc>
        <w:tc>
          <w:tcPr>
            <w:tcW w:w="0" w:type="auto"/>
            <w:noWrap/>
            <w:vAlign w:val="center"/>
            <w:hideMark/>
          </w:tcPr>
          <w:p w14:paraId="09B65A4E" w14:textId="01DEE05D"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0,0%</w:t>
            </w:r>
          </w:p>
        </w:tc>
        <w:tc>
          <w:tcPr>
            <w:tcW w:w="0" w:type="auto"/>
            <w:vAlign w:val="center"/>
            <w:hideMark/>
          </w:tcPr>
          <w:p w14:paraId="33B32AF1" w14:textId="0CA16404"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0,0%</w:t>
            </w:r>
          </w:p>
        </w:tc>
        <w:tc>
          <w:tcPr>
            <w:tcW w:w="0" w:type="auto"/>
            <w:noWrap/>
            <w:vAlign w:val="center"/>
            <w:hideMark/>
          </w:tcPr>
          <w:p w14:paraId="7B8339C3" w14:textId="169373BB"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-7,1%</w:t>
            </w:r>
          </w:p>
        </w:tc>
      </w:tr>
      <w:tr w:rsidR="009546C8" w:rsidRPr="00033860" w14:paraId="4C8DCB5B" w14:textId="77777777" w:rsidTr="009E5D1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1E3781EC" w14:textId="77777777" w:rsidR="009546C8" w:rsidRPr="00033860" w:rsidRDefault="009546C8" w:rsidP="009546C8">
            <w:pPr>
              <w:ind w:firstLine="0"/>
              <w:jc w:val="center"/>
              <w:rPr>
                <w:rFonts w:cs="Arial"/>
                <w:noProof/>
                <w:color w:val="auto"/>
                <w:w w:val="80"/>
                <w:sz w:val="20"/>
                <w:szCs w:val="20"/>
                <w:lang w:val="lt-LT" w:eastAsia="en-GB"/>
              </w:rPr>
            </w:pPr>
            <w:r w:rsidRPr="00033860">
              <w:rPr>
                <w:rFonts w:cs="Arial"/>
                <w:noProof/>
                <w:color w:val="auto"/>
                <w:w w:val="80"/>
                <w:sz w:val="20"/>
                <w:szCs w:val="20"/>
                <w:lang w:val="lt-LT" w:eastAsia="en-GB"/>
              </w:rPr>
              <w:t>EGDV</w:t>
            </w:r>
          </w:p>
        </w:tc>
        <w:tc>
          <w:tcPr>
            <w:tcW w:w="0" w:type="auto"/>
            <w:noWrap/>
            <w:vAlign w:val="center"/>
            <w:hideMark/>
          </w:tcPr>
          <w:p w14:paraId="527FEB83" w14:textId="6712AD6D"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1</w:t>
            </w:r>
          </w:p>
        </w:tc>
        <w:tc>
          <w:tcPr>
            <w:tcW w:w="0" w:type="auto"/>
            <w:vAlign w:val="center"/>
            <w:hideMark/>
          </w:tcPr>
          <w:p w14:paraId="107AE3F3" w14:textId="17E8B643"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56,8%</w:t>
            </w:r>
          </w:p>
        </w:tc>
        <w:tc>
          <w:tcPr>
            <w:tcW w:w="0" w:type="auto"/>
            <w:noWrap/>
            <w:vAlign w:val="center"/>
            <w:hideMark/>
          </w:tcPr>
          <w:p w14:paraId="55878F35" w14:textId="329FBAEF" w:rsidR="009546C8" w:rsidRPr="009546C8" w:rsidRDefault="009546C8" w:rsidP="009546C8">
            <w:pPr>
              <w:ind w:firstLine="0"/>
              <w:jc w:val="center"/>
              <w:cnfStyle w:val="000000100000" w:firstRow="0" w:lastRow="0" w:firstColumn="0" w:lastColumn="0" w:oddVBand="0" w:evenVBand="0" w:oddHBand="1"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 xml:space="preserve">958 153 </w:t>
            </w:r>
          </w:p>
        </w:tc>
      </w:tr>
      <w:tr w:rsidR="009546C8" w:rsidRPr="00033860" w14:paraId="0BBFA773" w14:textId="77777777" w:rsidTr="009E5D1B">
        <w:trPr>
          <w:trHeight w:hRule="exact" w:val="227"/>
        </w:trPr>
        <w:tc>
          <w:tcPr>
            <w:cnfStyle w:val="001000000000" w:firstRow="0" w:lastRow="0" w:firstColumn="1" w:lastColumn="0" w:oddVBand="0" w:evenVBand="0" w:oddHBand="0" w:evenHBand="0" w:firstRowFirstColumn="0" w:firstRowLastColumn="0" w:lastRowFirstColumn="0" w:lastRowLastColumn="0"/>
            <w:tcW w:w="0" w:type="auto"/>
            <w:hideMark/>
          </w:tcPr>
          <w:p w14:paraId="76BF397F" w14:textId="77777777" w:rsidR="009546C8" w:rsidRPr="00033860" w:rsidRDefault="009546C8" w:rsidP="009546C8">
            <w:pPr>
              <w:ind w:firstLine="0"/>
              <w:jc w:val="center"/>
              <w:rPr>
                <w:rFonts w:cs="Arial"/>
                <w:noProof/>
                <w:color w:val="auto"/>
                <w:w w:val="80"/>
                <w:sz w:val="20"/>
                <w:szCs w:val="20"/>
                <w:lang w:val="lt-LT" w:eastAsia="en-GB"/>
              </w:rPr>
            </w:pPr>
            <w:r w:rsidRPr="00033860">
              <w:rPr>
                <w:rFonts w:cs="Arial"/>
                <w:noProof/>
                <w:color w:val="auto"/>
                <w:w w:val="80"/>
                <w:sz w:val="20"/>
                <w:szCs w:val="20"/>
                <w:lang w:val="lt-LT" w:eastAsia="en-GB"/>
              </w:rPr>
              <w:t>EVGN</w:t>
            </w:r>
          </w:p>
        </w:tc>
        <w:tc>
          <w:tcPr>
            <w:tcW w:w="0" w:type="auto"/>
            <w:noWrap/>
            <w:vAlign w:val="center"/>
            <w:hideMark/>
          </w:tcPr>
          <w:p w14:paraId="210DBC5E" w14:textId="22F123CA"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5,1%</w:t>
            </w:r>
          </w:p>
        </w:tc>
        <w:tc>
          <w:tcPr>
            <w:tcW w:w="0" w:type="auto"/>
            <w:vAlign w:val="center"/>
            <w:hideMark/>
          </w:tcPr>
          <w:p w14:paraId="2700261C" w14:textId="7290C55E"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56,5%</w:t>
            </w:r>
          </w:p>
        </w:tc>
        <w:tc>
          <w:tcPr>
            <w:tcW w:w="0" w:type="auto"/>
            <w:noWrap/>
            <w:vAlign w:val="center"/>
            <w:hideMark/>
          </w:tcPr>
          <w:p w14:paraId="4BC2D058" w14:textId="4A00517A" w:rsidR="009546C8" w:rsidRPr="009546C8" w:rsidRDefault="009546C8" w:rsidP="009546C8">
            <w:pPr>
              <w:ind w:firstLine="0"/>
              <w:jc w:val="center"/>
              <w:cnfStyle w:val="000000000000" w:firstRow="0" w:lastRow="0" w:firstColumn="0" w:lastColumn="0" w:oddVBand="0" w:evenVBand="0" w:oddHBand="0" w:evenHBand="0" w:firstRowFirstColumn="0" w:firstRowLastColumn="0" w:lastRowFirstColumn="0" w:lastRowLastColumn="0"/>
              <w:rPr>
                <w:rFonts w:cs="Arial"/>
                <w:noProof/>
                <w:color w:val="auto"/>
                <w:sz w:val="20"/>
                <w:szCs w:val="20"/>
                <w:lang w:val="lt-LT" w:eastAsia="en-GB"/>
              </w:rPr>
            </w:pPr>
            <w:r w:rsidRPr="009546C8">
              <w:rPr>
                <w:rFonts w:cs="Arial"/>
                <w:color w:val="auto"/>
                <w:sz w:val="20"/>
                <w:szCs w:val="20"/>
              </w:rPr>
              <w:t>3,9%</w:t>
            </w:r>
          </w:p>
        </w:tc>
      </w:tr>
    </w:tbl>
    <w:p w14:paraId="52879455" w14:textId="77777777" w:rsidR="00454E77" w:rsidRPr="00033860" w:rsidRDefault="00454E77" w:rsidP="00454E77">
      <w:pPr>
        <w:spacing w:line="256" w:lineRule="auto"/>
        <w:ind w:firstLine="0"/>
        <w:jc w:val="center"/>
        <w:rPr>
          <w:rFonts w:eastAsia="Times New Roman" w:cs="Arial"/>
          <w:i/>
          <w:noProof/>
          <w:color w:val="000000"/>
          <w:sz w:val="20"/>
          <w:szCs w:val="20"/>
          <w:lang w:eastAsia="lt-LT"/>
        </w:rPr>
      </w:pPr>
      <w:r w:rsidRPr="00033860">
        <w:rPr>
          <w:rFonts w:eastAsia="Times New Roman" w:cs="Arial"/>
          <w:i/>
          <w:noProof/>
          <w:color w:val="000000"/>
          <w:sz w:val="20"/>
          <w:szCs w:val="20"/>
          <w:lang w:eastAsia="lt-LT"/>
        </w:rPr>
        <w:t>Šaltinis - autorių analizė, remiantis CPVA pateikiama SNA skaičiuokle</w:t>
      </w:r>
    </w:p>
    <w:p w14:paraId="36526B81" w14:textId="77777777" w:rsidR="00454E77" w:rsidRPr="00033860" w:rsidRDefault="00454E77" w:rsidP="00454E77">
      <w:pPr>
        <w:spacing w:line="256" w:lineRule="auto"/>
        <w:jc w:val="left"/>
        <w:rPr>
          <w:rFonts w:eastAsia="Calibri" w:cs="Arial"/>
          <w:noProof/>
          <w:color w:val="auto"/>
          <w:lang w:eastAsia="en-GB"/>
        </w:rPr>
      </w:pPr>
      <w:r w:rsidRPr="00033860">
        <w:rPr>
          <w:rFonts w:eastAsia="Calibri" w:cs="Arial"/>
          <w:noProof/>
          <w:color w:val="auto"/>
          <w:lang w:eastAsia="en-GB"/>
        </w:rPr>
        <w:t>Atliktos analizės rezultatai rodo, kad:</w:t>
      </w:r>
    </w:p>
    <w:p w14:paraId="12F2F98D" w14:textId="45E4DE60" w:rsidR="00454E77" w:rsidRPr="00033860" w:rsidRDefault="00454E77" w:rsidP="00454E77">
      <w:pPr>
        <w:numPr>
          <w:ilvl w:val="0"/>
          <w:numId w:val="11"/>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t xml:space="preserve">Labiausiai tikėtina EGDV reikšmė yra </w:t>
      </w:r>
      <w:r w:rsidR="009546C8">
        <w:rPr>
          <w:rFonts w:eastAsia="Calibri" w:cs="Arial"/>
          <w:noProof/>
          <w:color w:val="auto"/>
          <w:lang w:eastAsia="en-GB"/>
        </w:rPr>
        <w:t>958 153</w:t>
      </w:r>
      <w:r w:rsidRPr="00033860">
        <w:rPr>
          <w:rFonts w:eastAsia="Calibri" w:cs="Arial"/>
          <w:noProof/>
          <w:color w:val="auto"/>
          <w:lang w:eastAsia="en-GB"/>
        </w:rPr>
        <w:t xml:space="preserve"> Eur, o tikimybė, kad EGDV bus teigiamas prilyginama </w:t>
      </w:r>
      <w:r w:rsidR="009546C8">
        <w:rPr>
          <w:rFonts w:eastAsia="Calibri" w:cs="Arial"/>
          <w:noProof/>
          <w:color w:val="auto"/>
          <w:lang w:eastAsia="en-GB"/>
        </w:rPr>
        <w:t>56,8</w:t>
      </w:r>
      <w:r w:rsidRPr="006E0A53">
        <w:rPr>
          <w:rFonts w:eastAsia="Calibri" w:cs="Arial"/>
          <w:noProof/>
          <w:color w:val="auto"/>
          <w:lang w:eastAsia="en-GB"/>
        </w:rPr>
        <w:t xml:space="preserve"> </w:t>
      </w:r>
      <w:r w:rsidRPr="00033860">
        <w:rPr>
          <w:rFonts w:eastAsia="Calibri" w:cs="Arial"/>
          <w:noProof/>
          <w:color w:val="auto"/>
          <w:lang w:eastAsia="en-GB"/>
        </w:rPr>
        <w:t>proc.;</w:t>
      </w:r>
    </w:p>
    <w:p w14:paraId="0E5C46DB" w14:textId="0B831B8E" w:rsidR="00454E77" w:rsidRPr="00033860" w:rsidRDefault="00454E77" w:rsidP="00454E77">
      <w:pPr>
        <w:numPr>
          <w:ilvl w:val="0"/>
          <w:numId w:val="11"/>
        </w:numPr>
        <w:spacing w:before="120" w:after="120" w:line="240" w:lineRule="auto"/>
        <w:ind w:left="993" w:hanging="426"/>
        <w:contextualSpacing/>
        <w:jc w:val="left"/>
        <w:rPr>
          <w:rFonts w:eastAsia="Calibri" w:cs="Arial"/>
          <w:noProof/>
          <w:color w:val="auto"/>
          <w:lang w:eastAsia="en-GB"/>
        </w:rPr>
      </w:pPr>
      <w:r w:rsidRPr="00033860">
        <w:rPr>
          <w:rFonts w:eastAsia="Calibri" w:cs="Arial"/>
          <w:noProof/>
          <w:color w:val="auto"/>
          <w:lang w:eastAsia="en-GB"/>
        </w:rPr>
        <w:t xml:space="preserve">Labiausiai tikėtina EVGN reikšmė yra </w:t>
      </w:r>
      <w:r w:rsidR="009546C8">
        <w:rPr>
          <w:rFonts w:eastAsia="Calibri" w:cs="Arial"/>
          <w:noProof/>
          <w:color w:val="auto"/>
          <w:lang w:eastAsia="en-GB"/>
        </w:rPr>
        <w:t>3,9</w:t>
      </w:r>
      <w:r w:rsidRPr="00033860">
        <w:rPr>
          <w:rFonts w:eastAsia="Calibri" w:cs="Arial"/>
          <w:noProof/>
          <w:color w:val="auto"/>
          <w:lang w:eastAsia="en-GB"/>
        </w:rPr>
        <w:t xml:space="preserve"> proc., o tikimybė, kad EVGN bus didesnė nei socialinio diskonto norma </w:t>
      </w:r>
      <w:r w:rsidR="009546C8">
        <w:rPr>
          <w:rFonts w:eastAsia="Calibri" w:cs="Arial"/>
          <w:noProof/>
          <w:color w:val="auto"/>
          <w:lang w:eastAsia="en-GB"/>
        </w:rPr>
        <w:t>56,5</w:t>
      </w:r>
      <w:r w:rsidRPr="00033860">
        <w:rPr>
          <w:rFonts w:eastAsia="Calibri" w:cs="Arial"/>
          <w:noProof/>
          <w:color w:val="auto"/>
          <w:lang w:eastAsia="en-GB"/>
        </w:rPr>
        <w:t xml:space="preserve"> proc.</w:t>
      </w:r>
    </w:p>
    <w:p w14:paraId="0516EE9E" w14:textId="77777777" w:rsidR="00454E77" w:rsidRPr="00033860" w:rsidRDefault="00454E77" w:rsidP="00454E77">
      <w:pPr>
        <w:spacing w:line="256" w:lineRule="auto"/>
        <w:rPr>
          <w:rFonts w:eastAsia="Calibri" w:cs="Arial"/>
          <w:noProof/>
          <w:color w:val="auto"/>
          <w:lang w:eastAsia="en-GB"/>
        </w:rPr>
      </w:pPr>
      <w:r w:rsidRPr="00033860">
        <w:rPr>
          <w:rFonts w:eastAsia="Calibri" w:cs="Arial"/>
          <w:noProof/>
          <w:color w:val="auto"/>
          <w:lang w:eastAsia="en-GB"/>
        </w:rPr>
        <w:lastRenderedPageBreak/>
        <w:t>Gauti rezultatai parodė, kad ekonominių rodiklių pasiekiamumas yra realus.Identifikuotos rizikos yra priimtinos. Optimistinio scenarijaus atveju projektas būtų kuriantis ekonominę naudą. Dauguma rizikų yra valdomos Projektą įgyvendinančios Savivaldybės, todėl tinkamai jas valdant, Projekto įgyvendinimui grėsmės nekiltų. Sekančiame skyriuje numatyti rizikos valdymo veiksmai padės suvaldyti rizikas bei įgyvendinus Projektą pasiekti prognozuojamas naudas.</w:t>
      </w:r>
    </w:p>
    <w:p w14:paraId="5BCCD992" w14:textId="77777777" w:rsidR="00454E77" w:rsidRPr="006E0A53" w:rsidRDefault="00454E77" w:rsidP="00454E77">
      <w:pPr>
        <w:pStyle w:val="Poskyris"/>
        <w:rPr>
          <w:rFonts w:eastAsia="Calibri"/>
        </w:rPr>
      </w:pPr>
      <w:bookmarkStart w:id="606" w:name="_Toc104108744"/>
      <w:bookmarkStart w:id="607" w:name="_Toc104230884"/>
      <w:bookmarkStart w:id="608" w:name="_Toc104231529"/>
      <w:bookmarkStart w:id="609" w:name="_Toc153967046"/>
      <w:bookmarkStart w:id="610" w:name="_Toc161121685"/>
      <w:bookmarkStart w:id="611" w:name="_Toc161166419"/>
      <w:bookmarkStart w:id="612" w:name="_Toc165372664"/>
      <w:bookmarkStart w:id="613" w:name="_Toc171350857"/>
      <w:bookmarkStart w:id="614" w:name="_Toc171351007"/>
      <w:bookmarkStart w:id="615" w:name="_Toc171355495"/>
      <w:r w:rsidRPr="006E0A53">
        <w:rPr>
          <w:rFonts w:eastAsia="Calibri"/>
        </w:rPr>
        <w:t>6.6. Rizikų valdymo veiksmai</w:t>
      </w:r>
      <w:bookmarkEnd w:id="606"/>
      <w:bookmarkEnd w:id="607"/>
      <w:bookmarkEnd w:id="608"/>
      <w:bookmarkEnd w:id="609"/>
      <w:bookmarkEnd w:id="610"/>
      <w:bookmarkEnd w:id="611"/>
      <w:bookmarkEnd w:id="612"/>
      <w:bookmarkEnd w:id="613"/>
      <w:bookmarkEnd w:id="614"/>
      <w:bookmarkEnd w:id="615"/>
    </w:p>
    <w:p w14:paraId="5CC39C64" w14:textId="77777777" w:rsidR="00454E77" w:rsidRPr="00033860" w:rsidRDefault="00454E77" w:rsidP="00454E77">
      <w:pPr>
        <w:spacing w:line="256" w:lineRule="auto"/>
        <w:rPr>
          <w:rFonts w:eastAsia="Calibri" w:cs="Arial"/>
          <w:noProof/>
          <w:color w:val="auto"/>
          <w:szCs w:val="24"/>
          <w:lang w:eastAsia="en-GB"/>
        </w:rPr>
      </w:pPr>
      <w:r w:rsidRPr="00033860">
        <w:rPr>
          <w:rFonts w:eastAsia="Calibri" w:cs="Arial"/>
          <w:noProof/>
          <w:color w:val="auto"/>
          <w:lang w:eastAsia="en-GB"/>
        </w:rPr>
        <w:t xml:space="preserve">Investicijų projektuose, remiantis Metodika, išskiriamos 8 rizikų grupės. Investicijų projekto atveju, bus nagrinėjama 5 rizikų grupės. </w:t>
      </w:r>
      <w:r w:rsidRPr="00033860">
        <w:rPr>
          <w:rFonts w:eastAsia="Times New Roman" w:cs="Arial"/>
          <w:noProof/>
          <w:color w:val="auto"/>
        </w:rPr>
        <w:t>Kiekvienai projekto rizikai suvaldyti reikalinga pasirinkti efektyviausią valdymo būdą. Pagrindiniai galimi rizikos valdymo būdai:</w:t>
      </w:r>
    </w:p>
    <w:p w14:paraId="575386D0" w14:textId="77777777" w:rsidR="00454E77" w:rsidRPr="00033860" w:rsidRDefault="00454E77" w:rsidP="00454E77">
      <w:pPr>
        <w:numPr>
          <w:ilvl w:val="0"/>
          <w:numId w:val="29"/>
        </w:numPr>
        <w:spacing w:line="256"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Rizikos išvengimas – pašalinamas rizikos sukėlėjas (-ai);</w:t>
      </w:r>
    </w:p>
    <w:p w14:paraId="3A67B547" w14:textId="77777777" w:rsidR="00454E77" w:rsidRPr="00033860" w:rsidRDefault="00454E77" w:rsidP="00454E77">
      <w:pPr>
        <w:numPr>
          <w:ilvl w:val="0"/>
          <w:numId w:val="29"/>
        </w:numPr>
        <w:spacing w:line="256"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Rizikos prevencija – mažinama rizikos pasireiškimo tikimybė, vykdant prevencines veiklas ar investuojant daugiau lėšų į infrastruktūros sukūrimą;</w:t>
      </w:r>
    </w:p>
    <w:p w14:paraId="37A224DC" w14:textId="77777777" w:rsidR="00454E77" w:rsidRPr="00033860" w:rsidRDefault="00454E77" w:rsidP="00454E77">
      <w:pPr>
        <w:numPr>
          <w:ilvl w:val="0"/>
          <w:numId w:val="29"/>
        </w:numPr>
        <w:spacing w:line="256"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Rizikos draudimas – įsigyjamas draudimas nuo rizikų, nuo kurių įmanoma apsidrausti (force majeure rizikos, statybos (rangos darbų) rizikos, civilinės atsakomybės rizikos ir pan.);</w:t>
      </w:r>
    </w:p>
    <w:p w14:paraId="626CCB02" w14:textId="77777777" w:rsidR="00454E77" w:rsidRPr="00033860" w:rsidRDefault="00454E77" w:rsidP="00454E77">
      <w:pPr>
        <w:numPr>
          <w:ilvl w:val="0"/>
          <w:numId w:val="29"/>
        </w:numPr>
        <w:spacing w:line="256"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Rizikos perdavimas – rizika perduodama tai šaliai, kuri pajėgesnė ją valdyti (pvz.: projektas įgyvendinamas pasitelkus partnerį, kuris yra įgijęs atitinkamos rizikos valdymo patirties);</w:t>
      </w:r>
    </w:p>
    <w:p w14:paraId="02B509AF" w14:textId="77777777" w:rsidR="00454E77" w:rsidRPr="00033860" w:rsidRDefault="00454E77" w:rsidP="00454E77">
      <w:pPr>
        <w:numPr>
          <w:ilvl w:val="0"/>
          <w:numId w:val="29"/>
        </w:numPr>
        <w:spacing w:line="256" w:lineRule="auto"/>
        <w:ind w:left="993" w:hanging="426"/>
        <w:contextualSpacing/>
        <w:jc w:val="left"/>
        <w:rPr>
          <w:rFonts w:eastAsia="Calibri" w:cs="Arial"/>
          <w:noProof/>
          <w:color w:val="auto"/>
          <w:lang w:eastAsia="en-GB"/>
        </w:rPr>
      </w:pPr>
      <w:r w:rsidRPr="00033860">
        <w:rPr>
          <w:rFonts w:eastAsia="Calibri" w:cs="Arial"/>
          <w:noProof/>
          <w:color w:val="auto"/>
          <w:lang w:eastAsia="en-GB"/>
        </w:rPr>
        <w:t>Rizikos išlaikymas – riziką nusprendžiama valdyti patiems, sudarant atitinkamą organizacinę struktūrą, paskirstant atsakomybes už visas galimas rizikas projekto organizacijos viduje ir pan.</w:t>
      </w:r>
    </w:p>
    <w:p w14:paraId="6F41182A" w14:textId="77777777" w:rsidR="00454E77" w:rsidRPr="006E0A53" w:rsidRDefault="00454E77" w:rsidP="00454E77">
      <w:pPr>
        <w:pStyle w:val="LentelsL"/>
        <w:rPr>
          <w:i/>
        </w:rPr>
      </w:pPr>
      <w:bookmarkStart w:id="616" w:name="_Toc161166276"/>
      <w:bookmarkStart w:id="617" w:name="_Toc165367107"/>
      <w:bookmarkStart w:id="618" w:name="_Toc165372539"/>
      <w:bookmarkStart w:id="619" w:name="_Toc171350568"/>
      <w:bookmarkStart w:id="620" w:name="_Toc171355260"/>
      <w:bookmarkStart w:id="621" w:name="_Toc198807825"/>
      <w:r w:rsidRPr="006E0A53">
        <w:t>6.6.1. lentelė. Projekto rizikų grupės, veikiantys veiksniai ir rizikų valdymo būdai</w:t>
      </w:r>
      <w:bookmarkEnd w:id="616"/>
      <w:bookmarkEnd w:id="617"/>
      <w:bookmarkEnd w:id="618"/>
      <w:bookmarkEnd w:id="619"/>
      <w:bookmarkEnd w:id="620"/>
      <w:bookmarkEnd w:id="621"/>
    </w:p>
    <w:tbl>
      <w:tblPr>
        <w:tblStyle w:val="3sraolentel1parykinimas17"/>
        <w:tblW w:w="4946" w:type="pct"/>
        <w:tblInd w:w="0" w:type="dxa"/>
        <w:tblLayout w:type="fixed"/>
        <w:tblLook w:val="04A0" w:firstRow="1" w:lastRow="0" w:firstColumn="1" w:lastColumn="0" w:noHBand="0" w:noVBand="1"/>
      </w:tblPr>
      <w:tblGrid>
        <w:gridCol w:w="1555"/>
        <w:gridCol w:w="353"/>
        <w:gridCol w:w="2923"/>
        <w:gridCol w:w="5254"/>
      </w:tblGrid>
      <w:tr w:rsidR="00454E77" w:rsidRPr="00033860" w14:paraId="2D849C85" w14:textId="77777777" w:rsidTr="009E5D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46" w:type="pct"/>
            <w:gridSpan w:val="2"/>
            <w:noWrap/>
            <w:hideMark/>
          </w:tcPr>
          <w:p w14:paraId="2F49093B" w14:textId="77777777" w:rsidR="00454E77" w:rsidRPr="00033860" w:rsidRDefault="00454E77" w:rsidP="009E5D1B">
            <w:pPr>
              <w:autoSpaceDE w:val="0"/>
              <w:autoSpaceDN w:val="0"/>
              <w:adjustRightInd w:val="0"/>
              <w:ind w:firstLine="0"/>
              <w:jc w:val="center"/>
              <w:rPr>
                <w:rFonts w:cs="Arial"/>
                <w:color w:val="FFFFFF" w:themeColor="background1"/>
                <w:szCs w:val="20"/>
                <w:lang w:val="lt-LT" w:eastAsia="lt-LT"/>
              </w:rPr>
            </w:pPr>
            <w:r w:rsidRPr="00033860">
              <w:rPr>
                <w:rFonts w:cs="Arial"/>
                <w:color w:val="FFFFFF" w:themeColor="background1"/>
                <w:szCs w:val="20"/>
                <w:lang w:val="lt-LT" w:eastAsia="lt-LT"/>
              </w:rPr>
              <w:t>Rizikos veiksniai</w:t>
            </w:r>
          </w:p>
        </w:tc>
        <w:tc>
          <w:tcPr>
            <w:tcW w:w="1449" w:type="pct"/>
            <w:hideMark/>
          </w:tcPr>
          <w:p w14:paraId="1FF3ED95" w14:textId="77777777" w:rsidR="00454E77" w:rsidRPr="00033860" w:rsidRDefault="00454E77" w:rsidP="009E5D1B">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lt-LT" w:eastAsia="lt-LT"/>
              </w:rPr>
            </w:pPr>
            <w:r w:rsidRPr="00033860">
              <w:rPr>
                <w:rFonts w:cs="Arial"/>
                <w:color w:val="FFFFFF" w:themeColor="background1"/>
                <w:szCs w:val="20"/>
                <w:lang w:val="lt-LT" w:eastAsia="lt-LT"/>
              </w:rPr>
              <w:t>Paaiškinimas (detalizavimas)</w:t>
            </w:r>
          </w:p>
        </w:tc>
        <w:tc>
          <w:tcPr>
            <w:tcW w:w="2605" w:type="pct"/>
            <w:hideMark/>
          </w:tcPr>
          <w:p w14:paraId="6BEE3C1A" w14:textId="77777777" w:rsidR="00454E77" w:rsidRPr="00033860" w:rsidRDefault="00454E77" w:rsidP="009E5D1B">
            <w:pPr>
              <w:ind w:firstLine="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lt-LT" w:eastAsia="lt-LT"/>
              </w:rPr>
            </w:pPr>
            <w:r w:rsidRPr="00033860">
              <w:rPr>
                <w:rFonts w:cs="Arial"/>
                <w:color w:val="FFFFFF" w:themeColor="background1"/>
                <w:szCs w:val="20"/>
                <w:lang w:val="lt-LT" w:eastAsia="lt-LT"/>
              </w:rPr>
              <w:t>Valdymo būdai</w:t>
            </w:r>
          </w:p>
        </w:tc>
      </w:tr>
      <w:tr w:rsidR="00454E77" w:rsidRPr="00033860" w14:paraId="5977D0EA" w14:textId="77777777" w:rsidTr="009E5D1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98" w:type="pct"/>
            <w:gridSpan w:val="4"/>
            <w:hideMark/>
          </w:tcPr>
          <w:p w14:paraId="53756385" w14:textId="77777777" w:rsidR="00454E77" w:rsidRPr="00033860" w:rsidRDefault="00454E77" w:rsidP="009E5D1B">
            <w:pPr>
              <w:ind w:firstLine="0"/>
              <w:jc w:val="center"/>
              <w:rPr>
                <w:rFonts w:cs="Arial"/>
                <w:szCs w:val="20"/>
                <w:lang w:val="lt-LT"/>
              </w:rPr>
            </w:pPr>
            <w:r w:rsidRPr="00033860">
              <w:rPr>
                <w:rFonts w:cs="Arial"/>
                <w:szCs w:val="20"/>
                <w:lang w:val="lt-LT"/>
              </w:rPr>
              <w:t>1. Projektavimo (planavimo) kokybės rizikų grupė</w:t>
            </w:r>
          </w:p>
        </w:tc>
      </w:tr>
      <w:tr w:rsidR="00454E77" w:rsidRPr="00033860" w14:paraId="1D2D520A" w14:textId="77777777" w:rsidTr="009E5D1B">
        <w:trPr>
          <w:trHeight w:val="315"/>
        </w:trPr>
        <w:tc>
          <w:tcPr>
            <w:cnfStyle w:val="001000000000" w:firstRow="0" w:lastRow="0" w:firstColumn="1" w:lastColumn="0" w:oddVBand="0" w:evenVBand="0" w:oddHBand="0" w:evenHBand="0" w:firstRowFirstColumn="0" w:firstRowLastColumn="0" w:lastRowFirstColumn="0" w:lastRowLastColumn="0"/>
            <w:tcW w:w="771" w:type="pct"/>
            <w:noWrap/>
            <w:hideMark/>
          </w:tcPr>
          <w:p w14:paraId="6496748D" w14:textId="77777777" w:rsidR="00454E77" w:rsidRPr="00033860" w:rsidRDefault="00454E77" w:rsidP="009E5D1B">
            <w:pPr>
              <w:autoSpaceDE w:val="0"/>
              <w:autoSpaceDN w:val="0"/>
              <w:adjustRightInd w:val="0"/>
              <w:ind w:firstLine="0"/>
              <w:rPr>
                <w:rFonts w:cs="Arial"/>
                <w:i/>
                <w:iCs/>
                <w:szCs w:val="20"/>
                <w:lang w:val="lt-LT"/>
              </w:rPr>
            </w:pPr>
            <w:r w:rsidRPr="00033860">
              <w:rPr>
                <w:rFonts w:cs="Arial"/>
                <w:szCs w:val="20"/>
                <w:lang w:val="lt-LT" w:eastAsia="lt-LT"/>
              </w:rPr>
              <w:t>Užsitęsę viešieji pirkimai</w:t>
            </w:r>
          </w:p>
        </w:tc>
        <w:tc>
          <w:tcPr>
            <w:tcW w:w="1624" w:type="pct"/>
            <w:gridSpan w:val="2"/>
            <w:hideMark/>
          </w:tcPr>
          <w:p w14:paraId="7B02335D" w14:textId="77777777" w:rsidR="00454E77" w:rsidRPr="00033860" w:rsidRDefault="00454E77" w:rsidP="009E5D1B">
            <w:pPr>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eastAsia="lt-LT"/>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2605" w:type="pct"/>
            <w:hideMark/>
          </w:tcPr>
          <w:p w14:paraId="1E797770" w14:textId="77777777" w:rsidR="00454E77" w:rsidRPr="00033860" w:rsidRDefault="00454E77" w:rsidP="009E5D1B">
            <w:pPr>
              <w:tabs>
                <w:tab w:val="left" w:pos="142"/>
              </w:tabs>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Parengti aiškūs ir išsamūs viešųjų pirkimų dokumentai. Tiksliai nustatytos numatomų pirkti darbų ir paslaugų apimtys. Siekiant išvengti skundų dėl pirkimų vykdymo, išsamiai aprašytos perkamų objektų techninės specifikacijos, vertinimo kriterijai ir jais tinkamai vadovaujamasi priimant sprendimus viešųjų pirkimų komisijoje.</w:t>
            </w:r>
          </w:p>
          <w:p w14:paraId="34E7D8E2" w14:textId="77777777" w:rsidR="00454E77" w:rsidRPr="00033860" w:rsidRDefault="00454E77" w:rsidP="009E5D1B">
            <w:pPr>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 xml:space="preserve">Pirkimo dokumentuose išsamiai aprašyta ginčų nagrinėjimo tvarka ir galimos teisinių ginčų pasekmės, pvz., Perkančiajai organizacijai laimėjus ginčą, iš ieškovo pareikalauti atlyginti žalą už laiku neįgyvendintą projektą. </w:t>
            </w:r>
          </w:p>
          <w:p w14:paraId="3D781DBC" w14:textId="77777777" w:rsidR="00454E77" w:rsidRPr="00033860" w:rsidRDefault="00454E77" w:rsidP="009E5D1B">
            <w:pPr>
              <w:tabs>
                <w:tab w:val="left" w:pos="142"/>
              </w:tabs>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Konkurso būdu pasirinkti darbų rangovai ir paslaugų teikėjai, kurių kvalifikacija atitinka keliamus reikalavimus.</w:t>
            </w:r>
          </w:p>
          <w:p w14:paraId="441981A6" w14:textId="77777777" w:rsidR="00454E77" w:rsidRPr="00033860" w:rsidRDefault="00454E77" w:rsidP="009E5D1B">
            <w:pPr>
              <w:tabs>
                <w:tab w:val="left" w:pos="142"/>
              </w:tabs>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Darbų / paslaugų sutarties projektuose tiksliai apibrėžiama kaina, paslaugų teikimo ar darbų vykdymo grafikas, sankcijos dėl darbų nevykdymo, numatyta delspinigių dydžio, skaičiavimo, išsireikalavimo tvarka už ne laiku suteiktas paslaugas ar atliktus darbus.</w:t>
            </w:r>
          </w:p>
          <w:p w14:paraId="218F9AAB"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eastAsia="lt-LT"/>
              </w:rPr>
            </w:pPr>
            <w:r w:rsidRPr="00033860">
              <w:rPr>
                <w:rFonts w:cs="Arial"/>
                <w:iCs/>
                <w:szCs w:val="20"/>
                <w:lang w:val="lt-LT"/>
              </w:rPr>
              <w:t>Projekto įgyvendinimo metu kilus bet kokiems ginčams</w:t>
            </w:r>
            <w:r w:rsidRPr="00033860">
              <w:rPr>
                <w:rFonts w:cs="Arial"/>
                <w:szCs w:val="20"/>
                <w:lang w:val="lt-LT"/>
              </w:rPr>
              <w:t xml:space="preserve"> </w:t>
            </w:r>
            <w:r w:rsidRPr="00033860">
              <w:rPr>
                <w:rFonts w:cs="Arial"/>
                <w:iCs/>
                <w:szCs w:val="20"/>
                <w:lang w:val="lt-LT"/>
              </w:rPr>
              <w:t xml:space="preserve">su darbų vykdytojais ar paslaugų teikėjais (pvz. </w:t>
            </w:r>
            <w:r w:rsidRPr="00033860">
              <w:rPr>
                <w:rFonts w:cs="Arial"/>
                <w:szCs w:val="20"/>
                <w:lang w:val="lt-LT"/>
              </w:rPr>
              <w:t>ginčai dėl paslaugų darbų / kokybės, dėl neatitikimo techninės specifikacijos reikalavimams, dėl sutarties nuostatų nesilaikymo ir t.t.)</w:t>
            </w:r>
            <w:r w:rsidRPr="00033860">
              <w:rPr>
                <w:rFonts w:cs="Arial"/>
                <w:iCs/>
                <w:szCs w:val="20"/>
                <w:lang w:val="lt-LT"/>
              </w:rPr>
              <w:t>, jie tarp šalių sprendžiami tarpusavio konsultacijų ir derybų būdu, vadovaujantis gera valia ir remiantis sutarčių nuostatomis, kuriose numatyta šalių atsakomybė.</w:t>
            </w:r>
            <w:r w:rsidRPr="00033860">
              <w:rPr>
                <w:rFonts w:cs="Arial"/>
                <w:szCs w:val="20"/>
                <w:lang w:val="lt-LT" w:eastAsia="lt-LT"/>
              </w:rPr>
              <w:t xml:space="preserve"> </w:t>
            </w:r>
          </w:p>
        </w:tc>
      </w:tr>
      <w:tr w:rsidR="00454E77" w:rsidRPr="00033860" w14:paraId="350ECDC6" w14:textId="77777777" w:rsidTr="009E5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noWrap/>
            <w:hideMark/>
          </w:tcPr>
          <w:p w14:paraId="6EB0FAC9" w14:textId="77777777" w:rsidR="00454E77" w:rsidRPr="00033860" w:rsidRDefault="00454E77" w:rsidP="009E5D1B">
            <w:pPr>
              <w:autoSpaceDE w:val="0"/>
              <w:autoSpaceDN w:val="0"/>
              <w:adjustRightInd w:val="0"/>
              <w:ind w:firstLine="0"/>
              <w:rPr>
                <w:rFonts w:cs="Arial"/>
                <w:i/>
                <w:iCs/>
                <w:szCs w:val="20"/>
                <w:lang w:val="lt-LT"/>
              </w:rPr>
            </w:pPr>
            <w:r w:rsidRPr="00033860">
              <w:rPr>
                <w:rFonts w:cs="Arial"/>
                <w:szCs w:val="20"/>
                <w:lang w:val="lt-LT" w:eastAsia="lt-LT"/>
              </w:rPr>
              <w:t xml:space="preserve">Projektų veiklų vėlavimas ir įgyvendinimo </w:t>
            </w:r>
            <w:r w:rsidRPr="00033860">
              <w:rPr>
                <w:rFonts w:cs="Arial"/>
                <w:szCs w:val="20"/>
                <w:lang w:val="lt-LT" w:eastAsia="lt-LT"/>
              </w:rPr>
              <w:lastRenderedPageBreak/>
              <w:t>grafiko nesilaikymas</w:t>
            </w:r>
          </w:p>
        </w:tc>
        <w:tc>
          <w:tcPr>
            <w:tcW w:w="1624" w:type="pct"/>
            <w:gridSpan w:val="2"/>
            <w:hideMark/>
          </w:tcPr>
          <w:p w14:paraId="1691D0DB"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szCs w:val="20"/>
                <w:lang w:val="lt-LT"/>
              </w:rPr>
            </w:pPr>
            <w:r w:rsidRPr="00033860">
              <w:rPr>
                <w:rFonts w:cs="Arial"/>
                <w:szCs w:val="20"/>
                <w:lang w:val="lt-LT" w:eastAsia="lt-LT"/>
              </w:rPr>
              <w:lastRenderedPageBreak/>
              <w:t xml:space="preserve">Dažniausiai projekto veiklos vėluoja dėl užsitęsusių viešųjų pirkimų procedūrų, tačiau projekto veiklų vėlavimą gali įtakoti ir </w:t>
            </w:r>
            <w:r w:rsidRPr="00033860">
              <w:rPr>
                <w:rFonts w:cs="Arial"/>
                <w:szCs w:val="20"/>
                <w:lang w:val="lt-LT" w:eastAsia="lt-LT"/>
              </w:rPr>
              <w:lastRenderedPageBreak/>
              <w:t>nepakankama komunikacija tarp perkančiosios organizacijos ir darbų rangovų bei paslaugų teikėjų atstovų, nesavalaikis problemų sprendimas, atitinkamas veiklas vykdančių darbuotojų žinių bei įgūdžių trūkumas.</w:t>
            </w:r>
          </w:p>
        </w:tc>
        <w:tc>
          <w:tcPr>
            <w:tcW w:w="2605" w:type="pct"/>
            <w:hideMark/>
          </w:tcPr>
          <w:p w14:paraId="73062152"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eastAsia="lt-LT"/>
              </w:rPr>
              <w:lastRenderedPageBreak/>
              <w:t xml:space="preserve">Planuojant projekto veiklas, įvertintas laiko rezervas nenumatytiems atvejams. Pasirašytų sutarčių plano sudarymas ir valdymas bei kontrolė siekiant, kad </w:t>
            </w:r>
            <w:r w:rsidRPr="00033860">
              <w:rPr>
                <w:rFonts w:cs="Arial"/>
                <w:szCs w:val="20"/>
                <w:lang w:val="lt-LT" w:eastAsia="lt-LT"/>
              </w:rPr>
              <w:lastRenderedPageBreak/>
              <w:t xml:space="preserve">paslaugos būtų suteiktos ir darbai atlikti iki numatytos projekto įgyvendinimo pabaigos. </w:t>
            </w:r>
          </w:p>
          <w:p w14:paraId="4D3936BB"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eastAsia="lt-LT"/>
              </w:rPr>
              <w:t xml:space="preserve">Jei įmanoma, sutarčių įgyvendinimo terminai numatyti 1-2 mėn. trumpesni nei projektų veiklų įgyvendinimo pabaiga. </w:t>
            </w:r>
          </w:p>
          <w:p w14:paraId="26F58C29"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eastAsia="lt-LT"/>
              </w:rPr>
              <w:t>Susitikimų organizavimas su darbų rangovais ir paslaugų teikėjais. Nuolatinė komunikacija bei bendradarbiavimas prisidės prie sėkmingo projekto įgyvendinimo.</w:t>
            </w:r>
          </w:p>
        </w:tc>
      </w:tr>
      <w:tr w:rsidR="00454E77" w:rsidRPr="00033860" w14:paraId="4644FB59" w14:textId="77777777" w:rsidTr="009E5D1B">
        <w:trPr>
          <w:trHeight w:val="315"/>
        </w:trPr>
        <w:tc>
          <w:tcPr>
            <w:cnfStyle w:val="001000000000" w:firstRow="0" w:lastRow="0" w:firstColumn="1" w:lastColumn="0" w:oddVBand="0" w:evenVBand="0" w:oddHBand="0" w:evenHBand="0" w:firstRowFirstColumn="0" w:firstRowLastColumn="0" w:lastRowFirstColumn="0" w:lastRowLastColumn="0"/>
            <w:tcW w:w="771" w:type="pct"/>
            <w:noWrap/>
            <w:hideMark/>
          </w:tcPr>
          <w:p w14:paraId="13F8E658" w14:textId="77777777" w:rsidR="00454E77" w:rsidRPr="00033860" w:rsidRDefault="00454E77" w:rsidP="009E5D1B">
            <w:pPr>
              <w:ind w:firstLine="0"/>
              <w:rPr>
                <w:rFonts w:cs="Arial"/>
                <w:szCs w:val="20"/>
                <w:lang w:val="lt-LT"/>
              </w:rPr>
            </w:pPr>
            <w:r w:rsidRPr="00033860">
              <w:rPr>
                <w:rFonts w:cs="Arial"/>
                <w:szCs w:val="20"/>
                <w:lang w:val="lt-LT"/>
              </w:rPr>
              <w:lastRenderedPageBreak/>
              <w:t xml:space="preserve">Nenugalimos jėgos </w:t>
            </w:r>
            <w:r w:rsidRPr="00033860">
              <w:rPr>
                <w:rFonts w:cs="Arial"/>
                <w:i/>
                <w:szCs w:val="20"/>
                <w:lang w:val="lt-LT"/>
              </w:rPr>
              <w:t>(force majeure)</w:t>
            </w:r>
            <w:r w:rsidRPr="00033860">
              <w:rPr>
                <w:rFonts w:cs="Arial"/>
                <w:szCs w:val="20"/>
                <w:lang w:val="lt-LT"/>
              </w:rPr>
              <w:t xml:space="preserve"> rizika</w:t>
            </w:r>
          </w:p>
        </w:tc>
        <w:tc>
          <w:tcPr>
            <w:tcW w:w="1624" w:type="pct"/>
            <w:gridSpan w:val="2"/>
            <w:hideMark/>
          </w:tcPr>
          <w:p w14:paraId="4EA98766" w14:textId="77777777" w:rsidR="00454E77" w:rsidRPr="00033860" w:rsidRDefault="00454E77" w:rsidP="009E5D1B">
            <w:pPr>
              <w:ind w:firstLine="0"/>
              <w:cnfStyle w:val="000000000000" w:firstRow="0" w:lastRow="0" w:firstColumn="0" w:lastColumn="0" w:oddVBand="0" w:evenVBand="0" w:oddHBand="0" w:evenHBand="0" w:firstRowFirstColumn="0" w:firstRowLastColumn="0" w:lastRowFirstColumn="0" w:lastRowLastColumn="0"/>
              <w:rPr>
                <w:rFonts w:cs="Arial"/>
                <w:bCs/>
                <w:szCs w:val="20"/>
                <w:lang w:val="lt-LT"/>
              </w:rPr>
            </w:pPr>
            <w:r w:rsidRPr="00033860">
              <w:rPr>
                <w:rFonts w:cs="Arial"/>
                <w:bCs/>
                <w:iCs/>
                <w:szCs w:val="20"/>
                <w:lang w:val="lt-LT"/>
              </w:rPr>
              <w:t>Ši rizika gali kilti dėl nenugalimos jėgos aplinkybių (pvz., gaisro, potvynio, streiko, stichinės nelaimės ir pan.). Ši rizika yra visiškai neapibrėžta ir gali kilti bet kada.</w:t>
            </w:r>
          </w:p>
        </w:tc>
        <w:tc>
          <w:tcPr>
            <w:tcW w:w="2605" w:type="pct"/>
            <w:hideMark/>
          </w:tcPr>
          <w:p w14:paraId="58BC2E31" w14:textId="77777777" w:rsidR="00454E77" w:rsidRPr="00033860" w:rsidRDefault="00454E77" w:rsidP="009E5D1B">
            <w:pPr>
              <w:ind w:firstLine="0"/>
              <w:cnfStyle w:val="000000000000" w:firstRow="0" w:lastRow="0" w:firstColumn="0" w:lastColumn="0" w:oddVBand="0" w:evenVBand="0" w:oddHBand="0" w:evenHBand="0" w:firstRowFirstColumn="0" w:firstRowLastColumn="0" w:lastRowFirstColumn="0" w:lastRowLastColumn="0"/>
              <w:rPr>
                <w:rFonts w:cs="Arial"/>
                <w:bCs/>
                <w:iCs/>
                <w:szCs w:val="20"/>
                <w:lang w:val="lt-LT"/>
              </w:rPr>
            </w:pPr>
            <w:r w:rsidRPr="00033860">
              <w:rPr>
                <w:rFonts w:cs="Arial"/>
                <w:bCs/>
                <w:iCs/>
                <w:szCs w:val="20"/>
                <w:lang w:val="lt-LT"/>
              </w:rPr>
              <w:t xml:space="preserve">Sutartyse </w:t>
            </w:r>
            <w:r w:rsidRPr="00033860">
              <w:rPr>
                <w:rFonts w:cs="Arial"/>
                <w:bCs/>
                <w:szCs w:val="20"/>
                <w:lang w:val="lt-LT"/>
              </w:rPr>
              <w:t xml:space="preserve">apibrėžti darbų rangovų ir </w:t>
            </w:r>
            <w:r w:rsidRPr="00033860">
              <w:rPr>
                <w:rFonts w:cs="Arial"/>
                <w:bCs/>
                <w:iCs/>
                <w:szCs w:val="20"/>
                <w:lang w:val="lt-LT"/>
              </w:rPr>
              <w:t>paslaugų tiekėjų atsakomybę, susijusią su šios rizikos pasireiškimu, įvardinant atvejus ir aplinkybes, kai šalys gali būti atleidžiamos nuo atsakomybės, pasireiškus šiai rizikai. Tokiu būdu bus išvengiama situacijų, kai rangovai ir tiekėjai gali manipuliuoti nenugalimos jėgos aplinkybėmis, siekdami išvengti sutartinių įsipareigojimų vykdymo.</w:t>
            </w:r>
          </w:p>
        </w:tc>
      </w:tr>
      <w:tr w:rsidR="00454E77" w:rsidRPr="00033860" w14:paraId="32A549E3" w14:textId="77777777" w:rsidTr="009E5D1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98" w:type="pct"/>
            <w:gridSpan w:val="4"/>
            <w:hideMark/>
          </w:tcPr>
          <w:p w14:paraId="5F6B4E3C" w14:textId="77777777" w:rsidR="00454E77" w:rsidRPr="00033860" w:rsidRDefault="00454E77" w:rsidP="009E5D1B">
            <w:pPr>
              <w:ind w:firstLine="0"/>
              <w:jc w:val="center"/>
              <w:rPr>
                <w:rFonts w:cs="Arial"/>
                <w:szCs w:val="20"/>
                <w:lang w:val="lt-LT"/>
              </w:rPr>
            </w:pPr>
            <w:r w:rsidRPr="00033860">
              <w:rPr>
                <w:rFonts w:cs="Arial"/>
                <w:szCs w:val="20"/>
                <w:lang w:val="lt-LT"/>
              </w:rPr>
              <w:t>2. Įsigyjamų (atliekamų) rangos darbų kokybės rizikų grupė</w:t>
            </w:r>
          </w:p>
        </w:tc>
      </w:tr>
      <w:tr w:rsidR="00454E77" w:rsidRPr="00033860" w14:paraId="2E46E778" w14:textId="77777777" w:rsidTr="009E5D1B">
        <w:trPr>
          <w:trHeight w:val="300"/>
        </w:trPr>
        <w:tc>
          <w:tcPr>
            <w:cnfStyle w:val="001000000000" w:firstRow="0" w:lastRow="0" w:firstColumn="1" w:lastColumn="0" w:oddVBand="0" w:evenVBand="0" w:oddHBand="0" w:evenHBand="0" w:firstRowFirstColumn="0" w:firstRowLastColumn="0" w:lastRowFirstColumn="0" w:lastRowLastColumn="0"/>
            <w:tcW w:w="771" w:type="pct"/>
            <w:noWrap/>
          </w:tcPr>
          <w:p w14:paraId="0A104722" w14:textId="77777777" w:rsidR="00454E77" w:rsidRPr="00033860" w:rsidRDefault="00454E77" w:rsidP="009E5D1B">
            <w:pPr>
              <w:autoSpaceDE w:val="0"/>
              <w:autoSpaceDN w:val="0"/>
              <w:adjustRightInd w:val="0"/>
              <w:ind w:firstLine="0"/>
              <w:rPr>
                <w:rFonts w:cs="Arial"/>
                <w:iCs/>
                <w:szCs w:val="20"/>
                <w:lang w:val="lt-LT"/>
              </w:rPr>
            </w:pPr>
            <w:r w:rsidRPr="00033860">
              <w:rPr>
                <w:rFonts w:cs="Arial"/>
                <w:iCs/>
                <w:szCs w:val="20"/>
                <w:lang w:val="lt-LT"/>
              </w:rPr>
              <w:t>Projektavimo klaidos</w:t>
            </w:r>
          </w:p>
        </w:tc>
        <w:tc>
          <w:tcPr>
            <w:tcW w:w="1624" w:type="pct"/>
            <w:gridSpan w:val="2"/>
          </w:tcPr>
          <w:p w14:paraId="2D85A9A3"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 xml:space="preserve">Techniniame projekte klaidos gali būti pastebėtos pradėjus įgyvendinti, įgyvendinant arba tik baigus įgyvendinti projektą. Klaidų žala skiriasi priklausomai nuo etapo. Statybų metu klaidos gali pasireikšti statybos proceso sutrikdymu (esminė projektavimo klaida, dėl kurios neįmanoma įgyvendinti pasirinkto sprendimo), o projekto įgyvendinimo pabaigoje – sukurtosios infrastruktūros netinkamumu ar nepakankamu pritaikomumu numatomoms paslaugoms teikti. </w:t>
            </w:r>
          </w:p>
        </w:tc>
        <w:tc>
          <w:tcPr>
            <w:tcW w:w="2605" w:type="pct"/>
          </w:tcPr>
          <w:p w14:paraId="7BC99439" w14:textId="77777777" w:rsidR="00454E77" w:rsidRPr="00033860" w:rsidRDefault="00454E77" w:rsidP="009E5D1B">
            <w:pPr>
              <w:autoSpaceDE w:val="0"/>
              <w:autoSpaceDN w:val="0"/>
              <w:adjustRightInd w:val="0"/>
              <w:ind w:left="-108"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 xml:space="preserve">Profesionali techninio projekto ekspertizė reikiamu laiku. </w:t>
            </w:r>
          </w:p>
          <w:p w14:paraId="7F484FE1"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 xml:space="preserve">Projektuojamo objekto sudėtingumą atitinkantys projektuotojų kvalifikacijos reikalavimai. </w:t>
            </w:r>
          </w:p>
          <w:p w14:paraId="142D70A3"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eastAsia="lt-LT"/>
              </w:rPr>
            </w:pPr>
            <w:r w:rsidRPr="00033860">
              <w:rPr>
                <w:rFonts w:cs="Arial"/>
                <w:szCs w:val="20"/>
                <w:lang w:val="lt-LT"/>
              </w:rPr>
              <w:t xml:space="preserve">Kokybiškai parengta projektavimo užduotis. </w:t>
            </w:r>
          </w:p>
        </w:tc>
      </w:tr>
      <w:tr w:rsidR="00454E77" w:rsidRPr="00033860" w14:paraId="4BBE863F" w14:textId="77777777" w:rsidTr="009E5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pct"/>
            <w:noWrap/>
          </w:tcPr>
          <w:p w14:paraId="712AC0A8" w14:textId="77777777" w:rsidR="00454E77" w:rsidRPr="00033860" w:rsidRDefault="00454E77" w:rsidP="009E5D1B">
            <w:pPr>
              <w:autoSpaceDE w:val="0"/>
              <w:autoSpaceDN w:val="0"/>
              <w:adjustRightInd w:val="0"/>
              <w:ind w:firstLine="0"/>
              <w:rPr>
                <w:rFonts w:cs="Arial"/>
                <w:szCs w:val="20"/>
                <w:lang w:val="lt-LT" w:eastAsia="lt-LT"/>
              </w:rPr>
            </w:pPr>
            <w:r w:rsidRPr="00033860">
              <w:rPr>
                <w:rFonts w:cs="Arial"/>
                <w:szCs w:val="20"/>
                <w:lang w:val="lt-LT"/>
              </w:rPr>
              <w:t xml:space="preserve">Vėlavimas atlikti statybos darbus </w:t>
            </w:r>
          </w:p>
        </w:tc>
        <w:tc>
          <w:tcPr>
            <w:tcW w:w="1624" w:type="pct"/>
            <w:gridSpan w:val="2"/>
          </w:tcPr>
          <w:p w14:paraId="102DD39D"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rPr>
              <w:t>Paprastai vėluojama dėl objektyvių išorinių priežasčių: sezoniškumo neigiamos įtakos, išorinės aplinkos (darbų neleidžiama atlikti dviem pamainomis, nes netoli statybvietės yra gyvenamųjų namų kvartalas), neatliktų parengiamųjų darbų (statybų leidimo gavimas reikiamu laiku, statybvietės perdavimas rangovui ir pan.). Gali būti vėluojama ir dėl vidinių priežasčių: žemesnė nei būtina rangovo kompetencija ir patirtis, techninių sprendimų sudėtingumas, technologijų inovatyvumas ir pan.</w:t>
            </w:r>
          </w:p>
        </w:tc>
        <w:tc>
          <w:tcPr>
            <w:tcW w:w="2605" w:type="pct"/>
          </w:tcPr>
          <w:p w14:paraId="491BD4C6"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rPr>
              <w:t xml:space="preserve">Gauti visi reikalingi leidimai ir iki statybos pradžios atlikti suderinimai. </w:t>
            </w:r>
          </w:p>
        </w:tc>
      </w:tr>
      <w:tr w:rsidR="00454E77" w:rsidRPr="00033860" w14:paraId="57E8454C" w14:textId="77777777" w:rsidTr="009E5D1B">
        <w:trPr>
          <w:trHeight w:val="300"/>
        </w:trPr>
        <w:tc>
          <w:tcPr>
            <w:cnfStyle w:val="001000000000" w:firstRow="0" w:lastRow="0" w:firstColumn="1" w:lastColumn="0" w:oddVBand="0" w:evenVBand="0" w:oddHBand="0" w:evenHBand="0" w:firstRowFirstColumn="0" w:firstRowLastColumn="0" w:lastRowFirstColumn="0" w:lastRowLastColumn="0"/>
            <w:tcW w:w="771" w:type="pct"/>
            <w:noWrap/>
          </w:tcPr>
          <w:p w14:paraId="67310251" w14:textId="77777777" w:rsidR="00454E77" w:rsidRPr="00033860" w:rsidRDefault="00454E77" w:rsidP="009E5D1B">
            <w:pPr>
              <w:autoSpaceDE w:val="0"/>
              <w:autoSpaceDN w:val="0"/>
              <w:adjustRightInd w:val="0"/>
              <w:ind w:firstLine="0"/>
              <w:rPr>
                <w:rFonts w:cs="Arial"/>
                <w:szCs w:val="20"/>
                <w:lang w:val="lt-LT" w:eastAsia="lt-LT"/>
              </w:rPr>
            </w:pPr>
            <w:r w:rsidRPr="00033860">
              <w:rPr>
                <w:rFonts w:cs="Arial"/>
                <w:szCs w:val="20"/>
                <w:lang w:val="lt-LT"/>
              </w:rPr>
              <w:t xml:space="preserve">Statybos darbų neatitiktis normatyviniams reikalavimams ir standartams </w:t>
            </w:r>
          </w:p>
        </w:tc>
        <w:tc>
          <w:tcPr>
            <w:tcW w:w="1624" w:type="pct"/>
            <w:gridSpan w:val="2"/>
          </w:tcPr>
          <w:p w14:paraId="5E32B8B0"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eastAsia="lt-LT"/>
              </w:rPr>
            </w:pPr>
            <w:r w:rsidRPr="00033860">
              <w:rPr>
                <w:rFonts w:cs="Arial"/>
                <w:szCs w:val="20"/>
                <w:lang w:val="lt-LT"/>
              </w:rPr>
              <w:t xml:space="preserve">Rašydamas statybos darbų aktus, techninės priežiūros atstovas gali nustatyti, kad statybos darbai atlikti nesilaikant technologinių principų, neatitinka taikomų standartų. Galimas neatitikties nustatymas statybos darbų pabaigoje, kai rangovui baigus vykdyti darbus, objektą reikia priduoti valstybinei nuolatinei statybos komisijai. </w:t>
            </w:r>
          </w:p>
        </w:tc>
        <w:tc>
          <w:tcPr>
            <w:tcW w:w="2605" w:type="pct"/>
          </w:tcPr>
          <w:p w14:paraId="5AE41AEB"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 xml:space="preserve">Įpareigoti rangovą drausti atliekamus statybos darbus statybų rizikų draudimu. </w:t>
            </w:r>
          </w:p>
          <w:p w14:paraId="7BE9812F"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rPr>
            </w:pPr>
            <w:r w:rsidRPr="00033860">
              <w:rPr>
                <w:rFonts w:cs="Arial"/>
                <w:szCs w:val="20"/>
                <w:lang w:val="lt-LT"/>
              </w:rPr>
              <w:t>Rangos sutartyje aprašyti statybos darbų neatitikties normatyviniams reikalavimams ir standartams užfiksavimo ir pašalinimo procedūras bei atsakomybę.</w:t>
            </w:r>
          </w:p>
          <w:p w14:paraId="480DE3C8" w14:textId="77777777" w:rsidR="00454E77" w:rsidRPr="00033860" w:rsidRDefault="00454E77" w:rsidP="009E5D1B">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cs="Arial"/>
                <w:szCs w:val="20"/>
                <w:lang w:val="lt-LT" w:eastAsia="lt-LT"/>
              </w:rPr>
            </w:pPr>
            <w:r w:rsidRPr="00033860">
              <w:rPr>
                <w:rFonts w:cs="Arial"/>
                <w:szCs w:val="20"/>
                <w:lang w:val="lt-LT"/>
              </w:rPr>
              <w:t xml:space="preserve">Organizuoti ir užtikrinti profesionalią techninę priežiūrą. </w:t>
            </w:r>
          </w:p>
        </w:tc>
      </w:tr>
      <w:tr w:rsidR="00454E77" w:rsidRPr="00033860" w14:paraId="69BE9221" w14:textId="77777777" w:rsidTr="009E5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1" w:type="pct"/>
            <w:noWrap/>
          </w:tcPr>
          <w:p w14:paraId="04B7660E" w14:textId="77777777" w:rsidR="00454E77" w:rsidRPr="00033860" w:rsidRDefault="00454E77" w:rsidP="009E5D1B">
            <w:pPr>
              <w:autoSpaceDE w:val="0"/>
              <w:autoSpaceDN w:val="0"/>
              <w:adjustRightInd w:val="0"/>
              <w:ind w:firstLine="0"/>
              <w:rPr>
                <w:rFonts w:cs="Arial"/>
                <w:szCs w:val="20"/>
                <w:lang w:val="lt-LT" w:eastAsia="lt-LT"/>
              </w:rPr>
            </w:pPr>
            <w:r w:rsidRPr="00033860">
              <w:rPr>
                <w:rFonts w:cs="Arial"/>
                <w:szCs w:val="20"/>
                <w:lang w:val="lt-LT"/>
              </w:rPr>
              <w:lastRenderedPageBreak/>
              <w:t xml:space="preserve">Rangos darbų ir paslaugų kainų išaugimas </w:t>
            </w:r>
          </w:p>
        </w:tc>
        <w:tc>
          <w:tcPr>
            <w:tcW w:w="1624" w:type="pct"/>
            <w:gridSpan w:val="2"/>
          </w:tcPr>
          <w:p w14:paraId="0AD2DAB7"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rPr>
              <w:t>Vykdant viešuosius pirkimus, dalyviai pasiūlymuose gali nurodyti per dideles ir perkančiajai organizacijai nepriimtinas kainas. Darbų / paslaugų kainos gali išaugti ir įgyvendinant projektą, jei bus priimti atitinkami sprendimai, pvz. nusprendus keisti projektinius sprendinius ar naudojamas technologijas.</w:t>
            </w:r>
          </w:p>
        </w:tc>
        <w:tc>
          <w:tcPr>
            <w:tcW w:w="2605" w:type="pct"/>
          </w:tcPr>
          <w:p w14:paraId="561D57BA"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szCs w:val="20"/>
                <w:lang w:val="lt-LT"/>
              </w:rPr>
            </w:pPr>
            <w:r w:rsidRPr="00033860">
              <w:rPr>
                <w:rFonts w:cs="Arial"/>
                <w:szCs w:val="20"/>
                <w:lang w:val="lt-LT"/>
              </w:rPr>
              <w:t xml:space="preserve">Pirkimų dokumentuose nurodyti pirkimams skirtą maksimalią lėšų sumą bei numatyti derybų tvarką. </w:t>
            </w:r>
          </w:p>
          <w:p w14:paraId="3EBB4BB8"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szCs w:val="20"/>
                <w:lang w:val="lt-LT"/>
              </w:rPr>
            </w:pPr>
            <w:r w:rsidRPr="00033860">
              <w:rPr>
                <w:rFonts w:cs="Arial"/>
                <w:szCs w:val="20"/>
                <w:lang w:val="lt-LT"/>
              </w:rPr>
              <w:t xml:space="preserve">Užtikrinti tinkamą sutarčių vykdymo kontrolę. </w:t>
            </w:r>
          </w:p>
          <w:p w14:paraId="3254A0D2"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szCs w:val="20"/>
                <w:lang w:val="lt-LT"/>
              </w:rPr>
            </w:pPr>
            <w:r w:rsidRPr="00033860">
              <w:rPr>
                <w:rFonts w:cs="Arial"/>
                <w:szCs w:val="20"/>
                <w:lang w:val="lt-LT"/>
              </w:rPr>
              <w:t xml:space="preserve">Darbus ar paslaugas įsigijus mažesnėmis kainomis nei numatyta, galima projekto biudžeto lėšas perskirstyti tarp atitinkamų projekto veiklų ir eilučių bei perkelti lėšas trūkstamų veiklų įgyvendinimui. </w:t>
            </w:r>
          </w:p>
          <w:p w14:paraId="73AA5CFF" w14:textId="77777777" w:rsidR="00454E77" w:rsidRPr="00033860" w:rsidRDefault="00454E77" w:rsidP="009E5D1B">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szCs w:val="20"/>
                <w:lang w:val="lt-LT" w:bidi="lo-LA"/>
              </w:rPr>
              <w:t>Apibrėžti naujų technologijų taikymo atvejus ir aspektus.</w:t>
            </w:r>
          </w:p>
        </w:tc>
      </w:tr>
      <w:tr w:rsidR="00454E77" w:rsidRPr="00033860" w14:paraId="3CCDE511" w14:textId="77777777" w:rsidTr="009E5D1B">
        <w:trPr>
          <w:trHeight w:val="315"/>
        </w:trPr>
        <w:tc>
          <w:tcPr>
            <w:cnfStyle w:val="001000000000" w:firstRow="0" w:lastRow="0" w:firstColumn="1" w:lastColumn="0" w:oddVBand="0" w:evenVBand="0" w:oddHBand="0" w:evenHBand="0" w:firstRowFirstColumn="0" w:firstRowLastColumn="0" w:lastRowFirstColumn="0" w:lastRowLastColumn="0"/>
            <w:tcW w:w="4998" w:type="pct"/>
            <w:gridSpan w:val="4"/>
            <w:noWrap/>
            <w:hideMark/>
          </w:tcPr>
          <w:p w14:paraId="4EF8E09E" w14:textId="77777777" w:rsidR="00454E77" w:rsidRPr="00033860" w:rsidRDefault="00454E77" w:rsidP="009E5D1B">
            <w:pPr>
              <w:ind w:firstLine="0"/>
              <w:jc w:val="center"/>
              <w:rPr>
                <w:rFonts w:cs="Arial"/>
                <w:szCs w:val="20"/>
                <w:lang w:val="lt-LT" w:eastAsia="lt-LT"/>
              </w:rPr>
            </w:pPr>
            <w:r w:rsidRPr="00033860">
              <w:rPr>
                <w:rFonts w:cs="Arial"/>
                <w:szCs w:val="20"/>
                <w:lang w:val="lt-LT"/>
              </w:rPr>
              <w:t>3. Turto likutinės vertės projekto ataskaitinio laikotarpio pabaigoje rizikų grupė</w:t>
            </w:r>
          </w:p>
        </w:tc>
      </w:tr>
      <w:tr w:rsidR="00454E77" w:rsidRPr="00033860" w14:paraId="52AC4057" w14:textId="77777777" w:rsidTr="009E5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noWrap/>
            <w:hideMark/>
          </w:tcPr>
          <w:p w14:paraId="41D98495" w14:textId="77777777" w:rsidR="00454E77" w:rsidRPr="00033860" w:rsidRDefault="00454E77" w:rsidP="009E5D1B">
            <w:pPr>
              <w:autoSpaceDE w:val="0"/>
              <w:autoSpaceDN w:val="0"/>
              <w:adjustRightInd w:val="0"/>
              <w:ind w:firstLine="0"/>
              <w:rPr>
                <w:rFonts w:cs="Arial"/>
                <w:szCs w:val="20"/>
                <w:lang w:val="lt-LT" w:eastAsia="lt-LT"/>
              </w:rPr>
            </w:pPr>
            <w:r w:rsidRPr="00033860">
              <w:rPr>
                <w:rFonts w:cs="Arial"/>
                <w:szCs w:val="20"/>
                <w:lang w:val="lt-LT" w:eastAsia="lt-LT"/>
              </w:rPr>
              <w:t>Nepakankamas infrastruktūros būklės palaikymas arba netiksliai suplanuotos infrastruktūros būklės palaikymo išlaidos</w:t>
            </w:r>
          </w:p>
        </w:tc>
        <w:tc>
          <w:tcPr>
            <w:tcW w:w="1624" w:type="pct"/>
            <w:gridSpan w:val="2"/>
          </w:tcPr>
          <w:p w14:paraId="50C025F0"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bCs/>
                <w:szCs w:val="20"/>
                <w:lang w:val="lt-LT"/>
              </w:rPr>
            </w:pPr>
            <w:r w:rsidRPr="00033860">
              <w:rPr>
                <w:rFonts w:cs="Arial"/>
                <w:bCs/>
                <w:szCs w:val="20"/>
                <w:lang w:val="lt-LT"/>
              </w:rPr>
              <w:t xml:space="preserve">Rizikos veiksnys dažnai pasireiškia ne iš karto, o pradėjus eksploatuoti sutvarkytą infrastruktūrą, </w:t>
            </w:r>
            <w:proofErr w:type="spellStart"/>
            <w:r w:rsidRPr="00033860">
              <w:rPr>
                <w:rFonts w:cs="Arial"/>
                <w:bCs/>
                <w:szCs w:val="20"/>
                <w:lang w:val="lt-LT"/>
              </w:rPr>
              <w:t>t.y</w:t>
            </w:r>
            <w:proofErr w:type="spellEnd"/>
            <w:r w:rsidRPr="00033860">
              <w:rPr>
                <w:rFonts w:cs="Arial"/>
                <w:bCs/>
                <w:szCs w:val="20"/>
                <w:lang w:val="lt-LT"/>
              </w:rPr>
              <w:t xml:space="preserve">. per projekto ataskaitinį laikotarpį, kai sutvarkyta infrastruktūra bus naudojama. </w:t>
            </w:r>
          </w:p>
        </w:tc>
        <w:tc>
          <w:tcPr>
            <w:tcW w:w="2605" w:type="pct"/>
          </w:tcPr>
          <w:p w14:paraId="767C51E9"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bCs/>
                <w:szCs w:val="20"/>
                <w:lang w:val="lt-LT"/>
              </w:rPr>
            </w:pPr>
            <w:r w:rsidRPr="00033860">
              <w:rPr>
                <w:rFonts w:cs="Arial"/>
                <w:bCs/>
                <w:szCs w:val="20"/>
                <w:lang w:val="lt-LT"/>
              </w:rPr>
              <w:t>Projekto pareiškėjo įsipareigojimas vykdyti nuolatinę naujai sukurtos infrastruktūros priežiūrą, atsiradus trūkumams, gedimams, nedelsiant užtikrinti jų šalinimą.</w:t>
            </w:r>
          </w:p>
          <w:p w14:paraId="1A5F3CCD" w14:textId="77777777" w:rsidR="00454E77" w:rsidRPr="00033860" w:rsidRDefault="00454E77" w:rsidP="009E5D1B">
            <w:pPr>
              <w:ind w:firstLine="0"/>
              <w:cnfStyle w:val="000000100000" w:firstRow="0" w:lastRow="0" w:firstColumn="0" w:lastColumn="0" w:oddVBand="0" w:evenVBand="0" w:oddHBand="1" w:evenHBand="0" w:firstRowFirstColumn="0" w:firstRowLastColumn="0" w:lastRowFirstColumn="0" w:lastRowLastColumn="0"/>
              <w:rPr>
                <w:rFonts w:cs="Arial"/>
                <w:szCs w:val="20"/>
                <w:lang w:val="lt-LT" w:eastAsia="lt-LT"/>
              </w:rPr>
            </w:pPr>
            <w:r w:rsidRPr="00033860">
              <w:rPr>
                <w:rFonts w:cs="Arial"/>
                <w:bCs/>
                <w:szCs w:val="20"/>
                <w:lang w:val="lt-LT"/>
              </w:rPr>
              <w:t>Už sutvarkytos infrastruktūros sugadinimą numatyta atsakomybė Lietuvos Respublikos civilinio kodekso ir kitų teisės aktų nustatyta tvarka.</w:t>
            </w:r>
          </w:p>
        </w:tc>
      </w:tr>
    </w:tbl>
    <w:p w14:paraId="352D2877" w14:textId="77777777" w:rsidR="00454E77" w:rsidRPr="00033860" w:rsidRDefault="00454E77" w:rsidP="00454E77">
      <w:pPr>
        <w:spacing w:before="120" w:after="120" w:line="240" w:lineRule="auto"/>
        <w:ind w:left="720" w:firstLine="0"/>
        <w:jc w:val="center"/>
        <w:rPr>
          <w:rFonts w:eastAsia="Times New Roman" w:cs="Arial"/>
          <w:i/>
          <w:color w:val="auto"/>
          <w:sz w:val="20"/>
          <w:szCs w:val="20"/>
        </w:rPr>
      </w:pPr>
      <w:r w:rsidRPr="00033860">
        <w:rPr>
          <w:rFonts w:eastAsia="Times New Roman" w:cs="Arial"/>
          <w:i/>
          <w:iCs/>
          <w:color w:val="3D3923"/>
          <w:sz w:val="20"/>
          <w:szCs w:val="20"/>
          <w:lang w:eastAsia="en-GB"/>
        </w:rPr>
        <w:t>Šaltinis: sudaryta autorių</w:t>
      </w:r>
      <w:bookmarkEnd w:id="436"/>
      <w:bookmarkEnd w:id="437"/>
      <w:bookmarkEnd w:id="438"/>
      <w:bookmarkEnd w:id="439"/>
      <w:bookmarkEnd w:id="440"/>
      <w:bookmarkEnd w:id="441"/>
    </w:p>
    <w:p w14:paraId="2076356C" w14:textId="77777777" w:rsidR="00454E77" w:rsidRPr="00033860" w:rsidRDefault="00454E77" w:rsidP="00454E77">
      <w:pPr>
        <w:tabs>
          <w:tab w:val="left" w:pos="639"/>
          <w:tab w:val="left" w:pos="5387"/>
          <w:tab w:val="left" w:pos="7513"/>
        </w:tabs>
        <w:spacing w:after="0" w:line="240" w:lineRule="auto"/>
        <w:rPr>
          <w:rFonts w:asciiTheme="minorHAnsi" w:hAnsiTheme="minorHAnsi" w:cstheme="minorHAnsi"/>
          <w:iCs/>
          <w:sz w:val="20"/>
          <w:szCs w:val="20"/>
        </w:rPr>
      </w:pPr>
    </w:p>
    <w:p w14:paraId="093C3EC5" w14:textId="77777777" w:rsidR="009546C8" w:rsidRDefault="009546C8">
      <w:pPr>
        <w:ind w:firstLine="0"/>
        <w:jc w:val="left"/>
        <w:rPr>
          <w:rFonts w:eastAsiaTheme="majorEastAsia" w:cstheme="majorBidi"/>
          <w:b/>
          <w:caps/>
          <w:color w:val="002060"/>
          <w:sz w:val="28"/>
          <w:szCs w:val="32"/>
        </w:rPr>
      </w:pPr>
      <w:bookmarkStart w:id="622" w:name="_Toc123288147"/>
      <w:bookmarkStart w:id="623" w:name="_Toc159421980"/>
      <w:bookmarkStart w:id="624" w:name="_Toc160544958"/>
      <w:bookmarkStart w:id="625" w:name="_Toc161166420"/>
      <w:bookmarkStart w:id="626" w:name="_Toc165372665"/>
      <w:bookmarkStart w:id="627" w:name="_Toc171350858"/>
      <w:bookmarkStart w:id="628" w:name="_Toc171351008"/>
      <w:bookmarkStart w:id="629" w:name="_Toc171355496"/>
      <w:r>
        <w:br w:type="page"/>
      </w:r>
    </w:p>
    <w:p w14:paraId="71EC420E" w14:textId="7C37F198" w:rsidR="00454E77" w:rsidRPr="006E0A53" w:rsidRDefault="00454E77" w:rsidP="009546C8">
      <w:pPr>
        <w:pStyle w:val="Antrat1"/>
        <w:rPr>
          <w:rFonts w:asciiTheme="minorHAnsi" w:hAnsiTheme="minorHAnsi" w:cstheme="minorHAnsi"/>
          <w:sz w:val="20"/>
          <w:szCs w:val="20"/>
        </w:rPr>
      </w:pPr>
      <w:r w:rsidRPr="006E0A53">
        <w:lastRenderedPageBreak/>
        <w:t>7. Projekto vykdymo planas</w:t>
      </w:r>
      <w:bookmarkEnd w:id="622"/>
      <w:bookmarkEnd w:id="623"/>
      <w:bookmarkEnd w:id="624"/>
      <w:bookmarkEnd w:id="625"/>
      <w:bookmarkEnd w:id="626"/>
      <w:bookmarkEnd w:id="627"/>
      <w:bookmarkEnd w:id="628"/>
      <w:bookmarkEnd w:id="629"/>
    </w:p>
    <w:p w14:paraId="0FAEFA6A" w14:textId="77777777" w:rsidR="00454E77" w:rsidRPr="006E0A53" w:rsidRDefault="00454E77" w:rsidP="00454E77">
      <w:pPr>
        <w:pStyle w:val="Poskyris"/>
        <w:rPr>
          <w:rFonts w:asciiTheme="minorHAnsi" w:hAnsiTheme="minorHAnsi" w:cstheme="minorHAnsi"/>
          <w:sz w:val="20"/>
          <w:szCs w:val="20"/>
        </w:rPr>
      </w:pPr>
      <w:bookmarkStart w:id="630" w:name="_Toc120200028"/>
      <w:bookmarkStart w:id="631" w:name="_Toc123288148"/>
      <w:bookmarkStart w:id="632" w:name="_Toc159421981"/>
      <w:bookmarkStart w:id="633" w:name="_Toc161166421"/>
      <w:bookmarkStart w:id="634" w:name="_Toc165372666"/>
      <w:bookmarkStart w:id="635" w:name="_Toc171350859"/>
      <w:bookmarkStart w:id="636" w:name="_Toc171351009"/>
      <w:bookmarkStart w:id="637" w:name="_Toc171355497"/>
      <w:r w:rsidRPr="006E0A53">
        <w:t>7.1. Projekto trukmė ir etapai</w:t>
      </w:r>
      <w:bookmarkEnd w:id="630"/>
      <w:bookmarkEnd w:id="631"/>
      <w:bookmarkEnd w:id="632"/>
      <w:bookmarkEnd w:id="633"/>
      <w:bookmarkEnd w:id="634"/>
      <w:bookmarkEnd w:id="635"/>
      <w:bookmarkEnd w:id="636"/>
      <w:bookmarkEnd w:id="637"/>
    </w:p>
    <w:p w14:paraId="46C97A91" w14:textId="5ED17804" w:rsidR="00454E77" w:rsidRPr="00033860" w:rsidRDefault="00454E77" w:rsidP="00454E77">
      <w:r w:rsidRPr="00033860">
        <w:t>Projektas bus įgyvendintas iki 202</w:t>
      </w:r>
      <w:r w:rsidR="00E3484D">
        <w:t>8</w:t>
      </w:r>
      <w:r w:rsidRPr="00033860">
        <w:t xml:space="preserve"> m. </w:t>
      </w:r>
      <w:r w:rsidRPr="00033860">
        <w:rPr>
          <w:rFonts w:cs="Arial"/>
        </w:rPr>
        <w:t>I</w:t>
      </w:r>
      <w:r w:rsidR="00E3484D">
        <w:rPr>
          <w:rFonts w:cs="Arial"/>
        </w:rPr>
        <w:t>V</w:t>
      </w:r>
      <w:r w:rsidRPr="00033860">
        <w:rPr>
          <w:rFonts w:cs="Arial"/>
        </w:rPr>
        <w:t xml:space="preserve"> </w:t>
      </w:r>
      <w:proofErr w:type="spellStart"/>
      <w:r w:rsidRPr="00033860">
        <w:rPr>
          <w:rFonts w:cs="Arial"/>
        </w:rPr>
        <w:t>ketv</w:t>
      </w:r>
      <w:proofErr w:type="spellEnd"/>
      <w:r w:rsidRPr="00033860">
        <w:rPr>
          <w:rFonts w:cs="Arial"/>
        </w:rPr>
        <w:t>. imtinai.</w:t>
      </w:r>
      <w:r w:rsidRPr="00033860">
        <w:t xml:space="preserve"> Šis laikotarpis yra realus visiems numatytiems darbams suorganizuoti ir įvykdyti. Projektas į etapus skaidomas nebus ir bus įgyvendinamas kaip vienas kompleksinis projektas. Pirmieji projekto įgyvendinimo metai bus pirmieji projekto išlaidų patyrimo metai (nuliniai metai). Planuojama, kad projekto sutartis bus pasirašyta 202</w:t>
      </w:r>
      <w:r w:rsidR="00E3484D">
        <w:t>5</w:t>
      </w:r>
      <w:r w:rsidRPr="00033860">
        <w:t xml:space="preserve"> metų </w:t>
      </w:r>
      <w:r w:rsidR="00E3484D">
        <w:t>spalio</w:t>
      </w:r>
      <w:r w:rsidRPr="00033860">
        <w:t xml:space="preserve"> mėn. Įgyvendinamo projekto atveju nuliniai įgyvendinimo metai bus 2024 metai, 2025 metai bus pirmieji projekto įgyvendinimo metai, o projekto veiklų įgyvendinimo pabaiga – 202</w:t>
      </w:r>
      <w:r w:rsidR="00E3484D">
        <w:t>8</w:t>
      </w:r>
      <w:r w:rsidRPr="00033860">
        <w:t xml:space="preserve"> m. </w:t>
      </w:r>
      <w:r w:rsidRPr="00033860">
        <w:rPr>
          <w:rFonts w:cs="Arial"/>
        </w:rPr>
        <w:t>I</w:t>
      </w:r>
      <w:r w:rsidR="00E3484D">
        <w:rPr>
          <w:rFonts w:cs="Arial"/>
        </w:rPr>
        <w:t>V</w:t>
      </w:r>
      <w:r w:rsidRPr="00033860">
        <w:rPr>
          <w:rFonts w:cs="Arial"/>
        </w:rPr>
        <w:t xml:space="preserve"> </w:t>
      </w:r>
      <w:proofErr w:type="spellStart"/>
      <w:r w:rsidRPr="00033860">
        <w:rPr>
          <w:rFonts w:cs="Arial"/>
        </w:rPr>
        <w:t>ketv</w:t>
      </w:r>
      <w:proofErr w:type="spellEnd"/>
      <w:r w:rsidRPr="00033860">
        <w:rPr>
          <w:rFonts w:cs="Arial"/>
        </w:rPr>
        <w:t>. imtinai.</w:t>
      </w:r>
    </w:p>
    <w:p w14:paraId="3A6FE026" w14:textId="77777777" w:rsidR="00454E77" w:rsidRPr="006E0A53" w:rsidRDefault="00454E77" w:rsidP="00454E77">
      <w:pPr>
        <w:pStyle w:val="Poskyris"/>
        <w:rPr>
          <w:rFonts w:asciiTheme="minorHAnsi" w:hAnsiTheme="minorHAnsi" w:cstheme="minorHAnsi"/>
          <w:sz w:val="20"/>
          <w:szCs w:val="20"/>
        </w:rPr>
      </w:pPr>
      <w:bookmarkStart w:id="638" w:name="_Toc120200029"/>
      <w:bookmarkStart w:id="639" w:name="_Toc123288149"/>
      <w:bookmarkStart w:id="640" w:name="_Toc159421982"/>
      <w:bookmarkStart w:id="641" w:name="_Toc161166422"/>
      <w:bookmarkStart w:id="642" w:name="_Toc165372667"/>
      <w:bookmarkStart w:id="643" w:name="_Toc171350860"/>
      <w:bookmarkStart w:id="644" w:name="_Toc171351010"/>
      <w:bookmarkStart w:id="645" w:name="_Toc171355498"/>
      <w:r w:rsidRPr="006E0A53">
        <w:t>7.2. Projekto vieta</w:t>
      </w:r>
      <w:bookmarkEnd w:id="638"/>
      <w:bookmarkEnd w:id="639"/>
      <w:bookmarkEnd w:id="640"/>
      <w:bookmarkEnd w:id="641"/>
      <w:bookmarkEnd w:id="642"/>
      <w:bookmarkEnd w:id="643"/>
      <w:bookmarkEnd w:id="644"/>
      <w:bookmarkEnd w:id="645"/>
    </w:p>
    <w:p w14:paraId="70F6D29D" w14:textId="3A892A17" w:rsidR="00454E77" w:rsidRPr="00033860" w:rsidRDefault="00454E77" w:rsidP="00454E77">
      <w:r w:rsidRPr="00033860">
        <w:t xml:space="preserve">Projekto veiklų vieta </w:t>
      </w:r>
      <w:r w:rsidR="00E3484D">
        <w:t>Utenos rajono savivaldybė, Aukštakalnio kvartalas</w:t>
      </w:r>
      <w:r w:rsidRPr="00033860">
        <w:t>.</w:t>
      </w:r>
    </w:p>
    <w:p w14:paraId="47FAD5CF" w14:textId="47CFD57E" w:rsidR="00454E77" w:rsidRPr="00033860" w:rsidRDefault="00E3484D" w:rsidP="00454E77">
      <w:pPr>
        <w:autoSpaceDE w:val="0"/>
        <w:autoSpaceDN w:val="0"/>
        <w:adjustRightInd w:val="0"/>
        <w:spacing w:after="0"/>
        <w:ind w:right="-108" w:firstLine="0"/>
        <w:jc w:val="center"/>
        <w:rPr>
          <w:rFonts w:eastAsiaTheme="majorEastAsia" w:cstheme="majorBidi"/>
          <w:b/>
          <w:color w:val="002060"/>
          <w:kern w:val="28"/>
          <w:sz w:val="24"/>
          <w:szCs w:val="56"/>
        </w:rPr>
      </w:pPr>
      <w:r>
        <w:rPr>
          <w:noProof/>
        </w:rPr>
        <w:drawing>
          <wp:inline distT="0" distB="0" distL="0" distR="0" wp14:anchorId="0B3E23E2" wp14:editId="5C4C923D">
            <wp:extent cx="6480175" cy="5545777"/>
            <wp:effectExtent l="0" t="0" r="0" b="0"/>
            <wp:docPr id="435352530" name="Paveikslėlis 1" descr="Paveikslėlis, kuriame yra Fotografija iš oro, Vaizdas iš paukščio skrydžio, iš or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52530" name="Paveikslėlis 1" descr="Paveikslėlis, kuriame yra Fotografija iš oro, Vaizdas iš paukščio skrydžio, iš oro, žemėlapis&#10;&#10;Dirbtinio intelekto sugeneruotas turinys gali būti neteisingas."/>
                    <pic:cNvPicPr/>
                  </pic:nvPicPr>
                  <pic:blipFill rotWithShape="1">
                    <a:blip r:embed="rId26"/>
                    <a:srcRect b="6833"/>
                    <a:stretch/>
                  </pic:blipFill>
                  <pic:spPr bwMode="auto">
                    <a:xfrm>
                      <a:off x="0" y="0"/>
                      <a:ext cx="6480175" cy="5545777"/>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00454E77" w:rsidRPr="00033860">
        <w:rPr>
          <w:rFonts w:eastAsiaTheme="majorEastAsia" w:cstheme="majorBidi"/>
          <w:b/>
          <w:color w:val="002060"/>
          <w:kern w:val="28"/>
          <w:sz w:val="24"/>
          <w:szCs w:val="56"/>
        </w:rPr>
        <w:t xml:space="preserve">     </w:t>
      </w:r>
    </w:p>
    <w:p w14:paraId="7CE93AF1" w14:textId="6F3A12F8" w:rsidR="00454E77" w:rsidRPr="00033860" w:rsidRDefault="00454E77" w:rsidP="00454E77">
      <w:pPr>
        <w:autoSpaceDE w:val="0"/>
        <w:autoSpaceDN w:val="0"/>
        <w:adjustRightInd w:val="0"/>
        <w:spacing w:after="120"/>
        <w:ind w:firstLine="0"/>
        <w:jc w:val="center"/>
        <w:rPr>
          <w:rFonts w:eastAsiaTheme="majorEastAsia" w:cstheme="majorBidi"/>
          <w:b/>
          <w:color w:val="002060"/>
          <w:kern w:val="28"/>
        </w:rPr>
      </w:pPr>
      <w:bookmarkStart w:id="646" w:name="_Toc161166311"/>
      <w:bookmarkStart w:id="647" w:name="_Toc163225298"/>
      <w:bookmarkStart w:id="648" w:name="_Toc165367195"/>
      <w:bookmarkStart w:id="649" w:name="_Toc165372604"/>
      <w:r w:rsidRPr="00033860">
        <w:rPr>
          <w:rFonts w:eastAsiaTheme="majorEastAsia" w:cstheme="majorBidi"/>
          <w:b/>
          <w:color w:val="002060"/>
          <w:kern w:val="28"/>
        </w:rPr>
        <w:t xml:space="preserve">7.2.1. pav. </w:t>
      </w:r>
      <w:bookmarkEnd w:id="646"/>
      <w:bookmarkEnd w:id="647"/>
      <w:r w:rsidRPr="00033860">
        <w:rPr>
          <w:rFonts w:eastAsiaTheme="majorEastAsia" w:cstheme="majorBidi"/>
          <w:b/>
          <w:color w:val="002060"/>
          <w:kern w:val="28"/>
        </w:rPr>
        <w:t xml:space="preserve">Projekto vieta – </w:t>
      </w:r>
      <w:r w:rsidR="00E3484D" w:rsidRPr="00E3484D">
        <w:rPr>
          <w:rFonts w:eastAsiaTheme="majorEastAsia" w:cstheme="majorBidi"/>
          <w:b/>
          <w:color w:val="002060"/>
          <w:kern w:val="28"/>
        </w:rPr>
        <w:t>Aukštakalnio daugiabučių namų mikrorajono teritorij</w:t>
      </w:r>
      <w:r w:rsidR="00E3484D">
        <w:rPr>
          <w:rFonts w:eastAsiaTheme="majorEastAsia" w:cstheme="majorBidi"/>
          <w:b/>
          <w:color w:val="002060"/>
          <w:kern w:val="28"/>
        </w:rPr>
        <w:t xml:space="preserve">a </w:t>
      </w:r>
      <w:r w:rsidR="00E3484D" w:rsidRPr="00E3484D">
        <w:rPr>
          <w:rFonts w:eastAsiaTheme="majorEastAsia" w:cstheme="majorBidi"/>
          <w:b/>
          <w:color w:val="002060"/>
          <w:kern w:val="28"/>
        </w:rPr>
        <w:t>(apribot</w:t>
      </w:r>
      <w:r w:rsidR="00E3484D">
        <w:rPr>
          <w:rFonts w:eastAsiaTheme="majorEastAsia" w:cstheme="majorBidi"/>
          <w:b/>
          <w:color w:val="002060"/>
          <w:kern w:val="28"/>
        </w:rPr>
        <w:t>a</w:t>
      </w:r>
      <w:r w:rsidR="00E3484D" w:rsidRPr="00E3484D">
        <w:rPr>
          <w:rFonts w:eastAsiaTheme="majorEastAsia" w:cstheme="majorBidi"/>
          <w:b/>
          <w:color w:val="002060"/>
          <w:kern w:val="28"/>
        </w:rPr>
        <w:t xml:space="preserve"> Aukštakalnio g., Taikos g., Kupiškio g. ir Vyžuonos parku)</w:t>
      </w:r>
      <w:r w:rsidR="00E3484D">
        <w:rPr>
          <w:rFonts w:eastAsiaTheme="majorEastAsia" w:cstheme="majorBidi"/>
          <w:b/>
          <w:color w:val="002060"/>
          <w:kern w:val="28"/>
        </w:rPr>
        <w:t xml:space="preserve">, Utenos rajono savivaldybės </w:t>
      </w:r>
      <w:r w:rsidRPr="00033860">
        <w:rPr>
          <w:rFonts w:eastAsiaTheme="majorEastAsia" w:cstheme="majorBidi"/>
          <w:b/>
          <w:color w:val="002060"/>
          <w:kern w:val="28"/>
        </w:rPr>
        <w:t>teritorijoje</w:t>
      </w:r>
      <w:bookmarkEnd w:id="648"/>
      <w:bookmarkEnd w:id="649"/>
    </w:p>
    <w:p w14:paraId="1A871A1A" w14:textId="77777777" w:rsidR="00454E77" w:rsidRPr="00033860" w:rsidRDefault="00454E77" w:rsidP="00454E77">
      <w:pPr>
        <w:ind w:firstLine="0"/>
        <w:jc w:val="center"/>
        <w:rPr>
          <w:i/>
          <w:iCs/>
          <w:sz w:val="18"/>
          <w:szCs w:val="18"/>
        </w:rPr>
      </w:pPr>
      <w:r w:rsidRPr="00033860">
        <w:rPr>
          <w:i/>
          <w:iCs/>
          <w:sz w:val="18"/>
          <w:szCs w:val="18"/>
        </w:rPr>
        <w:t>Šaltinis: sudaryta autorių</w:t>
      </w:r>
    </w:p>
    <w:p w14:paraId="4C01164F" w14:textId="77777777" w:rsidR="00454E77" w:rsidRPr="006E0A53" w:rsidRDefault="00454E77" w:rsidP="00454E77">
      <w:pPr>
        <w:pStyle w:val="Poskyris"/>
        <w:rPr>
          <w:rFonts w:asciiTheme="minorHAnsi" w:hAnsiTheme="minorHAnsi" w:cstheme="minorHAnsi"/>
          <w:sz w:val="20"/>
          <w:szCs w:val="20"/>
        </w:rPr>
      </w:pPr>
      <w:bookmarkStart w:id="650" w:name="_Toc120200030"/>
      <w:bookmarkStart w:id="651" w:name="_Toc123288150"/>
      <w:bookmarkStart w:id="652" w:name="_Toc159421983"/>
      <w:bookmarkStart w:id="653" w:name="_Toc161166423"/>
      <w:bookmarkStart w:id="654" w:name="_Toc165372668"/>
      <w:bookmarkStart w:id="655" w:name="_Toc171350861"/>
      <w:bookmarkStart w:id="656" w:name="_Toc171351011"/>
      <w:bookmarkStart w:id="657" w:name="_Toc171355499"/>
      <w:r w:rsidRPr="006E0A53">
        <w:lastRenderedPageBreak/>
        <w:t>7.3. Projekto komanda</w:t>
      </w:r>
      <w:bookmarkEnd w:id="650"/>
      <w:bookmarkEnd w:id="651"/>
      <w:bookmarkEnd w:id="652"/>
      <w:bookmarkEnd w:id="653"/>
      <w:bookmarkEnd w:id="654"/>
      <w:bookmarkEnd w:id="655"/>
      <w:bookmarkEnd w:id="656"/>
      <w:bookmarkEnd w:id="657"/>
    </w:p>
    <w:p w14:paraId="60C1BDBF" w14:textId="73F81D93" w:rsidR="00454E77" w:rsidRPr="00033860" w:rsidRDefault="00E3484D" w:rsidP="00454E77">
      <w:pPr>
        <w:spacing w:before="120" w:after="120" w:line="276" w:lineRule="auto"/>
        <w:rPr>
          <w:rFonts w:cs="Times New Roman"/>
          <w:bCs/>
        </w:rPr>
      </w:pPr>
      <w:r>
        <w:rPr>
          <w:rFonts w:cs="Times New Roman"/>
          <w:bCs/>
        </w:rPr>
        <w:t>Utenos rajono</w:t>
      </w:r>
      <w:r w:rsidR="00454E77" w:rsidRPr="00033860">
        <w:rPr>
          <w:rFonts w:cs="Times New Roman"/>
          <w:bCs/>
        </w:rPr>
        <w:t xml:space="preserve"> savivaldybės administracija skirs projekto vadovą ir finansininką, turinčius gerus administravimo gebėjimus ir patirties Europos Sąjungos struktūrinių fondų finansuojamų projektų įgyvendinimo, infrastruktūros projektų valdymo, apskaitos ir viešųjų pirkimų srityse.</w:t>
      </w:r>
    </w:p>
    <w:p w14:paraId="03993B8E" w14:textId="77777777" w:rsidR="00454E77" w:rsidRPr="00033860" w:rsidRDefault="00454E77" w:rsidP="00454E77">
      <w:pPr>
        <w:spacing w:before="120" w:after="120" w:line="276" w:lineRule="auto"/>
        <w:rPr>
          <w:rFonts w:cs="Times New Roman"/>
          <w:bCs/>
        </w:rPr>
      </w:pPr>
      <w:r w:rsidRPr="00033860">
        <w:rPr>
          <w:rFonts w:cs="Times New Roman"/>
          <w:bCs/>
        </w:rPr>
        <w:t xml:space="preserve">Projekto vadovas: atsakingas už sėkmingą projekto įgyvendinimą; vertina projekto pažangą ir pasiektus rezultatus; bendrauja su projektą vertinančiomis, administruojančiomis, kontroliuojančiomis, audituojančiomis ir kitomis institucijomis; organizuoja projekto dokumentų tinkamą saugojimą išskyrus finansinių, tvarkymą ir užtikrina jų pateikimą projektą administruojančioms ir (ar) audituojančioms institucijoms; vykdo kitas sėkmingam projekto įgyvendinimui reikalingas funkcijas. </w:t>
      </w:r>
    </w:p>
    <w:p w14:paraId="288E7108" w14:textId="77777777" w:rsidR="00454E77" w:rsidRPr="00033860" w:rsidRDefault="00454E77" w:rsidP="00454E77">
      <w:pPr>
        <w:spacing w:before="120" w:after="120" w:line="276" w:lineRule="auto"/>
        <w:rPr>
          <w:rFonts w:cs="Arial"/>
          <w:bCs/>
        </w:rPr>
      </w:pPr>
      <w:r w:rsidRPr="00033860">
        <w:rPr>
          <w:rFonts w:cs="Times New Roman"/>
          <w:bCs/>
        </w:rPr>
        <w:t>Projekto finansininkas: tvarko atsiskaitymų su paslaugų teikėjais, rangovais ir prekių tiekėjais apskaitą; yra atsakingas už tinkamą projekto apskaitos dokumentų saugojimą, tvarkymą ir užtikrina jų pateikimą projektą administruojančioms ir (ar) audituojančioms institucijoms; vykdo bankinius pavedimus; esant poreikiui, rengia ir pristato projekto finansines ataskaitas; vykdo kitas sėkmingam projekto įgyvendinimui reikalingas funkcijas.</w:t>
      </w:r>
    </w:p>
    <w:p w14:paraId="7B930D74" w14:textId="77777777" w:rsidR="00454E77" w:rsidRPr="006E0A53" w:rsidRDefault="00454E77" w:rsidP="00454E77">
      <w:pPr>
        <w:pStyle w:val="Poskyris"/>
        <w:rPr>
          <w:rFonts w:asciiTheme="minorHAnsi" w:hAnsiTheme="minorHAnsi" w:cstheme="minorHAnsi"/>
          <w:sz w:val="20"/>
          <w:szCs w:val="20"/>
        </w:rPr>
      </w:pPr>
      <w:bookmarkStart w:id="658" w:name="_Toc120200031"/>
      <w:bookmarkStart w:id="659" w:name="_Toc123288151"/>
      <w:bookmarkStart w:id="660" w:name="_Toc159421984"/>
      <w:bookmarkStart w:id="661" w:name="_Toc161166424"/>
      <w:bookmarkStart w:id="662" w:name="_Toc165372669"/>
      <w:bookmarkStart w:id="663" w:name="_Toc171350862"/>
      <w:bookmarkStart w:id="664" w:name="_Toc171351012"/>
      <w:bookmarkStart w:id="665" w:name="_Toc171355500"/>
      <w:r w:rsidRPr="006E0A53">
        <w:t>7.4. Projekto tęstinumas</w:t>
      </w:r>
      <w:bookmarkEnd w:id="658"/>
      <w:bookmarkEnd w:id="659"/>
      <w:bookmarkEnd w:id="660"/>
      <w:bookmarkEnd w:id="661"/>
      <w:bookmarkEnd w:id="662"/>
      <w:bookmarkEnd w:id="663"/>
      <w:bookmarkEnd w:id="664"/>
      <w:bookmarkEnd w:id="665"/>
    </w:p>
    <w:p w14:paraId="53781B44" w14:textId="77777777" w:rsidR="00454E77" w:rsidRPr="00033860" w:rsidRDefault="00454E77" w:rsidP="00454E77">
      <w:pPr>
        <w:spacing w:before="120" w:after="120" w:line="276" w:lineRule="auto"/>
        <w:rPr>
          <w:rFonts w:cs="Times New Roman"/>
          <w:bCs/>
        </w:rPr>
      </w:pPr>
      <w:r w:rsidRPr="00033860">
        <w:rPr>
          <w:rFonts w:cs="Times New Roman"/>
          <w:bCs/>
        </w:rPr>
        <w:t xml:space="preserve">Inicijuojant projektą yra numatomos šios pagrindinės prielaidos, kurias išpildžius projekto įgyvendinimas bus sėkmingas: </w:t>
      </w:r>
    </w:p>
    <w:p w14:paraId="41BAF0EC" w14:textId="3E8D367F"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projektas išspręs identifikuotą problemą ir prisidės prie subalansuotos, efektyvių išteklių naudojimu grindžiamos plėtros </w:t>
      </w:r>
      <w:r w:rsidR="00E3484D">
        <w:rPr>
          <w:rFonts w:cs="Times New Roman"/>
          <w:bCs/>
        </w:rPr>
        <w:t>Utenos rajono</w:t>
      </w:r>
      <w:r w:rsidRPr="00033860">
        <w:rPr>
          <w:rFonts w:cs="Times New Roman"/>
          <w:bCs/>
        </w:rPr>
        <w:t xml:space="preserve"> savivaldybėje; </w:t>
      </w:r>
    </w:p>
    <w:p w14:paraId="3BB952D2" w14:textId="6D23CEDA"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gyvenamosios ir investicinės aplinkos gerinimo poreikis </w:t>
      </w:r>
      <w:r w:rsidR="00E3484D">
        <w:rPr>
          <w:rFonts w:cs="Times New Roman"/>
          <w:bCs/>
        </w:rPr>
        <w:t>Utenos rajono</w:t>
      </w:r>
      <w:r w:rsidRPr="00033860">
        <w:rPr>
          <w:rFonts w:cs="Times New Roman"/>
          <w:bCs/>
        </w:rPr>
        <w:t xml:space="preserve"> savivaldybėje išliks nuolatinis ir augantis; </w:t>
      </w:r>
    </w:p>
    <w:p w14:paraId="4FAB07E6" w14:textId="5688F124"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projekto įgyvendinimui bus panaudotos ES struktūrinių fondų ir </w:t>
      </w:r>
      <w:r w:rsidR="00E3484D">
        <w:rPr>
          <w:rFonts w:cs="Times New Roman"/>
          <w:bCs/>
        </w:rPr>
        <w:t>Utenos rajono</w:t>
      </w:r>
      <w:r w:rsidRPr="00033860">
        <w:rPr>
          <w:rFonts w:cs="Times New Roman"/>
          <w:bCs/>
        </w:rPr>
        <w:t xml:space="preserve"> savivaldybės lėšos.</w:t>
      </w:r>
    </w:p>
    <w:p w14:paraId="6F5AD293" w14:textId="77777777" w:rsidR="00454E77" w:rsidRPr="00033860" w:rsidRDefault="00454E77" w:rsidP="00454E77">
      <w:pPr>
        <w:spacing w:before="120" w:after="120" w:line="276" w:lineRule="auto"/>
        <w:ind w:firstLine="0"/>
        <w:rPr>
          <w:rFonts w:cs="Times New Roman"/>
          <w:bCs/>
        </w:rPr>
      </w:pPr>
      <w:r w:rsidRPr="00033860">
        <w:rPr>
          <w:rFonts w:cs="Times New Roman"/>
          <w:bCs/>
        </w:rPr>
        <w:t xml:space="preserve">Inicijuojamo projekto tęstinumas bus užtikrintas šiais lygmenimis: </w:t>
      </w:r>
    </w:p>
    <w:p w14:paraId="0A4D514F" w14:textId="458D6252"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Instituciniu (teisiniu). Pagrindinė sąlyga, kuri įtakoja projekto įgyvendinimą instituciniu aspektu, yra su projektu susijusios viešosios paslaugos pobūdis. Kaip minėta, projektas glaudžiai susijęs su savivaldybės savarankiškųjų funkcijų vykdymui (žr. 1.3. skyrių). Šių funkcijų įgyvendinimą, o kartu ir su jomis susijusios infrastruktūros plėtros organizavimą turi vykdyti pati savivaldybė. Tai ji gali padaryti pati (per pavaldžias įstaigas ar įmones) arba įstatymų nustatyta tvarka paslaugos teikimą patikėti vykdyti kitiems juridiniams asmenims. Įgyvendinus projektą nuosavybės ir disponavimo teisių pasikeitimas per projekto ataskaitinį laikotarpį nenumatomas. Projekto rezultatais galės naudoti visi Lietuvos gyventojai ir svečiai – jokie infrastruktūros naudojimo apribojimai nėra numatomi. Įstatymų ar poįstatyminių teisės aktų pasikeitimai, kurie galėtų riboti naudojimą šia infrastruktūra taip pat nenumatomi. Projekto įgyvendinimo institucinį tęstinumą užtikrina ir tai, jog projekto metu numatomi įgyvendinti darbai numatyti </w:t>
      </w:r>
      <w:r w:rsidR="00E3484D">
        <w:rPr>
          <w:rFonts w:cs="Times New Roman"/>
          <w:bCs/>
        </w:rPr>
        <w:t>Utenos rajono</w:t>
      </w:r>
      <w:r w:rsidRPr="00033860">
        <w:rPr>
          <w:rFonts w:cs="Times New Roman"/>
          <w:bCs/>
        </w:rPr>
        <w:t xml:space="preserve"> savivaldybės bei nacionaliniuose strateginiuose dokumentuose (žr. 1.3. skyrių).</w:t>
      </w:r>
    </w:p>
    <w:p w14:paraId="5334F992" w14:textId="77EA3EEA"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Finansiniu. Projekto metu sukurtai infrastruktūrai bus užtikrintas reikalingas finansavimas. Infrastruktūros priežiūra ir eksploatacija rūpinsis </w:t>
      </w:r>
      <w:r w:rsidR="00E3484D">
        <w:rPr>
          <w:rFonts w:cs="Times New Roman"/>
          <w:bCs/>
        </w:rPr>
        <w:t>Utenos rajono</w:t>
      </w:r>
      <w:r w:rsidRPr="00033860">
        <w:rPr>
          <w:rFonts w:cs="Times New Roman"/>
          <w:bCs/>
        </w:rPr>
        <w:t xml:space="preserve"> savivaldybė, kuri kasmet skirs reikalingas lėšas atnaujintos ir išplėstos infrastruktūros priežiūrai ir tinkamos būklės palaikymui. </w:t>
      </w:r>
    </w:p>
    <w:p w14:paraId="325746E2" w14:textId="77777777"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t xml:space="preserve">Technologiniu. Prognozuojama, kad, rekonstravus viešąją infrastruktūrą jokie papildomi didesni remontai (kapitalinis ar rekonstrukcija) nebus reikalingi bent 15 metų. Numatomos naudoti technologijos yra pažangios, patvarios ir ilgaamžės. </w:t>
      </w:r>
    </w:p>
    <w:p w14:paraId="594714B5" w14:textId="77777777" w:rsidR="00454E77" w:rsidRPr="00033860" w:rsidRDefault="00454E77" w:rsidP="00454E77">
      <w:pPr>
        <w:numPr>
          <w:ilvl w:val="0"/>
          <w:numId w:val="28"/>
        </w:numPr>
        <w:spacing w:before="120" w:after="120" w:line="276" w:lineRule="auto"/>
        <w:ind w:left="567" w:hanging="567"/>
        <w:rPr>
          <w:rFonts w:cs="Times New Roman"/>
          <w:bCs/>
        </w:rPr>
      </w:pPr>
      <w:r w:rsidRPr="00033860">
        <w:rPr>
          <w:rFonts w:cs="Times New Roman"/>
          <w:bCs/>
        </w:rPr>
        <w:lastRenderedPageBreak/>
        <w:t xml:space="preserve">Aplinkosauginiu. Projekto metu bus naudojamos sertifikuotos ir visus aplinkosauginius reikalavimus atitinkančios medžiagos, todėl aplinkosauginiu požiūriu poveikis aplinkai bus minimalus. Todėl bendras poveikis aplinkosauginiu požiūriu yra teigiamas. </w:t>
      </w:r>
    </w:p>
    <w:p w14:paraId="16F23DF8" w14:textId="707C829A" w:rsidR="00454E77" w:rsidRPr="006E0A53" w:rsidRDefault="00454E77" w:rsidP="00454E77">
      <w:pPr>
        <w:pStyle w:val="Poskyris"/>
      </w:pPr>
      <w:bookmarkStart w:id="666" w:name="_Toc120200032"/>
      <w:bookmarkStart w:id="667" w:name="_Toc123288152"/>
      <w:bookmarkStart w:id="668" w:name="_Toc159421985"/>
      <w:bookmarkStart w:id="669" w:name="_Toc161166425"/>
      <w:bookmarkStart w:id="670" w:name="_Toc165372670"/>
      <w:bookmarkStart w:id="671" w:name="_Toc171350863"/>
      <w:bookmarkStart w:id="672" w:name="_Toc171351013"/>
      <w:bookmarkStart w:id="673" w:name="_Toc171355501"/>
      <w:r w:rsidRPr="006E0A53">
        <w:t>7.5. Kitos išvados</w:t>
      </w:r>
      <w:bookmarkEnd w:id="666"/>
      <w:bookmarkEnd w:id="667"/>
      <w:bookmarkEnd w:id="668"/>
      <w:bookmarkEnd w:id="669"/>
      <w:bookmarkEnd w:id="670"/>
      <w:bookmarkEnd w:id="671"/>
      <w:bookmarkEnd w:id="672"/>
      <w:bookmarkEnd w:id="673"/>
    </w:p>
    <w:p w14:paraId="757909A6" w14:textId="77777777" w:rsidR="007D069E" w:rsidRPr="00327C1C" w:rsidRDefault="007D069E" w:rsidP="007D069E">
      <w:pPr>
        <w:pStyle w:val="Pagrindinis"/>
      </w:pPr>
      <w:r w:rsidRPr="00327C1C">
        <w:t>Remiantis 2024–2029 m. Utenos miesto tvarios plėtros strategija, vienu iš svarbiausių prioritetų įvardijamas gyvenamųjų rajonų aplinkos gerinimas – šį atsakymą pasirinko didžiausia dalis visuomenės apklausos respondentų. Antroje vietoje pagal svarbą išskiriamas viešųjų erdvių mieste gerinimas, o tai tiesiogiai atitinka šio projekto esmę. Visuomenės apklausos duomenimis, didžiausias dėmesys turėtų būti skiriamas būtent toms miesto teritorijoms, kurios yra tankiausiai apgyvendintos, kur susiduriama su kokybiškų žaliųjų erdvių, saugios infrastruktūros ir bendruomeninių viešųjų zonų trūkumu. Atsižvelgiant į tai, Aukštakalnio mikrorajonas, kaip viena iš urbanizuotų ir tankiai apgyvendintų Utenos miesto dalių, pagrįstai tampa prioritetine investicijų kryptimi.</w:t>
      </w:r>
    </w:p>
    <w:p w14:paraId="0E15BA01" w14:textId="392F2918" w:rsidR="007D069E" w:rsidRPr="007D069E" w:rsidRDefault="007D069E" w:rsidP="007D069E">
      <w:pPr>
        <w:suppressAutoHyphens/>
        <w:autoSpaceDN w:val="0"/>
        <w:textAlignment w:val="baseline"/>
        <w:rPr>
          <w:rFonts w:eastAsia="Calibri" w:cs="Raleway Light"/>
          <w:color w:val="auto"/>
        </w:rPr>
      </w:pPr>
      <w:r w:rsidRPr="0012721A">
        <w:rPr>
          <w:rFonts w:eastAsia="Calibri" w:cs="Arial"/>
          <w:iCs/>
          <w:color w:val="auto"/>
        </w:rPr>
        <w:t xml:space="preserve">Esminė problema kyla dėl didelio gyventojų tankumo ir nepakankamai išplėtotos bei kokybiškai sutvarkytos viešųjų erdvių infrastruktūros. Intensyvus urbanizacijos procesas, vykstantis tankiai apgyvendintoje teritorijoje, riboja galimybes plėtoti viešąsias erdves, kurios yra būtinos kasdieniams gyventojų poreikiams – judėjimui, poilsiui, bendruomeninei veiklai ir socialinei </w:t>
      </w:r>
      <w:proofErr w:type="spellStart"/>
      <w:r w:rsidRPr="0012721A">
        <w:rPr>
          <w:rFonts w:eastAsia="Calibri" w:cs="Arial"/>
          <w:iCs/>
          <w:color w:val="auto"/>
        </w:rPr>
        <w:t>įtraukčiai</w:t>
      </w:r>
      <w:proofErr w:type="spellEnd"/>
      <w:r w:rsidRPr="0012721A">
        <w:rPr>
          <w:rFonts w:eastAsia="Calibri" w:cs="Arial"/>
          <w:iCs/>
          <w:color w:val="auto"/>
        </w:rPr>
        <w:t xml:space="preserve">. Didelis užstatymo tankis mažina erdvinį potencialą kurti naujas viešąsias zonas arba atnaujinti esamas, o pastarosios dėl intensyvaus naudojimo praranda funkcionalumą, estetinę kokybę ir pritaikomumą įvairioms visuomenės grupėms. Tokia situacija daro neigiamą poveikį gyvenamosios aplinkos kokybei ir kelia ilgalaikių iššūkių </w:t>
      </w:r>
      <w:r w:rsidRPr="007D069E">
        <w:rPr>
          <w:rFonts w:eastAsia="Calibri" w:cs="Arial"/>
          <w:iCs/>
          <w:color w:val="auto"/>
        </w:rPr>
        <w:t>miesto tvarumui.</w:t>
      </w:r>
      <w:r w:rsidRPr="007D069E">
        <w:rPr>
          <w:rFonts w:eastAsia="Calibri" w:cs="Raleway Light"/>
          <w:color w:val="auto"/>
        </w:rPr>
        <w:t xml:space="preserve"> Viešųjų erdvių sistema yra svarbi ir neatskiriama urbanistinės struktūros dalis, kuria siekiama subalansuoti urbanistinio ir gamtinio karkaso struktūras, užtikrinti gyvenamosios aplinkos kokybę ir rekreacinius poreikius, palaikyti teritorijos ekologinį stabilumą bei ekosistemų funkcijas, taip pat formuoti patrauklios ir gyventojams palankios gyvenvietės įvaizdį.</w:t>
      </w:r>
    </w:p>
    <w:p w14:paraId="312AE193" w14:textId="5C3E3A12" w:rsidR="007D069E" w:rsidRPr="007D069E" w:rsidRDefault="007D069E" w:rsidP="007D069E">
      <w:pPr>
        <w:rPr>
          <w:b/>
          <w:bCs/>
        </w:rPr>
      </w:pPr>
      <w:r w:rsidRPr="007D069E">
        <w:rPr>
          <w:rFonts w:cs="Arial"/>
        </w:rPr>
        <w:t xml:space="preserve">Suformuota problema – </w:t>
      </w:r>
      <w:r w:rsidRPr="007D069E">
        <w:rPr>
          <w:rFonts w:cs="Arial"/>
          <w:b/>
          <w:bCs/>
        </w:rPr>
        <w:t xml:space="preserve">Nepakankama viešųjų erdvių plėtra ir atnaujinimas Utenos miesto urbanizuotose teritorijose. </w:t>
      </w:r>
    </w:p>
    <w:p w14:paraId="3304F4A3" w14:textId="77777777" w:rsidR="00454E77" w:rsidRPr="007D069E" w:rsidRDefault="00454E77" w:rsidP="00454E77">
      <w:pPr>
        <w:spacing w:line="276" w:lineRule="auto"/>
      </w:pPr>
      <w:r w:rsidRPr="007D069E">
        <w:t>Atnaujinta viešąja infrastruktūra galės naudotis miesto gyventojai ir svečiai. Taip pat bus prisidedama prie socialinių ir ekonominių sąlygų bei gyvenamosios aplinkos kokybės gerinimo. Visos viešosios žaliosios erdvės įrengimo, sutvarkymo ir pritaikymo gyventojų poreikiams veiklos atitiks horizontaliuosius principus.</w:t>
      </w:r>
    </w:p>
    <w:p w14:paraId="6029E941" w14:textId="77777777" w:rsidR="00454E77" w:rsidRPr="006E0A53" w:rsidRDefault="00454E77" w:rsidP="00454E77">
      <w:pPr>
        <w:pStyle w:val="LentelsL"/>
      </w:pPr>
      <w:bookmarkStart w:id="674" w:name="_Toc161166278"/>
      <w:bookmarkStart w:id="675" w:name="_Toc165367109"/>
      <w:bookmarkStart w:id="676" w:name="_Toc165372541"/>
      <w:bookmarkStart w:id="677" w:name="_Toc171350569"/>
      <w:bookmarkStart w:id="678" w:name="_Toc171355261"/>
      <w:bookmarkStart w:id="679" w:name="_Toc198807826"/>
      <w:r w:rsidRPr="006E0A53">
        <w:t>7.5.2. lentelė. Siekiami rodikliai</w:t>
      </w:r>
      <w:bookmarkEnd w:id="674"/>
      <w:bookmarkEnd w:id="675"/>
      <w:bookmarkEnd w:id="676"/>
      <w:bookmarkEnd w:id="677"/>
      <w:bookmarkEnd w:id="678"/>
      <w:bookmarkEnd w:id="679"/>
    </w:p>
    <w:tbl>
      <w:tblPr>
        <w:tblStyle w:val="3sraolentel1parykinimas17"/>
        <w:tblW w:w="5000" w:type="pct"/>
        <w:jc w:val="left"/>
        <w:tblInd w:w="0" w:type="dxa"/>
        <w:tblLook w:val="0000" w:firstRow="0" w:lastRow="0" w:firstColumn="0" w:lastColumn="0" w:noHBand="0" w:noVBand="0"/>
      </w:tblPr>
      <w:tblGrid>
        <w:gridCol w:w="8217"/>
        <w:gridCol w:w="1978"/>
      </w:tblGrid>
      <w:tr w:rsidR="00454E77" w:rsidRPr="007D069E" w14:paraId="0C043E03" w14:textId="77777777" w:rsidTr="007D069E">
        <w:trPr>
          <w:cnfStyle w:val="000000100000" w:firstRow="0" w:lastRow="0" w:firstColumn="0" w:lastColumn="0" w:oddVBand="0" w:evenVBand="0" w:oddHBand="1" w:evenHBand="0" w:firstRowFirstColumn="0" w:firstRowLastColumn="0" w:lastRowFirstColumn="0" w:lastRowLastColumn="0"/>
          <w:trHeight w:val="545"/>
          <w:jc w:val="left"/>
        </w:trPr>
        <w:tc>
          <w:tcPr>
            <w:cnfStyle w:val="000010000000" w:firstRow="0" w:lastRow="0" w:firstColumn="0" w:lastColumn="0" w:oddVBand="1" w:evenVBand="0" w:oddHBand="0" w:evenHBand="0" w:firstRowFirstColumn="0" w:firstRowLastColumn="0" w:lastRowFirstColumn="0" w:lastRowLastColumn="0"/>
            <w:tcW w:w="4030" w:type="pct"/>
            <w:shd w:val="clear" w:color="auto" w:fill="4472C4" w:themeFill="accent1"/>
            <w:vAlign w:val="center"/>
          </w:tcPr>
          <w:p w14:paraId="42E64CDD" w14:textId="77777777" w:rsidR="00454E77" w:rsidRPr="007D069E" w:rsidRDefault="00454E77" w:rsidP="009E5D1B">
            <w:pPr>
              <w:keepNext/>
              <w:ind w:firstLine="0"/>
              <w:jc w:val="center"/>
              <w:rPr>
                <w:rFonts w:cs="Arial"/>
                <w:b/>
                <w:color w:val="FFFFFF" w:themeColor="background1"/>
                <w:sz w:val="22"/>
                <w:lang w:val="lt-LT"/>
              </w:rPr>
            </w:pPr>
            <w:r w:rsidRPr="007D069E">
              <w:rPr>
                <w:rFonts w:cs="Arial"/>
                <w:b/>
                <w:color w:val="FFFFFF" w:themeColor="background1"/>
                <w:sz w:val="22"/>
                <w:lang w:val="lt-LT"/>
              </w:rPr>
              <w:t>Rodiklio pavadinimas</w:t>
            </w:r>
          </w:p>
        </w:tc>
        <w:tc>
          <w:tcPr>
            <w:tcW w:w="970" w:type="pct"/>
            <w:shd w:val="clear" w:color="auto" w:fill="4472C4" w:themeFill="accent1"/>
            <w:vAlign w:val="center"/>
          </w:tcPr>
          <w:p w14:paraId="181F837E" w14:textId="77777777" w:rsidR="00454E77" w:rsidRPr="007D069E" w:rsidRDefault="00454E77" w:rsidP="009E5D1B">
            <w:pPr>
              <w:keepNext/>
              <w:ind w:firstLine="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2"/>
                <w:lang w:val="lt-LT"/>
              </w:rPr>
            </w:pPr>
            <w:r w:rsidRPr="007D069E">
              <w:rPr>
                <w:rFonts w:cs="Arial"/>
                <w:b/>
                <w:color w:val="FFFFFF" w:themeColor="background1"/>
                <w:sz w:val="22"/>
                <w:lang w:val="lt-LT"/>
              </w:rPr>
              <w:t>Minimali siektina reikšmė projektui</w:t>
            </w:r>
          </w:p>
        </w:tc>
      </w:tr>
      <w:tr w:rsidR="00454E77" w:rsidRPr="007D069E" w14:paraId="5B3A58E8" w14:textId="77777777" w:rsidTr="007D069E">
        <w:trPr>
          <w:trHeight w:val="397"/>
          <w:jc w:val="left"/>
        </w:trPr>
        <w:tc>
          <w:tcPr>
            <w:cnfStyle w:val="000010000000" w:firstRow="0" w:lastRow="0" w:firstColumn="0" w:lastColumn="0" w:oddVBand="1" w:evenVBand="0" w:oddHBand="0" w:evenHBand="0" w:firstRowFirstColumn="0" w:firstRowLastColumn="0" w:lastRowFirstColumn="0" w:lastRowLastColumn="0"/>
            <w:tcW w:w="4030" w:type="pct"/>
          </w:tcPr>
          <w:p w14:paraId="19CBA646" w14:textId="77777777" w:rsidR="00454E77" w:rsidRPr="007D069E" w:rsidRDefault="00454E77" w:rsidP="009E5D1B">
            <w:pPr>
              <w:ind w:firstLine="0"/>
              <w:jc w:val="left"/>
              <w:rPr>
                <w:rFonts w:ascii="Times New Roman" w:hAnsi="Times New Roman"/>
                <w:color w:val="auto"/>
                <w:sz w:val="22"/>
                <w:lang w:val="lt-LT"/>
              </w:rPr>
            </w:pPr>
            <w:r w:rsidRPr="007D069E">
              <w:rPr>
                <w:sz w:val="22"/>
                <w:lang w:val="lt-LT"/>
              </w:rPr>
              <w:t>Atviros erdvės, sukurtos arba atkurtos miestų teritorijose (</w:t>
            </w:r>
            <w:proofErr w:type="spellStart"/>
            <w:r w:rsidRPr="007D069E">
              <w:rPr>
                <w:sz w:val="22"/>
                <w:lang w:val="lt-LT"/>
              </w:rPr>
              <w:t>kv.m</w:t>
            </w:r>
            <w:proofErr w:type="spellEnd"/>
            <w:r w:rsidRPr="007D069E">
              <w:rPr>
                <w:sz w:val="22"/>
                <w:lang w:val="lt-LT"/>
              </w:rPr>
              <w:t>.)</w:t>
            </w:r>
          </w:p>
        </w:tc>
        <w:tc>
          <w:tcPr>
            <w:tcW w:w="970" w:type="pct"/>
            <w:vAlign w:val="center"/>
          </w:tcPr>
          <w:p w14:paraId="34B69336" w14:textId="10FB3280" w:rsidR="00454E77" w:rsidRPr="007D069E" w:rsidRDefault="007D069E" w:rsidP="009E5D1B">
            <w:pPr>
              <w:keepNext/>
              <w:ind w:firstLine="0"/>
              <w:jc w:val="center"/>
              <w:cnfStyle w:val="000000000000" w:firstRow="0" w:lastRow="0" w:firstColumn="0" w:lastColumn="0" w:oddVBand="0" w:evenVBand="0" w:oddHBand="0" w:evenHBand="0" w:firstRowFirstColumn="0" w:firstRowLastColumn="0" w:lastRowFirstColumn="0" w:lastRowLastColumn="0"/>
              <w:rPr>
                <w:rFonts w:cs="Arial"/>
                <w:bCs/>
                <w:sz w:val="22"/>
                <w:lang w:val="lt-LT"/>
              </w:rPr>
            </w:pPr>
            <w:r w:rsidRPr="007D069E">
              <w:rPr>
                <w:rFonts w:cs="Arial"/>
                <w:bCs/>
                <w:sz w:val="22"/>
                <w:lang w:val="lt-LT"/>
              </w:rPr>
              <w:t>119 051,00</w:t>
            </w:r>
          </w:p>
        </w:tc>
      </w:tr>
      <w:tr w:rsidR="00454E77" w:rsidRPr="007D069E" w14:paraId="2BA53F1A" w14:textId="77777777" w:rsidTr="007D069E">
        <w:trPr>
          <w:cnfStyle w:val="000000100000" w:firstRow="0" w:lastRow="0" w:firstColumn="0" w:lastColumn="0" w:oddVBand="0" w:evenVBand="0" w:oddHBand="1" w:evenHBand="0" w:firstRowFirstColumn="0" w:firstRowLastColumn="0" w:lastRowFirstColumn="0" w:lastRowLastColumn="0"/>
          <w:trHeight w:val="362"/>
          <w:jc w:val="left"/>
        </w:trPr>
        <w:tc>
          <w:tcPr>
            <w:cnfStyle w:val="000010000000" w:firstRow="0" w:lastRow="0" w:firstColumn="0" w:lastColumn="0" w:oddVBand="1" w:evenVBand="0" w:oddHBand="0" w:evenHBand="0" w:firstRowFirstColumn="0" w:firstRowLastColumn="0" w:lastRowFirstColumn="0" w:lastRowLastColumn="0"/>
            <w:tcW w:w="4030" w:type="pct"/>
          </w:tcPr>
          <w:p w14:paraId="68719166" w14:textId="06A5A1AF" w:rsidR="00454E77" w:rsidRPr="007D069E" w:rsidRDefault="007D069E" w:rsidP="009E5D1B">
            <w:pPr>
              <w:keepNext/>
              <w:ind w:firstLine="0"/>
              <w:jc w:val="left"/>
              <w:rPr>
                <w:rFonts w:cs="Arial"/>
                <w:sz w:val="22"/>
                <w:lang w:val="lt-LT"/>
              </w:rPr>
            </w:pPr>
            <w:proofErr w:type="spellStart"/>
            <w:r w:rsidRPr="007D069E">
              <w:rPr>
                <w:sz w:val="22"/>
              </w:rPr>
              <w:t>Integruoti</w:t>
            </w:r>
            <w:proofErr w:type="spellEnd"/>
            <w:r w:rsidRPr="007D069E">
              <w:rPr>
                <w:sz w:val="22"/>
              </w:rPr>
              <w:t xml:space="preserve"> </w:t>
            </w:r>
            <w:proofErr w:type="spellStart"/>
            <w:r w:rsidRPr="007D069E">
              <w:rPr>
                <w:sz w:val="22"/>
              </w:rPr>
              <w:t>teritorinio</w:t>
            </w:r>
            <w:proofErr w:type="spellEnd"/>
            <w:r w:rsidRPr="007D069E">
              <w:rPr>
                <w:sz w:val="22"/>
              </w:rPr>
              <w:t xml:space="preserve"> </w:t>
            </w:r>
            <w:proofErr w:type="spellStart"/>
            <w:r w:rsidRPr="007D069E">
              <w:rPr>
                <w:sz w:val="22"/>
              </w:rPr>
              <w:t>vystymo</w:t>
            </w:r>
            <w:proofErr w:type="spellEnd"/>
            <w:r w:rsidRPr="007D069E">
              <w:rPr>
                <w:sz w:val="22"/>
              </w:rPr>
              <w:t xml:space="preserve"> </w:t>
            </w:r>
            <w:proofErr w:type="spellStart"/>
            <w:r w:rsidRPr="007D069E">
              <w:rPr>
                <w:sz w:val="22"/>
              </w:rPr>
              <w:t>projektai</w:t>
            </w:r>
            <w:proofErr w:type="spellEnd"/>
          </w:p>
        </w:tc>
        <w:tc>
          <w:tcPr>
            <w:tcW w:w="970" w:type="pct"/>
            <w:vAlign w:val="center"/>
          </w:tcPr>
          <w:p w14:paraId="67E3DD14" w14:textId="5CE4D66E" w:rsidR="00454E77" w:rsidRPr="007D069E" w:rsidRDefault="007D069E" w:rsidP="009E5D1B">
            <w:pPr>
              <w:keepNext/>
              <w:ind w:firstLine="0"/>
              <w:jc w:val="center"/>
              <w:cnfStyle w:val="000000100000" w:firstRow="0" w:lastRow="0" w:firstColumn="0" w:lastColumn="0" w:oddVBand="0" w:evenVBand="0" w:oddHBand="1" w:evenHBand="0" w:firstRowFirstColumn="0" w:firstRowLastColumn="0" w:lastRowFirstColumn="0" w:lastRowLastColumn="0"/>
              <w:rPr>
                <w:rFonts w:cs="Arial"/>
                <w:bCs/>
                <w:sz w:val="22"/>
                <w:lang w:val="lt-LT"/>
              </w:rPr>
            </w:pPr>
            <w:r w:rsidRPr="007D069E">
              <w:rPr>
                <w:rFonts w:cs="Arial"/>
                <w:bCs/>
                <w:sz w:val="22"/>
                <w:lang w:val="lt-LT"/>
              </w:rPr>
              <w:t>1</w:t>
            </w:r>
          </w:p>
        </w:tc>
      </w:tr>
      <w:tr w:rsidR="007D069E" w:rsidRPr="007D069E" w14:paraId="69A5A0CB" w14:textId="77777777" w:rsidTr="007D069E">
        <w:trPr>
          <w:trHeight w:val="362"/>
          <w:jc w:val="left"/>
        </w:trPr>
        <w:tc>
          <w:tcPr>
            <w:cnfStyle w:val="000010000000" w:firstRow="0" w:lastRow="0" w:firstColumn="0" w:lastColumn="0" w:oddVBand="1" w:evenVBand="0" w:oddHBand="0" w:evenHBand="0" w:firstRowFirstColumn="0" w:firstRowLastColumn="0" w:lastRowFirstColumn="0" w:lastRowLastColumn="0"/>
            <w:tcW w:w="4030" w:type="pct"/>
          </w:tcPr>
          <w:p w14:paraId="02D30996" w14:textId="62B6DEE9" w:rsidR="007D069E" w:rsidRPr="007D069E" w:rsidRDefault="007D069E" w:rsidP="009E5D1B">
            <w:pPr>
              <w:keepNext/>
              <w:ind w:firstLine="0"/>
              <w:jc w:val="left"/>
              <w:rPr>
                <w:rFonts w:cs="Arial"/>
                <w:sz w:val="22"/>
                <w:lang w:val="lt-LT"/>
              </w:rPr>
            </w:pPr>
            <w:r w:rsidRPr="007D069E">
              <w:rPr>
                <w:sz w:val="22"/>
                <w:lang w:val="lt-LT"/>
              </w:rPr>
              <w:t>Rekultivuota žemė, naudojama žaliesiems plotams, socialiniams būstams, ekonominei arba kitai paskirčiai (ha)</w:t>
            </w:r>
          </w:p>
        </w:tc>
        <w:tc>
          <w:tcPr>
            <w:tcW w:w="970" w:type="pct"/>
            <w:vAlign w:val="center"/>
          </w:tcPr>
          <w:p w14:paraId="7523634E" w14:textId="3E332102" w:rsidR="007D069E" w:rsidRPr="007D069E" w:rsidRDefault="007D069E" w:rsidP="009E5D1B">
            <w:pPr>
              <w:keepNext/>
              <w:ind w:firstLine="0"/>
              <w:jc w:val="center"/>
              <w:cnfStyle w:val="000000000000" w:firstRow="0" w:lastRow="0" w:firstColumn="0" w:lastColumn="0" w:oddVBand="0" w:evenVBand="0" w:oddHBand="0" w:evenHBand="0" w:firstRowFirstColumn="0" w:firstRowLastColumn="0" w:lastRowFirstColumn="0" w:lastRowLastColumn="0"/>
              <w:rPr>
                <w:rFonts w:cs="Arial"/>
                <w:bCs/>
                <w:sz w:val="22"/>
                <w:lang w:val="lt-LT"/>
              </w:rPr>
            </w:pPr>
            <w:r w:rsidRPr="007D069E">
              <w:rPr>
                <w:rFonts w:cs="Arial"/>
                <w:bCs/>
                <w:sz w:val="22"/>
                <w:lang w:val="lt-LT"/>
              </w:rPr>
              <w:t>11,9</w:t>
            </w:r>
          </w:p>
        </w:tc>
      </w:tr>
    </w:tbl>
    <w:p w14:paraId="7D72A56E" w14:textId="77777777" w:rsidR="00454E77" w:rsidRDefault="00454E77" w:rsidP="00454E77">
      <w:pPr>
        <w:ind w:firstLine="0"/>
        <w:jc w:val="center"/>
        <w:rPr>
          <w:i/>
          <w:iCs/>
          <w:sz w:val="18"/>
          <w:szCs w:val="18"/>
        </w:rPr>
      </w:pPr>
      <w:r w:rsidRPr="00033860">
        <w:rPr>
          <w:i/>
          <w:iCs/>
          <w:sz w:val="18"/>
          <w:szCs w:val="18"/>
        </w:rPr>
        <w:t>Šaltinis: sudaryta autorių</w:t>
      </w:r>
    </w:p>
    <w:p w14:paraId="324156C3" w14:textId="7FF4FC17" w:rsidR="00454E77" w:rsidRPr="00033860" w:rsidRDefault="00454E77" w:rsidP="00454E77">
      <w:pPr>
        <w:spacing w:after="120"/>
        <w:ind w:firstLine="720"/>
        <w:rPr>
          <w:rFonts w:cs="Arial"/>
        </w:rPr>
      </w:pPr>
      <w:r w:rsidRPr="00033860">
        <w:rPr>
          <w:rFonts w:cs="Arial"/>
        </w:rPr>
        <w:t xml:space="preserve">Projekto problemos sprendimas yra svarbus visiems </w:t>
      </w:r>
      <w:r w:rsidR="007D069E">
        <w:rPr>
          <w:rFonts w:cs="Arial"/>
        </w:rPr>
        <w:t xml:space="preserve">Utenos rajono ir miesto </w:t>
      </w:r>
      <w:r w:rsidRPr="00033860">
        <w:rPr>
          <w:rFonts w:cs="Arial"/>
        </w:rPr>
        <w:t xml:space="preserve">gyventojams, nepriklausomai nuo jų gyvenamosios vietos. Plėtojant žaliąją infrastruktūrą </w:t>
      </w:r>
      <w:r w:rsidR="007D069E">
        <w:rPr>
          <w:rFonts w:cs="Arial"/>
        </w:rPr>
        <w:t xml:space="preserve">ir modernizavus kvartalą, bus </w:t>
      </w:r>
      <w:r w:rsidRPr="00033860">
        <w:rPr>
          <w:rFonts w:cs="Arial"/>
        </w:rPr>
        <w:t xml:space="preserve">kuriama subalansuota vietos gyventojų bei miesto svečių poreikius atitinkanti viešoji erdvė. Tokiu būdu </w:t>
      </w:r>
      <w:r w:rsidR="007D069E">
        <w:rPr>
          <w:rFonts w:cs="Arial"/>
        </w:rPr>
        <w:t>Utenos rajono</w:t>
      </w:r>
      <w:r w:rsidRPr="00033860">
        <w:rPr>
          <w:rFonts w:cs="Arial"/>
        </w:rPr>
        <w:t xml:space="preserve"> savivaldybė palaipsniui užtikrins subalansuotą, integruotą bei modernią  bendruomenės infrastruktūrą.</w:t>
      </w:r>
    </w:p>
    <w:sectPr w:rsidR="00454E77" w:rsidRPr="00033860" w:rsidSect="00F97873">
      <w:headerReference w:type="default" r:id="rId27"/>
      <w:footerReference w:type="default" r:id="rId28"/>
      <w:pgSz w:w="11906" w:h="16838" w:code="9"/>
      <w:pgMar w:top="1134" w:right="567" w:bottom="1134" w:left="1134"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71598" w14:textId="77777777" w:rsidR="001E03DB" w:rsidRPr="005962D6" w:rsidRDefault="001E03DB" w:rsidP="0025374A">
      <w:pPr>
        <w:spacing w:after="0" w:line="240" w:lineRule="auto"/>
      </w:pPr>
      <w:r w:rsidRPr="005962D6">
        <w:separator/>
      </w:r>
    </w:p>
  </w:endnote>
  <w:endnote w:type="continuationSeparator" w:id="0">
    <w:p w14:paraId="4C1A0C19" w14:textId="77777777" w:rsidR="001E03DB" w:rsidRPr="005962D6" w:rsidRDefault="001E03DB" w:rsidP="0025374A">
      <w:pPr>
        <w:spacing w:after="0" w:line="240" w:lineRule="auto"/>
      </w:pPr>
      <w:r w:rsidRPr="005962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UI">
    <w:altName w:val="Klee One"/>
    <w:panose1 w:val="00000000000000000000"/>
    <w:charset w:val="80"/>
    <w:family w:val="auto"/>
    <w:notTrueType/>
    <w:pitch w:val="default"/>
    <w:sig w:usb0="00000003" w:usb1="08070000" w:usb2="00000010" w:usb3="00000000" w:csb0="00020001" w:csb1="00000000"/>
  </w:font>
  <w:font w:name="Raleway Light">
    <w:charset w:val="00"/>
    <w:family w:val="auto"/>
    <w:pitch w:val="variable"/>
    <w:sig w:usb0="A00002FF" w:usb1="5000205B" w:usb2="00000000" w:usb3="00000000" w:csb0="00000197" w:csb1="00000000"/>
  </w:font>
  <w:font w:name="Reso">
    <w:altName w:val="Calibri"/>
    <w:charset w:val="BA"/>
    <w:family w:val="auto"/>
    <w:pitch w:val="variable"/>
    <w:sig w:usb0="A000002F" w:usb1="5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eso" w:hAnsi="Reso"/>
      </w:rPr>
      <w:id w:val="-335460687"/>
      <w:docPartObj>
        <w:docPartGallery w:val="Page Numbers (Bottom of Page)"/>
        <w:docPartUnique/>
      </w:docPartObj>
    </w:sdtPr>
    <w:sdtEndPr>
      <w:rPr>
        <w:rFonts w:ascii="Arial" w:hAnsi="Arial" w:cs="Arial"/>
      </w:rPr>
    </w:sdtEndPr>
    <w:sdtContent>
      <w:p w14:paraId="55B78DBB" w14:textId="4F75AF33" w:rsidR="00E57283" w:rsidRPr="00675AC6" w:rsidRDefault="00861570" w:rsidP="00675AC6">
        <w:pPr>
          <w:pStyle w:val="Porat"/>
          <w:jc w:val="right"/>
          <w:rPr>
            <w:rFonts w:cs="Arial"/>
          </w:rPr>
        </w:pPr>
        <w:r w:rsidRPr="005962D6">
          <w:rPr>
            <w:rFonts w:cs="Arial"/>
          </w:rPr>
          <w:fldChar w:fldCharType="begin"/>
        </w:r>
        <w:r w:rsidRPr="005962D6">
          <w:rPr>
            <w:rFonts w:cs="Arial"/>
          </w:rPr>
          <w:instrText>PAGE   \* MERGEFORMAT</w:instrText>
        </w:r>
        <w:r w:rsidRPr="005962D6">
          <w:rPr>
            <w:rFonts w:cs="Arial"/>
          </w:rPr>
          <w:fldChar w:fldCharType="separate"/>
        </w:r>
        <w:r w:rsidR="00C92171" w:rsidRPr="005962D6">
          <w:rPr>
            <w:rFonts w:cs="Arial"/>
          </w:rPr>
          <w:t>4</w:t>
        </w:r>
        <w:r w:rsidR="00C92171" w:rsidRPr="005962D6">
          <w:rPr>
            <w:rFonts w:cs="Arial"/>
          </w:rPr>
          <w:t>1</w:t>
        </w:r>
        <w:r w:rsidRPr="005962D6">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212BC" w14:textId="77777777" w:rsidR="001E03DB" w:rsidRPr="005962D6" w:rsidRDefault="001E03DB" w:rsidP="0025374A">
      <w:pPr>
        <w:spacing w:after="0" w:line="240" w:lineRule="auto"/>
      </w:pPr>
      <w:r w:rsidRPr="005962D6">
        <w:separator/>
      </w:r>
    </w:p>
  </w:footnote>
  <w:footnote w:type="continuationSeparator" w:id="0">
    <w:p w14:paraId="1EB8FCC9" w14:textId="77777777" w:rsidR="001E03DB" w:rsidRPr="005962D6" w:rsidRDefault="001E03DB" w:rsidP="0025374A">
      <w:pPr>
        <w:spacing w:after="0" w:line="240" w:lineRule="auto"/>
      </w:pPr>
      <w:r w:rsidRPr="005962D6">
        <w:continuationSeparator/>
      </w:r>
    </w:p>
  </w:footnote>
  <w:footnote w:id="1">
    <w:p w14:paraId="440BF984" w14:textId="77777777" w:rsidR="00CB541A" w:rsidRDefault="00CB541A" w:rsidP="00CB541A">
      <w:pPr>
        <w:pStyle w:val="Puslapioinaostekstas"/>
        <w:ind w:firstLine="0"/>
        <w:rPr>
          <w:sz w:val="18"/>
          <w:szCs w:val="18"/>
        </w:rPr>
      </w:pPr>
      <w:r>
        <w:rPr>
          <w:rStyle w:val="Puslapioinaosnuoroda"/>
          <w:sz w:val="18"/>
          <w:szCs w:val="18"/>
        </w:rPr>
        <w:footnoteRef/>
      </w:r>
      <w:r>
        <w:rPr>
          <w:sz w:val="18"/>
          <w:szCs w:val="18"/>
        </w:rPr>
        <w:t xml:space="preserve"> </w:t>
      </w:r>
      <w:r>
        <w:rPr>
          <w:rFonts w:cs="Arial"/>
          <w:sz w:val="18"/>
          <w:szCs w:val="18"/>
        </w:rPr>
        <w:t>Utenos rajono savivaldybės aplinkos monitoringo 2021–2026 metų programa.</w:t>
      </w:r>
    </w:p>
  </w:footnote>
  <w:footnote w:id="2">
    <w:p w14:paraId="4ACB0225" w14:textId="77777777" w:rsidR="001C6E02" w:rsidRDefault="001C6E02" w:rsidP="001C6E02">
      <w:pPr>
        <w:pStyle w:val="Puslapioinaostekstas"/>
      </w:pPr>
      <w:r>
        <w:rPr>
          <w:rStyle w:val="Puslapioinaosnuoroda"/>
        </w:rPr>
        <w:footnoteRef/>
      </w:r>
      <w:r>
        <w:t xml:space="preserve"> </w:t>
      </w:r>
      <w:r>
        <w:t>Patvirtinto Utenos rajono savivaldybės tarybos 2025 m. vasario 13 d. sprendimu Nr. TS-54.</w:t>
      </w:r>
    </w:p>
  </w:footnote>
  <w:footnote w:id="3">
    <w:p w14:paraId="2A7E632B" w14:textId="77777777" w:rsidR="00454E77" w:rsidRPr="00694427" w:rsidRDefault="00454E77" w:rsidP="00454E77">
      <w:pPr>
        <w:suppressAutoHyphens/>
        <w:autoSpaceDN w:val="0"/>
        <w:spacing w:before="120" w:after="120"/>
        <w:ind w:firstLine="0"/>
        <w:textAlignment w:val="baseline"/>
        <w:rPr>
          <w:rFonts w:eastAsia="Calibri" w:cs="Arial"/>
          <w:color w:val="auto"/>
          <w:sz w:val="20"/>
          <w:szCs w:val="20"/>
        </w:rPr>
      </w:pPr>
      <w:r w:rsidRPr="00694427">
        <w:rPr>
          <w:rStyle w:val="Puslapioinaosnuoroda"/>
          <w:sz w:val="20"/>
          <w:szCs w:val="20"/>
        </w:rPr>
        <w:footnoteRef/>
      </w:r>
      <w:r w:rsidRPr="00694427">
        <w:rPr>
          <w:sz w:val="20"/>
          <w:szCs w:val="20"/>
        </w:rPr>
        <w:t xml:space="preserve"> </w:t>
      </w:r>
      <w:hyperlink r:id="rId1" w:history="1">
        <w:r w:rsidRPr="00694427">
          <w:rPr>
            <w:rFonts w:eastAsia="Calibri" w:cs="Arial"/>
            <w:color w:val="0563C1" w:themeColor="hyperlink"/>
            <w:sz w:val="20"/>
            <w:szCs w:val="20"/>
            <w:u w:val="single"/>
          </w:rPr>
          <w:t>https://www.delfi.lt/bustas/naujakuriai/nustebsite-suzinoje-koks-veiksnys-daro-itaka-jusu-namu-vertei-91013363</w:t>
        </w:r>
      </w:hyperlink>
      <w:r w:rsidRPr="00694427">
        <w:rPr>
          <w:rFonts w:eastAsia="Calibri" w:cs="Arial"/>
          <w:color w:val="auto"/>
          <w:sz w:val="20"/>
          <w:szCs w:val="20"/>
        </w:rPr>
        <w:t xml:space="preserve">; </w:t>
      </w:r>
      <w:hyperlink r:id="rId2" w:history="1">
        <w:r w:rsidRPr="00694427">
          <w:rPr>
            <w:rFonts w:eastAsia="Calibri" w:cs="Arial"/>
            <w:color w:val="0563C1" w:themeColor="hyperlink"/>
            <w:sz w:val="20"/>
            <w:szCs w:val="20"/>
            <w:u w:val="single"/>
          </w:rPr>
          <w:t>https://sa.lt/zaliosios-didmiesciu-erdves-ne-tik-valo-ora-bet-ir-augina-busto-verte/</w:t>
        </w:r>
      </w:hyperlink>
      <w:r w:rsidRPr="00694427">
        <w:rPr>
          <w:rFonts w:eastAsia="Calibri" w:cs="Arial"/>
          <w:color w:val="auto"/>
          <w:sz w:val="20"/>
          <w:szCs w:val="20"/>
        </w:rPr>
        <w:t xml:space="preserve">, </w:t>
      </w:r>
      <w:hyperlink r:id="rId3" w:history="1">
        <w:r w:rsidRPr="00694427">
          <w:rPr>
            <w:rFonts w:eastAsia="Calibri" w:cs="Arial"/>
            <w:color w:val="0563C1" w:themeColor="hyperlink"/>
            <w:sz w:val="20"/>
            <w:szCs w:val="20"/>
            <w:u w:val="single"/>
          </w:rPr>
          <w:t>https://www.vdu.lt/lt/krastovaizdzio-dizainas-rysi-su-gamta-jauciantiems-kurejams/</w:t>
        </w:r>
      </w:hyperlink>
      <w:r w:rsidRPr="00694427">
        <w:rPr>
          <w:rFonts w:eastAsia="Calibri" w:cs="Arial"/>
          <w:color w:val="auto"/>
          <w:sz w:val="20"/>
          <w:szCs w:val="20"/>
        </w:rPr>
        <w:t xml:space="preserve">; </w:t>
      </w:r>
      <w:hyperlink r:id="rId4" w:history="1">
        <w:r w:rsidRPr="00694427">
          <w:rPr>
            <w:rStyle w:val="Hipersaitas"/>
            <w:rFonts w:eastAsia="Calibri" w:cs="Arial"/>
            <w:sz w:val="20"/>
            <w:szCs w:val="20"/>
          </w:rPr>
          <w:t>https://darnugroup.lt/lt/naujiena/geras-butas-nebera-tik-butas/</w:t>
        </w:r>
      </w:hyperlink>
      <w:r w:rsidRPr="00694427">
        <w:rPr>
          <w:rFonts w:eastAsia="Calibri" w:cs="Arial"/>
          <w:color w:val="auto"/>
          <w:sz w:val="20"/>
          <w:szCs w:val="20"/>
        </w:rPr>
        <w:t xml:space="preserve"> ir kt.</w:t>
      </w:r>
    </w:p>
    <w:p w14:paraId="4DAF1FD8" w14:textId="77777777" w:rsidR="00454E77" w:rsidRDefault="00454E77" w:rsidP="00454E77">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62A4" w14:textId="0FA140CA" w:rsidR="002632AA" w:rsidRPr="00B07C94" w:rsidRDefault="00FA186F" w:rsidP="002632AA">
    <w:pPr>
      <w:pStyle w:val="Antrats"/>
      <w:jc w:val="right"/>
      <w:rPr>
        <w:sz w:val="20"/>
        <w:szCs w:val="20"/>
      </w:rPr>
    </w:pPr>
    <w:r w:rsidRPr="00B07C94">
      <w:rPr>
        <w:noProof/>
        <w:sz w:val="20"/>
        <w:szCs w:val="20"/>
      </w:rPr>
      <w:drawing>
        <wp:anchor distT="0" distB="0" distL="114300" distR="114300" simplePos="0" relativeHeight="251658240" behindDoc="0" locked="0" layoutInCell="1" allowOverlap="1" wp14:anchorId="46C9DE7A" wp14:editId="3B3A107C">
          <wp:simplePos x="0" y="0"/>
          <wp:positionH relativeFrom="margin">
            <wp:align>center</wp:align>
          </wp:positionH>
          <wp:positionV relativeFrom="paragraph">
            <wp:posOffset>-154023</wp:posOffset>
          </wp:positionV>
          <wp:extent cx="581346" cy="722747"/>
          <wp:effectExtent l="0" t="0" r="9525" b="1270"/>
          <wp:wrapNone/>
          <wp:docPr id="196989782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56324"/>
                  <a:stretch/>
                </pic:blipFill>
                <pic:spPr bwMode="auto">
                  <a:xfrm>
                    <a:off x="0" y="0"/>
                    <a:ext cx="581346" cy="722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2AA" w:rsidRPr="00B07C94">
      <w:rPr>
        <w:sz w:val="20"/>
        <w:szCs w:val="20"/>
      </w:rPr>
      <w:t>Tankiai apgyvendintos urbanizuotos Aukštakalnio</w:t>
    </w:r>
  </w:p>
  <w:p w14:paraId="1D267CC2" w14:textId="0BE29CAD" w:rsidR="002632AA" w:rsidRPr="00B07C94" w:rsidRDefault="002632AA" w:rsidP="002632AA">
    <w:pPr>
      <w:pStyle w:val="Antrats"/>
      <w:jc w:val="right"/>
      <w:rPr>
        <w:sz w:val="20"/>
        <w:szCs w:val="20"/>
      </w:rPr>
    </w:pPr>
    <w:r w:rsidRPr="00B07C94">
      <w:rPr>
        <w:sz w:val="20"/>
        <w:szCs w:val="20"/>
      </w:rPr>
      <w:t>gyvenamųjų daugiabučių namų teritorijos dalies</w:t>
    </w:r>
  </w:p>
  <w:p w14:paraId="251BCBE2" w14:textId="6858439B" w:rsidR="00FC5E67" w:rsidRDefault="002632AA" w:rsidP="002632AA">
    <w:pPr>
      <w:pStyle w:val="Antrats"/>
      <w:jc w:val="right"/>
      <w:rPr>
        <w:sz w:val="20"/>
        <w:szCs w:val="20"/>
      </w:rPr>
    </w:pPr>
    <w:r w:rsidRPr="00B07C94">
      <w:rPr>
        <w:sz w:val="20"/>
        <w:szCs w:val="20"/>
      </w:rPr>
      <w:t>atgaivinimas, žalinimas ir funkcionalumo didinimas</w:t>
    </w:r>
  </w:p>
  <w:p w14:paraId="49A97536" w14:textId="77777777" w:rsidR="007D069E" w:rsidRPr="00B07C94" w:rsidRDefault="007D069E" w:rsidP="002632AA">
    <w:pPr>
      <w:pStyle w:val="Antrats"/>
      <w:jc w:val="right"/>
      <w:rPr>
        <w:sz w:val="20"/>
        <w:szCs w:val="20"/>
      </w:rPr>
    </w:pPr>
  </w:p>
  <w:p w14:paraId="0B02A2FF" w14:textId="77777777" w:rsidR="002632AA" w:rsidRPr="002632AA" w:rsidRDefault="002632AA" w:rsidP="002632AA">
    <w:pPr>
      <w:pStyle w:val="Antrats"/>
      <w:jc w:val="right"/>
      <w:rPr>
        <w:rStyle w:val="ui-provid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455"/>
    <w:multiLevelType w:val="hybridMultilevel"/>
    <w:tmpl w:val="513246E4"/>
    <w:lvl w:ilvl="0" w:tplc="0D92D4C2">
      <w:start w:val="1"/>
      <w:numFmt w:val="bullet"/>
      <w:lvlText w:val="•"/>
      <w:lvlJc w:val="left"/>
      <w:pPr>
        <w:tabs>
          <w:tab w:val="num" w:pos="720"/>
        </w:tabs>
        <w:ind w:left="720" w:hanging="360"/>
      </w:pPr>
      <w:rPr>
        <w:rFonts w:ascii="Arial" w:hAnsi="Arial" w:hint="default"/>
      </w:rPr>
    </w:lvl>
    <w:lvl w:ilvl="1" w:tplc="B4688D02" w:tentative="1">
      <w:start w:val="1"/>
      <w:numFmt w:val="bullet"/>
      <w:lvlText w:val="•"/>
      <w:lvlJc w:val="left"/>
      <w:pPr>
        <w:tabs>
          <w:tab w:val="num" w:pos="1440"/>
        </w:tabs>
        <w:ind w:left="1440" w:hanging="360"/>
      </w:pPr>
      <w:rPr>
        <w:rFonts w:ascii="Arial" w:hAnsi="Arial" w:hint="default"/>
      </w:rPr>
    </w:lvl>
    <w:lvl w:ilvl="2" w:tplc="EEDABEEC" w:tentative="1">
      <w:start w:val="1"/>
      <w:numFmt w:val="bullet"/>
      <w:lvlText w:val="•"/>
      <w:lvlJc w:val="left"/>
      <w:pPr>
        <w:tabs>
          <w:tab w:val="num" w:pos="2160"/>
        </w:tabs>
        <w:ind w:left="2160" w:hanging="360"/>
      </w:pPr>
      <w:rPr>
        <w:rFonts w:ascii="Arial" w:hAnsi="Arial" w:hint="default"/>
      </w:rPr>
    </w:lvl>
    <w:lvl w:ilvl="3" w:tplc="F474AD38" w:tentative="1">
      <w:start w:val="1"/>
      <w:numFmt w:val="bullet"/>
      <w:lvlText w:val="•"/>
      <w:lvlJc w:val="left"/>
      <w:pPr>
        <w:tabs>
          <w:tab w:val="num" w:pos="2880"/>
        </w:tabs>
        <w:ind w:left="2880" w:hanging="360"/>
      </w:pPr>
      <w:rPr>
        <w:rFonts w:ascii="Arial" w:hAnsi="Arial" w:hint="default"/>
      </w:rPr>
    </w:lvl>
    <w:lvl w:ilvl="4" w:tplc="D376FBFC" w:tentative="1">
      <w:start w:val="1"/>
      <w:numFmt w:val="bullet"/>
      <w:lvlText w:val="•"/>
      <w:lvlJc w:val="left"/>
      <w:pPr>
        <w:tabs>
          <w:tab w:val="num" w:pos="3600"/>
        </w:tabs>
        <w:ind w:left="3600" w:hanging="360"/>
      </w:pPr>
      <w:rPr>
        <w:rFonts w:ascii="Arial" w:hAnsi="Arial" w:hint="default"/>
      </w:rPr>
    </w:lvl>
    <w:lvl w:ilvl="5" w:tplc="7DD823F6" w:tentative="1">
      <w:start w:val="1"/>
      <w:numFmt w:val="bullet"/>
      <w:lvlText w:val="•"/>
      <w:lvlJc w:val="left"/>
      <w:pPr>
        <w:tabs>
          <w:tab w:val="num" w:pos="4320"/>
        </w:tabs>
        <w:ind w:left="4320" w:hanging="360"/>
      </w:pPr>
      <w:rPr>
        <w:rFonts w:ascii="Arial" w:hAnsi="Arial" w:hint="default"/>
      </w:rPr>
    </w:lvl>
    <w:lvl w:ilvl="6" w:tplc="18C251F2" w:tentative="1">
      <w:start w:val="1"/>
      <w:numFmt w:val="bullet"/>
      <w:lvlText w:val="•"/>
      <w:lvlJc w:val="left"/>
      <w:pPr>
        <w:tabs>
          <w:tab w:val="num" w:pos="5040"/>
        </w:tabs>
        <w:ind w:left="5040" w:hanging="360"/>
      </w:pPr>
      <w:rPr>
        <w:rFonts w:ascii="Arial" w:hAnsi="Arial" w:hint="default"/>
      </w:rPr>
    </w:lvl>
    <w:lvl w:ilvl="7" w:tplc="308A64EE" w:tentative="1">
      <w:start w:val="1"/>
      <w:numFmt w:val="bullet"/>
      <w:lvlText w:val="•"/>
      <w:lvlJc w:val="left"/>
      <w:pPr>
        <w:tabs>
          <w:tab w:val="num" w:pos="5760"/>
        </w:tabs>
        <w:ind w:left="5760" w:hanging="360"/>
      </w:pPr>
      <w:rPr>
        <w:rFonts w:ascii="Arial" w:hAnsi="Arial" w:hint="default"/>
      </w:rPr>
    </w:lvl>
    <w:lvl w:ilvl="8" w:tplc="82D6B3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280C29"/>
    <w:multiLevelType w:val="hybridMultilevel"/>
    <w:tmpl w:val="4942CFD6"/>
    <w:lvl w:ilvl="0" w:tplc="E5EABE5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55B3289"/>
    <w:multiLevelType w:val="hybridMultilevel"/>
    <w:tmpl w:val="E8523E22"/>
    <w:lvl w:ilvl="0" w:tplc="C1627020">
      <w:start w:val="5"/>
      <w:numFmt w:val="bullet"/>
      <w:lvlText w:val="-"/>
      <w:lvlJc w:val="left"/>
      <w:pPr>
        <w:ind w:left="1287" w:hanging="360"/>
      </w:pPr>
      <w:rPr>
        <w:rFonts w:ascii="Arial" w:eastAsia="Calibri" w:hAnsi="Arial" w:cs="Aria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127242F8"/>
    <w:multiLevelType w:val="hybridMultilevel"/>
    <w:tmpl w:val="270A3160"/>
    <w:lvl w:ilvl="0" w:tplc="88E2DE9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746BDB"/>
    <w:multiLevelType w:val="hybridMultilevel"/>
    <w:tmpl w:val="61AC9AB8"/>
    <w:lvl w:ilvl="0" w:tplc="0427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143F64E8"/>
    <w:multiLevelType w:val="hybridMultilevel"/>
    <w:tmpl w:val="2F4A9472"/>
    <w:lvl w:ilvl="0" w:tplc="D5FE2F4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66252CC"/>
    <w:multiLevelType w:val="multilevel"/>
    <w:tmpl w:val="03D6709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18D85F0A"/>
    <w:multiLevelType w:val="hybridMultilevel"/>
    <w:tmpl w:val="AD8C6B7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22A00ED4"/>
    <w:multiLevelType w:val="hybridMultilevel"/>
    <w:tmpl w:val="1AEE7E4A"/>
    <w:lvl w:ilvl="0" w:tplc="88E2DE94">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2F01730"/>
    <w:multiLevelType w:val="hybridMultilevel"/>
    <w:tmpl w:val="83BE74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F4A5541"/>
    <w:multiLevelType w:val="multilevel"/>
    <w:tmpl w:val="78921BC4"/>
    <w:lvl w:ilvl="0">
      <w:start w:val="1"/>
      <w:numFmt w:val="decimal"/>
      <w:lvlText w:val="%1."/>
      <w:lvlJc w:val="left"/>
      <w:pPr>
        <w:ind w:left="1081" w:hanging="372"/>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3103066E"/>
    <w:multiLevelType w:val="hybridMultilevel"/>
    <w:tmpl w:val="0E12317E"/>
    <w:lvl w:ilvl="0" w:tplc="0427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327D18E3"/>
    <w:multiLevelType w:val="hybridMultilevel"/>
    <w:tmpl w:val="EA36B036"/>
    <w:lvl w:ilvl="0" w:tplc="70AE590E">
      <w:start w:val="1"/>
      <w:numFmt w:val="bullet"/>
      <w:lvlText w:val="-"/>
      <w:lvlJc w:val="left"/>
      <w:pPr>
        <w:ind w:left="720" w:hanging="360"/>
      </w:pPr>
      <w:rPr>
        <w:rFonts w:ascii="Cambria" w:eastAsia="Times New Roman" w:hAnsi="Cambria"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36B50F23"/>
    <w:multiLevelType w:val="hybridMultilevel"/>
    <w:tmpl w:val="10FE2580"/>
    <w:lvl w:ilvl="0" w:tplc="2512B0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7230305"/>
    <w:multiLevelType w:val="hybridMultilevel"/>
    <w:tmpl w:val="CEA2C4B8"/>
    <w:lvl w:ilvl="0" w:tplc="04270011">
      <w:start w:val="1"/>
      <w:numFmt w:val="decimal"/>
      <w:lvlText w:val="%1)"/>
      <w:lvlJc w:val="left"/>
      <w:pPr>
        <w:ind w:left="1440" w:hanging="360"/>
      </w:pPr>
    </w:lvl>
    <w:lvl w:ilvl="1" w:tplc="71E2541A">
      <w:start w:val="1"/>
      <w:numFmt w:val="decimal"/>
      <w:lvlText w:val="%2."/>
      <w:lvlJc w:val="left"/>
      <w:pPr>
        <w:ind w:left="2520" w:hanging="720"/>
      </w:pPr>
      <w:rPr>
        <w:rFonts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 w15:restartNumberingAfterBreak="0">
    <w:nsid w:val="38990CB3"/>
    <w:multiLevelType w:val="hybridMultilevel"/>
    <w:tmpl w:val="A014902A"/>
    <w:lvl w:ilvl="0" w:tplc="180A854A">
      <w:start w:val="1"/>
      <w:numFmt w:val="bullet"/>
      <w:lvlText w:val="•"/>
      <w:lvlJc w:val="left"/>
      <w:pPr>
        <w:tabs>
          <w:tab w:val="num" w:pos="720"/>
        </w:tabs>
        <w:ind w:left="720" w:hanging="360"/>
      </w:pPr>
      <w:rPr>
        <w:rFonts w:ascii="Arial" w:hAnsi="Arial" w:hint="default"/>
      </w:rPr>
    </w:lvl>
    <w:lvl w:ilvl="1" w:tplc="FE20B6E6" w:tentative="1">
      <w:start w:val="1"/>
      <w:numFmt w:val="bullet"/>
      <w:lvlText w:val="•"/>
      <w:lvlJc w:val="left"/>
      <w:pPr>
        <w:tabs>
          <w:tab w:val="num" w:pos="1440"/>
        </w:tabs>
        <w:ind w:left="1440" w:hanging="360"/>
      </w:pPr>
      <w:rPr>
        <w:rFonts w:ascii="Arial" w:hAnsi="Arial" w:hint="default"/>
      </w:rPr>
    </w:lvl>
    <w:lvl w:ilvl="2" w:tplc="196A59C8" w:tentative="1">
      <w:start w:val="1"/>
      <w:numFmt w:val="bullet"/>
      <w:lvlText w:val="•"/>
      <w:lvlJc w:val="left"/>
      <w:pPr>
        <w:tabs>
          <w:tab w:val="num" w:pos="2160"/>
        </w:tabs>
        <w:ind w:left="2160" w:hanging="360"/>
      </w:pPr>
      <w:rPr>
        <w:rFonts w:ascii="Arial" w:hAnsi="Arial" w:hint="default"/>
      </w:rPr>
    </w:lvl>
    <w:lvl w:ilvl="3" w:tplc="E68AF792" w:tentative="1">
      <w:start w:val="1"/>
      <w:numFmt w:val="bullet"/>
      <w:lvlText w:val="•"/>
      <w:lvlJc w:val="left"/>
      <w:pPr>
        <w:tabs>
          <w:tab w:val="num" w:pos="2880"/>
        </w:tabs>
        <w:ind w:left="2880" w:hanging="360"/>
      </w:pPr>
      <w:rPr>
        <w:rFonts w:ascii="Arial" w:hAnsi="Arial" w:hint="default"/>
      </w:rPr>
    </w:lvl>
    <w:lvl w:ilvl="4" w:tplc="3BE64698" w:tentative="1">
      <w:start w:val="1"/>
      <w:numFmt w:val="bullet"/>
      <w:lvlText w:val="•"/>
      <w:lvlJc w:val="left"/>
      <w:pPr>
        <w:tabs>
          <w:tab w:val="num" w:pos="3600"/>
        </w:tabs>
        <w:ind w:left="3600" w:hanging="360"/>
      </w:pPr>
      <w:rPr>
        <w:rFonts w:ascii="Arial" w:hAnsi="Arial" w:hint="default"/>
      </w:rPr>
    </w:lvl>
    <w:lvl w:ilvl="5" w:tplc="AE2441B4" w:tentative="1">
      <w:start w:val="1"/>
      <w:numFmt w:val="bullet"/>
      <w:lvlText w:val="•"/>
      <w:lvlJc w:val="left"/>
      <w:pPr>
        <w:tabs>
          <w:tab w:val="num" w:pos="4320"/>
        </w:tabs>
        <w:ind w:left="4320" w:hanging="360"/>
      </w:pPr>
      <w:rPr>
        <w:rFonts w:ascii="Arial" w:hAnsi="Arial" w:hint="default"/>
      </w:rPr>
    </w:lvl>
    <w:lvl w:ilvl="6" w:tplc="077471F2" w:tentative="1">
      <w:start w:val="1"/>
      <w:numFmt w:val="bullet"/>
      <w:lvlText w:val="•"/>
      <w:lvlJc w:val="left"/>
      <w:pPr>
        <w:tabs>
          <w:tab w:val="num" w:pos="5040"/>
        </w:tabs>
        <w:ind w:left="5040" w:hanging="360"/>
      </w:pPr>
      <w:rPr>
        <w:rFonts w:ascii="Arial" w:hAnsi="Arial" w:hint="default"/>
      </w:rPr>
    </w:lvl>
    <w:lvl w:ilvl="7" w:tplc="B7663B2E" w:tentative="1">
      <w:start w:val="1"/>
      <w:numFmt w:val="bullet"/>
      <w:lvlText w:val="•"/>
      <w:lvlJc w:val="left"/>
      <w:pPr>
        <w:tabs>
          <w:tab w:val="num" w:pos="5760"/>
        </w:tabs>
        <w:ind w:left="5760" w:hanging="360"/>
      </w:pPr>
      <w:rPr>
        <w:rFonts w:ascii="Arial" w:hAnsi="Arial" w:hint="default"/>
      </w:rPr>
    </w:lvl>
    <w:lvl w:ilvl="8" w:tplc="BE7088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F77A27"/>
    <w:multiLevelType w:val="hybridMultilevel"/>
    <w:tmpl w:val="096CCEBE"/>
    <w:lvl w:ilvl="0" w:tplc="C1627020">
      <w:start w:val="5"/>
      <w:numFmt w:val="bullet"/>
      <w:lvlText w:val="-"/>
      <w:lvlJc w:val="left"/>
      <w:pPr>
        <w:ind w:left="762" w:hanging="360"/>
      </w:pPr>
      <w:rPr>
        <w:rFonts w:ascii="Arial" w:eastAsia="Calibri" w:hAnsi="Arial" w:cs="Arial" w:hint="default"/>
      </w:rPr>
    </w:lvl>
    <w:lvl w:ilvl="1" w:tplc="04270003" w:tentative="1">
      <w:start w:val="1"/>
      <w:numFmt w:val="bullet"/>
      <w:lvlText w:val="o"/>
      <w:lvlJc w:val="left"/>
      <w:pPr>
        <w:ind w:left="1482" w:hanging="360"/>
      </w:pPr>
      <w:rPr>
        <w:rFonts w:ascii="Courier New" w:hAnsi="Courier New" w:cs="Courier New" w:hint="default"/>
      </w:rPr>
    </w:lvl>
    <w:lvl w:ilvl="2" w:tplc="04270005" w:tentative="1">
      <w:start w:val="1"/>
      <w:numFmt w:val="bullet"/>
      <w:lvlText w:val=""/>
      <w:lvlJc w:val="left"/>
      <w:pPr>
        <w:ind w:left="2202" w:hanging="360"/>
      </w:pPr>
      <w:rPr>
        <w:rFonts w:ascii="Wingdings" w:hAnsi="Wingdings" w:hint="default"/>
      </w:rPr>
    </w:lvl>
    <w:lvl w:ilvl="3" w:tplc="04270001" w:tentative="1">
      <w:start w:val="1"/>
      <w:numFmt w:val="bullet"/>
      <w:lvlText w:val=""/>
      <w:lvlJc w:val="left"/>
      <w:pPr>
        <w:ind w:left="2922" w:hanging="360"/>
      </w:pPr>
      <w:rPr>
        <w:rFonts w:ascii="Symbol" w:hAnsi="Symbol" w:hint="default"/>
      </w:rPr>
    </w:lvl>
    <w:lvl w:ilvl="4" w:tplc="04270003" w:tentative="1">
      <w:start w:val="1"/>
      <w:numFmt w:val="bullet"/>
      <w:lvlText w:val="o"/>
      <w:lvlJc w:val="left"/>
      <w:pPr>
        <w:ind w:left="3642" w:hanging="360"/>
      </w:pPr>
      <w:rPr>
        <w:rFonts w:ascii="Courier New" w:hAnsi="Courier New" w:cs="Courier New" w:hint="default"/>
      </w:rPr>
    </w:lvl>
    <w:lvl w:ilvl="5" w:tplc="04270005" w:tentative="1">
      <w:start w:val="1"/>
      <w:numFmt w:val="bullet"/>
      <w:lvlText w:val=""/>
      <w:lvlJc w:val="left"/>
      <w:pPr>
        <w:ind w:left="4362" w:hanging="360"/>
      </w:pPr>
      <w:rPr>
        <w:rFonts w:ascii="Wingdings" w:hAnsi="Wingdings" w:hint="default"/>
      </w:rPr>
    </w:lvl>
    <w:lvl w:ilvl="6" w:tplc="04270001" w:tentative="1">
      <w:start w:val="1"/>
      <w:numFmt w:val="bullet"/>
      <w:lvlText w:val=""/>
      <w:lvlJc w:val="left"/>
      <w:pPr>
        <w:ind w:left="5082" w:hanging="360"/>
      </w:pPr>
      <w:rPr>
        <w:rFonts w:ascii="Symbol" w:hAnsi="Symbol" w:hint="default"/>
      </w:rPr>
    </w:lvl>
    <w:lvl w:ilvl="7" w:tplc="04270003" w:tentative="1">
      <w:start w:val="1"/>
      <w:numFmt w:val="bullet"/>
      <w:lvlText w:val="o"/>
      <w:lvlJc w:val="left"/>
      <w:pPr>
        <w:ind w:left="5802" w:hanging="360"/>
      </w:pPr>
      <w:rPr>
        <w:rFonts w:ascii="Courier New" w:hAnsi="Courier New" w:cs="Courier New" w:hint="default"/>
      </w:rPr>
    </w:lvl>
    <w:lvl w:ilvl="8" w:tplc="04270005" w:tentative="1">
      <w:start w:val="1"/>
      <w:numFmt w:val="bullet"/>
      <w:lvlText w:val=""/>
      <w:lvlJc w:val="left"/>
      <w:pPr>
        <w:ind w:left="6522" w:hanging="360"/>
      </w:pPr>
      <w:rPr>
        <w:rFonts w:ascii="Wingdings" w:hAnsi="Wingdings" w:hint="default"/>
      </w:rPr>
    </w:lvl>
  </w:abstractNum>
  <w:abstractNum w:abstractNumId="17" w15:restartNumberingAfterBreak="0">
    <w:nsid w:val="415C2E4D"/>
    <w:multiLevelType w:val="hybridMultilevel"/>
    <w:tmpl w:val="0016A2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6C36F01"/>
    <w:multiLevelType w:val="hybridMultilevel"/>
    <w:tmpl w:val="36E45828"/>
    <w:lvl w:ilvl="0" w:tplc="88E2DE94">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6CF26C7"/>
    <w:multiLevelType w:val="hybridMultilevel"/>
    <w:tmpl w:val="AC4EBA16"/>
    <w:lvl w:ilvl="0" w:tplc="741A66CC">
      <w:start w:val="1"/>
      <w:numFmt w:val="bullet"/>
      <w:pStyle w:val="Bullet"/>
      <w:lvlText w:val=""/>
      <w:lvlJc w:val="left"/>
      <w:pPr>
        <w:ind w:left="644" w:hanging="360"/>
      </w:pPr>
      <w:rPr>
        <w:rFonts w:ascii="Symbol" w:hAnsi="Symbol" w:hint="default"/>
        <w:color w:val="F0EFEF" w:themeColor="background2" w:themeTint="99"/>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A5B19"/>
    <w:multiLevelType w:val="hybridMultilevel"/>
    <w:tmpl w:val="0C4C3298"/>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abstractNum w:abstractNumId="21" w15:restartNumberingAfterBreak="0">
    <w:nsid w:val="4D090FF8"/>
    <w:multiLevelType w:val="hybridMultilevel"/>
    <w:tmpl w:val="A074EB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4D3B16AE"/>
    <w:multiLevelType w:val="hybridMultilevel"/>
    <w:tmpl w:val="79C02880"/>
    <w:lvl w:ilvl="0" w:tplc="66D80D1A">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4E5F4D10"/>
    <w:multiLevelType w:val="hybridMultilevel"/>
    <w:tmpl w:val="234699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73C5F26"/>
    <w:multiLevelType w:val="hybridMultilevel"/>
    <w:tmpl w:val="8E02827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5977659E"/>
    <w:multiLevelType w:val="hybridMultilevel"/>
    <w:tmpl w:val="F8FEAB1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5AD150AD"/>
    <w:multiLevelType w:val="hybridMultilevel"/>
    <w:tmpl w:val="9EE4325A"/>
    <w:lvl w:ilvl="0" w:tplc="19A079B0">
      <w:start w:val="1"/>
      <w:numFmt w:val="bullet"/>
      <w:lvlText w:val="•"/>
      <w:lvlJc w:val="left"/>
      <w:pPr>
        <w:tabs>
          <w:tab w:val="num" w:pos="720"/>
        </w:tabs>
        <w:ind w:left="720" w:hanging="360"/>
      </w:pPr>
      <w:rPr>
        <w:rFonts w:ascii="Arial" w:hAnsi="Arial" w:hint="default"/>
      </w:rPr>
    </w:lvl>
    <w:lvl w:ilvl="1" w:tplc="CAF261A0" w:tentative="1">
      <w:start w:val="1"/>
      <w:numFmt w:val="bullet"/>
      <w:lvlText w:val="•"/>
      <w:lvlJc w:val="left"/>
      <w:pPr>
        <w:tabs>
          <w:tab w:val="num" w:pos="1440"/>
        </w:tabs>
        <w:ind w:left="1440" w:hanging="360"/>
      </w:pPr>
      <w:rPr>
        <w:rFonts w:ascii="Arial" w:hAnsi="Arial" w:hint="default"/>
      </w:rPr>
    </w:lvl>
    <w:lvl w:ilvl="2" w:tplc="A41E84EC" w:tentative="1">
      <w:start w:val="1"/>
      <w:numFmt w:val="bullet"/>
      <w:lvlText w:val="•"/>
      <w:lvlJc w:val="left"/>
      <w:pPr>
        <w:tabs>
          <w:tab w:val="num" w:pos="2160"/>
        </w:tabs>
        <w:ind w:left="2160" w:hanging="360"/>
      </w:pPr>
      <w:rPr>
        <w:rFonts w:ascii="Arial" w:hAnsi="Arial" w:hint="default"/>
      </w:rPr>
    </w:lvl>
    <w:lvl w:ilvl="3" w:tplc="CE8A4180" w:tentative="1">
      <w:start w:val="1"/>
      <w:numFmt w:val="bullet"/>
      <w:lvlText w:val="•"/>
      <w:lvlJc w:val="left"/>
      <w:pPr>
        <w:tabs>
          <w:tab w:val="num" w:pos="2880"/>
        </w:tabs>
        <w:ind w:left="2880" w:hanging="360"/>
      </w:pPr>
      <w:rPr>
        <w:rFonts w:ascii="Arial" w:hAnsi="Arial" w:hint="default"/>
      </w:rPr>
    </w:lvl>
    <w:lvl w:ilvl="4" w:tplc="2CBEDBCA" w:tentative="1">
      <w:start w:val="1"/>
      <w:numFmt w:val="bullet"/>
      <w:lvlText w:val="•"/>
      <w:lvlJc w:val="left"/>
      <w:pPr>
        <w:tabs>
          <w:tab w:val="num" w:pos="3600"/>
        </w:tabs>
        <w:ind w:left="3600" w:hanging="360"/>
      </w:pPr>
      <w:rPr>
        <w:rFonts w:ascii="Arial" w:hAnsi="Arial" w:hint="default"/>
      </w:rPr>
    </w:lvl>
    <w:lvl w:ilvl="5" w:tplc="8312E364" w:tentative="1">
      <w:start w:val="1"/>
      <w:numFmt w:val="bullet"/>
      <w:lvlText w:val="•"/>
      <w:lvlJc w:val="left"/>
      <w:pPr>
        <w:tabs>
          <w:tab w:val="num" w:pos="4320"/>
        </w:tabs>
        <w:ind w:left="4320" w:hanging="360"/>
      </w:pPr>
      <w:rPr>
        <w:rFonts w:ascii="Arial" w:hAnsi="Arial" w:hint="default"/>
      </w:rPr>
    </w:lvl>
    <w:lvl w:ilvl="6" w:tplc="1368FD56" w:tentative="1">
      <w:start w:val="1"/>
      <w:numFmt w:val="bullet"/>
      <w:lvlText w:val="•"/>
      <w:lvlJc w:val="left"/>
      <w:pPr>
        <w:tabs>
          <w:tab w:val="num" w:pos="5040"/>
        </w:tabs>
        <w:ind w:left="5040" w:hanging="360"/>
      </w:pPr>
      <w:rPr>
        <w:rFonts w:ascii="Arial" w:hAnsi="Arial" w:hint="default"/>
      </w:rPr>
    </w:lvl>
    <w:lvl w:ilvl="7" w:tplc="83B8AA22" w:tentative="1">
      <w:start w:val="1"/>
      <w:numFmt w:val="bullet"/>
      <w:lvlText w:val="•"/>
      <w:lvlJc w:val="left"/>
      <w:pPr>
        <w:tabs>
          <w:tab w:val="num" w:pos="5760"/>
        </w:tabs>
        <w:ind w:left="5760" w:hanging="360"/>
      </w:pPr>
      <w:rPr>
        <w:rFonts w:ascii="Arial" w:hAnsi="Arial" w:hint="default"/>
      </w:rPr>
    </w:lvl>
    <w:lvl w:ilvl="8" w:tplc="63D8E68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086307"/>
    <w:multiLevelType w:val="hybridMultilevel"/>
    <w:tmpl w:val="64C2C7C0"/>
    <w:lvl w:ilvl="0" w:tplc="5DC60C68">
      <w:numFmt w:val="bullet"/>
      <w:lvlText w:val="–"/>
      <w:lvlJc w:val="left"/>
      <w:pPr>
        <w:ind w:left="927" w:hanging="360"/>
      </w:pPr>
      <w:rPr>
        <w:rFonts w:ascii="Arial" w:eastAsiaTheme="minorHAnsi" w:hAnsi="Arial" w:cs="Arial" w:hint="default"/>
        <w:i/>
        <w:color w:val="000000"/>
        <w:sz w:val="20"/>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8" w15:restartNumberingAfterBreak="0">
    <w:nsid w:val="61EE2AD1"/>
    <w:multiLevelType w:val="hybridMultilevel"/>
    <w:tmpl w:val="AD0C16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67271DF1"/>
    <w:multiLevelType w:val="hybridMultilevel"/>
    <w:tmpl w:val="BD7A6BB8"/>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30" w15:restartNumberingAfterBreak="0">
    <w:nsid w:val="6B3F0BDE"/>
    <w:multiLevelType w:val="hybridMultilevel"/>
    <w:tmpl w:val="ED42B158"/>
    <w:lvl w:ilvl="0" w:tplc="5EB6F910">
      <w:numFmt w:val="bullet"/>
      <w:lvlText w:val="-"/>
      <w:lvlJc w:val="left"/>
      <w:pPr>
        <w:ind w:left="1429" w:hanging="360"/>
      </w:pPr>
      <w:rPr>
        <w:rFonts w:ascii="Arial" w:eastAsia="Calibri" w:hAnsi="Arial" w:cs="Aria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15:restartNumberingAfterBreak="0">
    <w:nsid w:val="6F1127BC"/>
    <w:multiLevelType w:val="hybridMultilevel"/>
    <w:tmpl w:val="4692C3BA"/>
    <w:lvl w:ilvl="0" w:tplc="5DC60C68">
      <w:numFmt w:val="bullet"/>
      <w:lvlText w:val="–"/>
      <w:lvlJc w:val="left"/>
      <w:pPr>
        <w:ind w:left="1494" w:hanging="360"/>
      </w:pPr>
      <w:rPr>
        <w:rFonts w:ascii="Arial" w:eastAsiaTheme="minorHAnsi" w:hAnsi="Arial" w:cs="Arial" w:hint="default"/>
        <w:i/>
        <w:color w:val="000000"/>
        <w:sz w:val="2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72044A05"/>
    <w:multiLevelType w:val="hybridMultilevel"/>
    <w:tmpl w:val="E1227A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15:restartNumberingAfterBreak="0">
    <w:nsid w:val="7D5B5A1B"/>
    <w:multiLevelType w:val="hybridMultilevel"/>
    <w:tmpl w:val="1124CFAC"/>
    <w:lvl w:ilvl="0" w:tplc="77080F94">
      <w:start w:val="1"/>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7EBC4F36"/>
    <w:multiLevelType w:val="multilevel"/>
    <w:tmpl w:val="E1B2054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Lente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5534381">
    <w:abstractNumId w:val="34"/>
  </w:num>
  <w:num w:numId="2" w16cid:durableId="2042052757">
    <w:abstractNumId w:val="19"/>
  </w:num>
  <w:num w:numId="3" w16cid:durableId="386534581">
    <w:abstractNumId w:val="6"/>
  </w:num>
  <w:num w:numId="4" w16cid:durableId="1792434701">
    <w:abstractNumId w:val="4"/>
  </w:num>
  <w:num w:numId="5" w16cid:durableId="258371481">
    <w:abstractNumId w:val="29"/>
  </w:num>
  <w:num w:numId="6" w16cid:durableId="1995715833">
    <w:abstractNumId w:val="12"/>
  </w:num>
  <w:num w:numId="7" w16cid:durableId="1799446134">
    <w:abstractNumId w:val="3"/>
  </w:num>
  <w:num w:numId="8" w16cid:durableId="263805115">
    <w:abstractNumId w:val="18"/>
  </w:num>
  <w:num w:numId="9" w16cid:durableId="14960779">
    <w:abstractNumId w:val="23"/>
  </w:num>
  <w:num w:numId="10" w16cid:durableId="1318878497">
    <w:abstractNumId w:val="20"/>
  </w:num>
  <w:num w:numId="11" w16cid:durableId="685403538">
    <w:abstractNumId w:val="32"/>
  </w:num>
  <w:num w:numId="12" w16cid:durableId="18167937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52368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34879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16369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0923536">
    <w:abstractNumId w:val="9"/>
  </w:num>
  <w:num w:numId="17" w16cid:durableId="367418953">
    <w:abstractNumId w:val="25"/>
  </w:num>
  <w:num w:numId="18" w16cid:durableId="1319724157">
    <w:abstractNumId w:val="30"/>
  </w:num>
  <w:num w:numId="19" w16cid:durableId="351104313">
    <w:abstractNumId w:val="33"/>
  </w:num>
  <w:num w:numId="20" w16cid:durableId="123085102">
    <w:abstractNumId w:val="11"/>
  </w:num>
  <w:num w:numId="21" w16cid:durableId="1499005071">
    <w:abstractNumId w:val="0"/>
  </w:num>
  <w:num w:numId="22" w16cid:durableId="557253852">
    <w:abstractNumId w:val="1"/>
  </w:num>
  <w:num w:numId="23" w16cid:durableId="223688225">
    <w:abstractNumId w:val="14"/>
  </w:num>
  <w:num w:numId="24" w16cid:durableId="339740439">
    <w:abstractNumId w:val="8"/>
  </w:num>
  <w:num w:numId="25" w16cid:durableId="800341186">
    <w:abstractNumId w:val="26"/>
  </w:num>
  <w:num w:numId="26" w16cid:durableId="1779056695">
    <w:abstractNumId w:val="22"/>
  </w:num>
  <w:num w:numId="27" w16cid:durableId="1399859896">
    <w:abstractNumId w:val="2"/>
  </w:num>
  <w:num w:numId="28" w16cid:durableId="727150966">
    <w:abstractNumId w:val="24"/>
  </w:num>
  <w:num w:numId="29" w16cid:durableId="2005740807">
    <w:abstractNumId w:val="17"/>
  </w:num>
  <w:num w:numId="30" w16cid:durableId="929502802">
    <w:abstractNumId w:val="10"/>
  </w:num>
  <w:num w:numId="31" w16cid:durableId="1607077576">
    <w:abstractNumId w:val="21"/>
  </w:num>
  <w:num w:numId="32" w16cid:durableId="2018582016">
    <w:abstractNumId w:val="7"/>
  </w:num>
  <w:num w:numId="33" w16cid:durableId="439765786">
    <w:abstractNumId w:val="16"/>
  </w:num>
  <w:num w:numId="34" w16cid:durableId="758066634">
    <w:abstractNumId w:val="28"/>
  </w:num>
  <w:num w:numId="35" w16cid:durableId="2081054713">
    <w:abstractNumId w:val="27"/>
  </w:num>
  <w:num w:numId="36" w16cid:durableId="1579368451">
    <w:abstractNumId w:val="31"/>
  </w:num>
  <w:num w:numId="37" w16cid:durableId="1064723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AD"/>
    <w:rsid w:val="0000003A"/>
    <w:rsid w:val="0000063E"/>
    <w:rsid w:val="0000095E"/>
    <w:rsid w:val="00000960"/>
    <w:rsid w:val="00000B9A"/>
    <w:rsid w:val="00000CAF"/>
    <w:rsid w:val="00000E4C"/>
    <w:rsid w:val="00000E89"/>
    <w:rsid w:val="00000EA6"/>
    <w:rsid w:val="00001077"/>
    <w:rsid w:val="0000149F"/>
    <w:rsid w:val="0000161D"/>
    <w:rsid w:val="0000163C"/>
    <w:rsid w:val="00001867"/>
    <w:rsid w:val="00001D36"/>
    <w:rsid w:val="0000206F"/>
    <w:rsid w:val="000023DB"/>
    <w:rsid w:val="000026C6"/>
    <w:rsid w:val="000029C1"/>
    <w:rsid w:val="00002F45"/>
    <w:rsid w:val="00003967"/>
    <w:rsid w:val="00003C5B"/>
    <w:rsid w:val="0000440C"/>
    <w:rsid w:val="000044E2"/>
    <w:rsid w:val="000047B2"/>
    <w:rsid w:val="00004993"/>
    <w:rsid w:val="00004B94"/>
    <w:rsid w:val="00004F93"/>
    <w:rsid w:val="000051DE"/>
    <w:rsid w:val="00005449"/>
    <w:rsid w:val="00005883"/>
    <w:rsid w:val="000058A0"/>
    <w:rsid w:val="00005997"/>
    <w:rsid w:val="00005D87"/>
    <w:rsid w:val="00006378"/>
    <w:rsid w:val="00006388"/>
    <w:rsid w:val="00006669"/>
    <w:rsid w:val="00006792"/>
    <w:rsid w:val="00006A76"/>
    <w:rsid w:val="00006B18"/>
    <w:rsid w:val="00006F77"/>
    <w:rsid w:val="0000708B"/>
    <w:rsid w:val="000070F7"/>
    <w:rsid w:val="00007158"/>
    <w:rsid w:val="00007267"/>
    <w:rsid w:val="0000727C"/>
    <w:rsid w:val="00007287"/>
    <w:rsid w:val="000073DB"/>
    <w:rsid w:val="00010407"/>
    <w:rsid w:val="000105E6"/>
    <w:rsid w:val="00010B2C"/>
    <w:rsid w:val="00010C4A"/>
    <w:rsid w:val="00010CAB"/>
    <w:rsid w:val="00010D54"/>
    <w:rsid w:val="00010ED4"/>
    <w:rsid w:val="0001137F"/>
    <w:rsid w:val="0001141D"/>
    <w:rsid w:val="000114E2"/>
    <w:rsid w:val="000115E4"/>
    <w:rsid w:val="00011655"/>
    <w:rsid w:val="000117C3"/>
    <w:rsid w:val="00011D24"/>
    <w:rsid w:val="000124E6"/>
    <w:rsid w:val="0001257A"/>
    <w:rsid w:val="0001272B"/>
    <w:rsid w:val="00012877"/>
    <w:rsid w:val="0001298F"/>
    <w:rsid w:val="000129A2"/>
    <w:rsid w:val="00012AD2"/>
    <w:rsid w:val="00012E3C"/>
    <w:rsid w:val="00013132"/>
    <w:rsid w:val="000131EF"/>
    <w:rsid w:val="000132A6"/>
    <w:rsid w:val="000139E8"/>
    <w:rsid w:val="00013B73"/>
    <w:rsid w:val="00013CFE"/>
    <w:rsid w:val="0001405F"/>
    <w:rsid w:val="000145E0"/>
    <w:rsid w:val="00014817"/>
    <w:rsid w:val="00014C72"/>
    <w:rsid w:val="00015166"/>
    <w:rsid w:val="000159BC"/>
    <w:rsid w:val="00015AA6"/>
    <w:rsid w:val="00015CF0"/>
    <w:rsid w:val="00015D45"/>
    <w:rsid w:val="00016398"/>
    <w:rsid w:val="00016513"/>
    <w:rsid w:val="000165F2"/>
    <w:rsid w:val="000166CB"/>
    <w:rsid w:val="00016FA3"/>
    <w:rsid w:val="000171D2"/>
    <w:rsid w:val="000173BE"/>
    <w:rsid w:val="00017436"/>
    <w:rsid w:val="00017958"/>
    <w:rsid w:val="00017C71"/>
    <w:rsid w:val="00017D60"/>
    <w:rsid w:val="000202B1"/>
    <w:rsid w:val="000203B8"/>
    <w:rsid w:val="0002040B"/>
    <w:rsid w:val="000212A4"/>
    <w:rsid w:val="00021616"/>
    <w:rsid w:val="00021749"/>
    <w:rsid w:val="000218DC"/>
    <w:rsid w:val="0002247A"/>
    <w:rsid w:val="00022524"/>
    <w:rsid w:val="00022640"/>
    <w:rsid w:val="000227A7"/>
    <w:rsid w:val="000231A5"/>
    <w:rsid w:val="000235DE"/>
    <w:rsid w:val="00023DBE"/>
    <w:rsid w:val="00023EA1"/>
    <w:rsid w:val="00024174"/>
    <w:rsid w:val="000241D1"/>
    <w:rsid w:val="000242E5"/>
    <w:rsid w:val="00024309"/>
    <w:rsid w:val="00024522"/>
    <w:rsid w:val="000246D3"/>
    <w:rsid w:val="00024A93"/>
    <w:rsid w:val="000253A6"/>
    <w:rsid w:val="0002553D"/>
    <w:rsid w:val="000255AE"/>
    <w:rsid w:val="00025654"/>
    <w:rsid w:val="00025845"/>
    <w:rsid w:val="00025F28"/>
    <w:rsid w:val="00026B75"/>
    <w:rsid w:val="00026DA2"/>
    <w:rsid w:val="000273D9"/>
    <w:rsid w:val="000274BD"/>
    <w:rsid w:val="000300E3"/>
    <w:rsid w:val="000301B6"/>
    <w:rsid w:val="000305E8"/>
    <w:rsid w:val="000306BC"/>
    <w:rsid w:val="0003073D"/>
    <w:rsid w:val="000309B2"/>
    <w:rsid w:val="00030BBE"/>
    <w:rsid w:val="00030D9E"/>
    <w:rsid w:val="00030F8E"/>
    <w:rsid w:val="00031676"/>
    <w:rsid w:val="00031ED6"/>
    <w:rsid w:val="00031F07"/>
    <w:rsid w:val="0003274F"/>
    <w:rsid w:val="0003281D"/>
    <w:rsid w:val="000328D9"/>
    <w:rsid w:val="00032915"/>
    <w:rsid w:val="00032ADC"/>
    <w:rsid w:val="00032DF2"/>
    <w:rsid w:val="000330FC"/>
    <w:rsid w:val="0003316D"/>
    <w:rsid w:val="00033191"/>
    <w:rsid w:val="000334DA"/>
    <w:rsid w:val="00033975"/>
    <w:rsid w:val="00033E0D"/>
    <w:rsid w:val="00033E1D"/>
    <w:rsid w:val="00033EED"/>
    <w:rsid w:val="0003485C"/>
    <w:rsid w:val="00034AC8"/>
    <w:rsid w:val="00034CB1"/>
    <w:rsid w:val="00034F25"/>
    <w:rsid w:val="0003515D"/>
    <w:rsid w:val="000351B8"/>
    <w:rsid w:val="000354A9"/>
    <w:rsid w:val="00035662"/>
    <w:rsid w:val="00035986"/>
    <w:rsid w:val="000361B3"/>
    <w:rsid w:val="000367FD"/>
    <w:rsid w:val="00036871"/>
    <w:rsid w:val="00036AD2"/>
    <w:rsid w:val="00037151"/>
    <w:rsid w:val="000379A4"/>
    <w:rsid w:val="00037C2D"/>
    <w:rsid w:val="00037D80"/>
    <w:rsid w:val="00037FAC"/>
    <w:rsid w:val="0004035E"/>
    <w:rsid w:val="000403EE"/>
    <w:rsid w:val="000407A0"/>
    <w:rsid w:val="00040F83"/>
    <w:rsid w:val="00041141"/>
    <w:rsid w:val="0004121D"/>
    <w:rsid w:val="0004149D"/>
    <w:rsid w:val="000416FA"/>
    <w:rsid w:val="000418B3"/>
    <w:rsid w:val="00041A71"/>
    <w:rsid w:val="00041ACD"/>
    <w:rsid w:val="00041C2F"/>
    <w:rsid w:val="0004281C"/>
    <w:rsid w:val="000428BF"/>
    <w:rsid w:val="000428EE"/>
    <w:rsid w:val="00042B6C"/>
    <w:rsid w:val="00042C6E"/>
    <w:rsid w:val="00042CDD"/>
    <w:rsid w:val="00043A5C"/>
    <w:rsid w:val="00043D97"/>
    <w:rsid w:val="00044121"/>
    <w:rsid w:val="000444F1"/>
    <w:rsid w:val="000446FC"/>
    <w:rsid w:val="00044878"/>
    <w:rsid w:val="000449A7"/>
    <w:rsid w:val="00044AE5"/>
    <w:rsid w:val="00044D29"/>
    <w:rsid w:val="00045036"/>
    <w:rsid w:val="0004540C"/>
    <w:rsid w:val="00045444"/>
    <w:rsid w:val="00045603"/>
    <w:rsid w:val="0004576C"/>
    <w:rsid w:val="00045821"/>
    <w:rsid w:val="0004582D"/>
    <w:rsid w:val="00045B24"/>
    <w:rsid w:val="00045C5A"/>
    <w:rsid w:val="000461E5"/>
    <w:rsid w:val="000462E3"/>
    <w:rsid w:val="000466CD"/>
    <w:rsid w:val="000467BC"/>
    <w:rsid w:val="00047221"/>
    <w:rsid w:val="00047442"/>
    <w:rsid w:val="00050077"/>
    <w:rsid w:val="000500F9"/>
    <w:rsid w:val="00050125"/>
    <w:rsid w:val="00050128"/>
    <w:rsid w:val="0005026F"/>
    <w:rsid w:val="000508C0"/>
    <w:rsid w:val="00050BB5"/>
    <w:rsid w:val="000510FB"/>
    <w:rsid w:val="00051159"/>
    <w:rsid w:val="00051675"/>
    <w:rsid w:val="000516F9"/>
    <w:rsid w:val="0005181C"/>
    <w:rsid w:val="00051B2A"/>
    <w:rsid w:val="00051D70"/>
    <w:rsid w:val="00052B24"/>
    <w:rsid w:val="00052EB7"/>
    <w:rsid w:val="0005334A"/>
    <w:rsid w:val="00053470"/>
    <w:rsid w:val="00053731"/>
    <w:rsid w:val="000539FD"/>
    <w:rsid w:val="00053A60"/>
    <w:rsid w:val="00053ADF"/>
    <w:rsid w:val="00053BD2"/>
    <w:rsid w:val="00053C20"/>
    <w:rsid w:val="00053C27"/>
    <w:rsid w:val="00053C88"/>
    <w:rsid w:val="000540A7"/>
    <w:rsid w:val="0005485A"/>
    <w:rsid w:val="00054B90"/>
    <w:rsid w:val="00054F04"/>
    <w:rsid w:val="000550DD"/>
    <w:rsid w:val="00055269"/>
    <w:rsid w:val="00055706"/>
    <w:rsid w:val="0005587C"/>
    <w:rsid w:val="000559C6"/>
    <w:rsid w:val="00055B3C"/>
    <w:rsid w:val="00055BC5"/>
    <w:rsid w:val="000560F4"/>
    <w:rsid w:val="0005621D"/>
    <w:rsid w:val="00056A46"/>
    <w:rsid w:val="00057009"/>
    <w:rsid w:val="000570E2"/>
    <w:rsid w:val="000573E8"/>
    <w:rsid w:val="0006032C"/>
    <w:rsid w:val="0006068B"/>
    <w:rsid w:val="00060862"/>
    <w:rsid w:val="00060BF4"/>
    <w:rsid w:val="00060D0A"/>
    <w:rsid w:val="00061425"/>
    <w:rsid w:val="0006163A"/>
    <w:rsid w:val="0006197F"/>
    <w:rsid w:val="00061A4C"/>
    <w:rsid w:val="00061B3B"/>
    <w:rsid w:val="00061BB1"/>
    <w:rsid w:val="00061C2A"/>
    <w:rsid w:val="00061E8E"/>
    <w:rsid w:val="00062057"/>
    <w:rsid w:val="0006227C"/>
    <w:rsid w:val="00062A31"/>
    <w:rsid w:val="00062D3D"/>
    <w:rsid w:val="0006302F"/>
    <w:rsid w:val="000630FC"/>
    <w:rsid w:val="0006338A"/>
    <w:rsid w:val="00063AC0"/>
    <w:rsid w:val="00063ACB"/>
    <w:rsid w:val="00063B38"/>
    <w:rsid w:val="00063D93"/>
    <w:rsid w:val="00063DFF"/>
    <w:rsid w:val="00063EFC"/>
    <w:rsid w:val="0006435F"/>
    <w:rsid w:val="0006495B"/>
    <w:rsid w:val="00065153"/>
    <w:rsid w:val="000651E3"/>
    <w:rsid w:val="000653A6"/>
    <w:rsid w:val="00065D2D"/>
    <w:rsid w:val="000660B7"/>
    <w:rsid w:val="00066556"/>
    <w:rsid w:val="000667CF"/>
    <w:rsid w:val="00066988"/>
    <w:rsid w:val="00066C99"/>
    <w:rsid w:val="00066F88"/>
    <w:rsid w:val="00067119"/>
    <w:rsid w:val="000673B5"/>
    <w:rsid w:val="00067A53"/>
    <w:rsid w:val="00067AEE"/>
    <w:rsid w:val="00067C64"/>
    <w:rsid w:val="00070120"/>
    <w:rsid w:val="000702FD"/>
    <w:rsid w:val="00070303"/>
    <w:rsid w:val="00070582"/>
    <w:rsid w:val="0007076D"/>
    <w:rsid w:val="00070923"/>
    <w:rsid w:val="00071160"/>
    <w:rsid w:val="00071164"/>
    <w:rsid w:val="00071276"/>
    <w:rsid w:val="0007138B"/>
    <w:rsid w:val="00071637"/>
    <w:rsid w:val="000716AB"/>
    <w:rsid w:val="000718F7"/>
    <w:rsid w:val="00071EF3"/>
    <w:rsid w:val="0007213D"/>
    <w:rsid w:val="00072522"/>
    <w:rsid w:val="00072524"/>
    <w:rsid w:val="00072570"/>
    <w:rsid w:val="000725F5"/>
    <w:rsid w:val="00072670"/>
    <w:rsid w:val="000728E7"/>
    <w:rsid w:val="0007331E"/>
    <w:rsid w:val="00073446"/>
    <w:rsid w:val="000734DB"/>
    <w:rsid w:val="00073817"/>
    <w:rsid w:val="00073A97"/>
    <w:rsid w:val="00073EF7"/>
    <w:rsid w:val="00074023"/>
    <w:rsid w:val="000746F4"/>
    <w:rsid w:val="00074A86"/>
    <w:rsid w:val="00074C52"/>
    <w:rsid w:val="00074E82"/>
    <w:rsid w:val="000750D4"/>
    <w:rsid w:val="000752B6"/>
    <w:rsid w:val="00075405"/>
    <w:rsid w:val="000754A0"/>
    <w:rsid w:val="000754D6"/>
    <w:rsid w:val="0007570A"/>
    <w:rsid w:val="00075F33"/>
    <w:rsid w:val="000762E9"/>
    <w:rsid w:val="0007637E"/>
    <w:rsid w:val="000763F8"/>
    <w:rsid w:val="0007648B"/>
    <w:rsid w:val="000764CB"/>
    <w:rsid w:val="00076550"/>
    <w:rsid w:val="00076564"/>
    <w:rsid w:val="000767F8"/>
    <w:rsid w:val="00076970"/>
    <w:rsid w:val="00076B4F"/>
    <w:rsid w:val="00076DCB"/>
    <w:rsid w:val="00076FFA"/>
    <w:rsid w:val="00077008"/>
    <w:rsid w:val="000771D5"/>
    <w:rsid w:val="000774E2"/>
    <w:rsid w:val="00077D0F"/>
    <w:rsid w:val="00077FAA"/>
    <w:rsid w:val="00080633"/>
    <w:rsid w:val="00080A3D"/>
    <w:rsid w:val="00080BF8"/>
    <w:rsid w:val="00080C4C"/>
    <w:rsid w:val="00080E3F"/>
    <w:rsid w:val="00080EC7"/>
    <w:rsid w:val="00081322"/>
    <w:rsid w:val="000817D7"/>
    <w:rsid w:val="00081988"/>
    <w:rsid w:val="000820A9"/>
    <w:rsid w:val="00082870"/>
    <w:rsid w:val="00082F25"/>
    <w:rsid w:val="0008308A"/>
    <w:rsid w:val="0008339C"/>
    <w:rsid w:val="00084740"/>
    <w:rsid w:val="00084C51"/>
    <w:rsid w:val="00084C63"/>
    <w:rsid w:val="00084D83"/>
    <w:rsid w:val="00085B4E"/>
    <w:rsid w:val="00085C93"/>
    <w:rsid w:val="00085F13"/>
    <w:rsid w:val="00085FF6"/>
    <w:rsid w:val="00086035"/>
    <w:rsid w:val="000868BF"/>
    <w:rsid w:val="00086C5A"/>
    <w:rsid w:val="00086CF4"/>
    <w:rsid w:val="00086DD6"/>
    <w:rsid w:val="0008755B"/>
    <w:rsid w:val="000877E1"/>
    <w:rsid w:val="000902BD"/>
    <w:rsid w:val="000906F3"/>
    <w:rsid w:val="000907CD"/>
    <w:rsid w:val="0009086F"/>
    <w:rsid w:val="00090CC6"/>
    <w:rsid w:val="00091111"/>
    <w:rsid w:val="00091261"/>
    <w:rsid w:val="0009154C"/>
    <w:rsid w:val="00092A70"/>
    <w:rsid w:val="00092B0F"/>
    <w:rsid w:val="00092BE3"/>
    <w:rsid w:val="00092EA1"/>
    <w:rsid w:val="00092FEB"/>
    <w:rsid w:val="0009352B"/>
    <w:rsid w:val="000935EB"/>
    <w:rsid w:val="00093791"/>
    <w:rsid w:val="000939B8"/>
    <w:rsid w:val="00093C6B"/>
    <w:rsid w:val="00093CAE"/>
    <w:rsid w:val="00093D15"/>
    <w:rsid w:val="00094013"/>
    <w:rsid w:val="00094100"/>
    <w:rsid w:val="00094121"/>
    <w:rsid w:val="000949CB"/>
    <w:rsid w:val="0009564E"/>
    <w:rsid w:val="000957C3"/>
    <w:rsid w:val="000959FE"/>
    <w:rsid w:val="00095BB4"/>
    <w:rsid w:val="0009621A"/>
    <w:rsid w:val="000962D8"/>
    <w:rsid w:val="00096A0B"/>
    <w:rsid w:val="00096A3C"/>
    <w:rsid w:val="00097327"/>
    <w:rsid w:val="00097328"/>
    <w:rsid w:val="00097BB6"/>
    <w:rsid w:val="000A0028"/>
    <w:rsid w:val="000A007E"/>
    <w:rsid w:val="000A04FA"/>
    <w:rsid w:val="000A08BD"/>
    <w:rsid w:val="000A0A3D"/>
    <w:rsid w:val="000A0E97"/>
    <w:rsid w:val="000A267E"/>
    <w:rsid w:val="000A26DC"/>
    <w:rsid w:val="000A29B3"/>
    <w:rsid w:val="000A29E1"/>
    <w:rsid w:val="000A2A2E"/>
    <w:rsid w:val="000A2CA1"/>
    <w:rsid w:val="000A301B"/>
    <w:rsid w:val="000A30F1"/>
    <w:rsid w:val="000A333E"/>
    <w:rsid w:val="000A3396"/>
    <w:rsid w:val="000A360E"/>
    <w:rsid w:val="000A3A9A"/>
    <w:rsid w:val="000A3AE2"/>
    <w:rsid w:val="000A3CD1"/>
    <w:rsid w:val="000A3DFB"/>
    <w:rsid w:val="000A3EFD"/>
    <w:rsid w:val="000A40AC"/>
    <w:rsid w:val="000A4393"/>
    <w:rsid w:val="000A4BC0"/>
    <w:rsid w:val="000A53CF"/>
    <w:rsid w:val="000A5E52"/>
    <w:rsid w:val="000A619D"/>
    <w:rsid w:val="000A6324"/>
    <w:rsid w:val="000A666C"/>
    <w:rsid w:val="000A6928"/>
    <w:rsid w:val="000A6F74"/>
    <w:rsid w:val="000A72F8"/>
    <w:rsid w:val="000A7E36"/>
    <w:rsid w:val="000B00F0"/>
    <w:rsid w:val="000B04C9"/>
    <w:rsid w:val="000B081E"/>
    <w:rsid w:val="000B0947"/>
    <w:rsid w:val="000B0A20"/>
    <w:rsid w:val="000B0B79"/>
    <w:rsid w:val="000B0BE7"/>
    <w:rsid w:val="000B181D"/>
    <w:rsid w:val="000B18D9"/>
    <w:rsid w:val="000B1C9F"/>
    <w:rsid w:val="000B2581"/>
    <w:rsid w:val="000B267D"/>
    <w:rsid w:val="000B2AE6"/>
    <w:rsid w:val="000B309A"/>
    <w:rsid w:val="000B30CF"/>
    <w:rsid w:val="000B3208"/>
    <w:rsid w:val="000B329F"/>
    <w:rsid w:val="000B3EA8"/>
    <w:rsid w:val="000B473C"/>
    <w:rsid w:val="000B4D1E"/>
    <w:rsid w:val="000B4E49"/>
    <w:rsid w:val="000B52C3"/>
    <w:rsid w:val="000B5310"/>
    <w:rsid w:val="000B57B7"/>
    <w:rsid w:val="000B603D"/>
    <w:rsid w:val="000B6646"/>
    <w:rsid w:val="000B67EC"/>
    <w:rsid w:val="000B6915"/>
    <w:rsid w:val="000B7000"/>
    <w:rsid w:val="000B762A"/>
    <w:rsid w:val="000B7718"/>
    <w:rsid w:val="000B7D8B"/>
    <w:rsid w:val="000C03B1"/>
    <w:rsid w:val="000C03EC"/>
    <w:rsid w:val="000C047F"/>
    <w:rsid w:val="000C0919"/>
    <w:rsid w:val="000C0A02"/>
    <w:rsid w:val="000C0FDC"/>
    <w:rsid w:val="000C13E2"/>
    <w:rsid w:val="000C2C3A"/>
    <w:rsid w:val="000C2E14"/>
    <w:rsid w:val="000C35DE"/>
    <w:rsid w:val="000C3752"/>
    <w:rsid w:val="000C3876"/>
    <w:rsid w:val="000C3996"/>
    <w:rsid w:val="000C409C"/>
    <w:rsid w:val="000C47B8"/>
    <w:rsid w:val="000C4836"/>
    <w:rsid w:val="000C4D5B"/>
    <w:rsid w:val="000C4DE5"/>
    <w:rsid w:val="000C52C6"/>
    <w:rsid w:val="000C53B6"/>
    <w:rsid w:val="000C5469"/>
    <w:rsid w:val="000C59A8"/>
    <w:rsid w:val="000C5E95"/>
    <w:rsid w:val="000C64A6"/>
    <w:rsid w:val="000C6B9C"/>
    <w:rsid w:val="000C7442"/>
    <w:rsid w:val="000C7712"/>
    <w:rsid w:val="000C7BDE"/>
    <w:rsid w:val="000C7CB4"/>
    <w:rsid w:val="000D07F9"/>
    <w:rsid w:val="000D10E2"/>
    <w:rsid w:val="000D12EF"/>
    <w:rsid w:val="000D14FB"/>
    <w:rsid w:val="000D19EB"/>
    <w:rsid w:val="000D1E25"/>
    <w:rsid w:val="000D2008"/>
    <w:rsid w:val="000D2025"/>
    <w:rsid w:val="000D2056"/>
    <w:rsid w:val="000D28E7"/>
    <w:rsid w:val="000D32D2"/>
    <w:rsid w:val="000D34FA"/>
    <w:rsid w:val="000D35F8"/>
    <w:rsid w:val="000D3A41"/>
    <w:rsid w:val="000D3AC3"/>
    <w:rsid w:val="000D3AF2"/>
    <w:rsid w:val="000D3B91"/>
    <w:rsid w:val="000D3BE6"/>
    <w:rsid w:val="000D3C7A"/>
    <w:rsid w:val="000D3F51"/>
    <w:rsid w:val="000D3FAE"/>
    <w:rsid w:val="000D4393"/>
    <w:rsid w:val="000D4AB1"/>
    <w:rsid w:val="000D57AD"/>
    <w:rsid w:val="000D57F2"/>
    <w:rsid w:val="000D59A6"/>
    <w:rsid w:val="000D5ACC"/>
    <w:rsid w:val="000D5C28"/>
    <w:rsid w:val="000D5D96"/>
    <w:rsid w:val="000D64B7"/>
    <w:rsid w:val="000D69C1"/>
    <w:rsid w:val="000D6A2E"/>
    <w:rsid w:val="000D6BB8"/>
    <w:rsid w:val="000D7032"/>
    <w:rsid w:val="000D713B"/>
    <w:rsid w:val="000D75F6"/>
    <w:rsid w:val="000D7884"/>
    <w:rsid w:val="000D7A82"/>
    <w:rsid w:val="000D7B26"/>
    <w:rsid w:val="000D7B5A"/>
    <w:rsid w:val="000E0133"/>
    <w:rsid w:val="000E049F"/>
    <w:rsid w:val="000E0504"/>
    <w:rsid w:val="000E0544"/>
    <w:rsid w:val="000E06E6"/>
    <w:rsid w:val="000E070B"/>
    <w:rsid w:val="000E0794"/>
    <w:rsid w:val="000E086B"/>
    <w:rsid w:val="000E0F43"/>
    <w:rsid w:val="000E111C"/>
    <w:rsid w:val="000E1590"/>
    <w:rsid w:val="000E15FB"/>
    <w:rsid w:val="000E19C2"/>
    <w:rsid w:val="000E1A01"/>
    <w:rsid w:val="000E1E77"/>
    <w:rsid w:val="000E2EB7"/>
    <w:rsid w:val="000E2F87"/>
    <w:rsid w:val="000E30CA"/>
    <w:rsid w:val="000E35AE"/>
    <w:rsid w:val="000E3786"/>
    <w:rsid w:val="000E37A6"/>
    <w:rsid w:val="000E392D"/>
    <w:rsid w:val="000E3A99"/>
    <w:rsid w:val="000E455B"/>
    <w:rsid w:val="000E4725"/>
    <w:rsid w:val="000E4820"/>
    <w:rsid w:val="000E49A1"/>
    <w:rsid w:val="000E4EEE"/>
    <w:rsid w:val="000E529E"/>
    <w:rsid w:val="000E52BF"/>
    <w:rsid w:val="000E56D6"/>
    <w:rsid w:val="000E5B76"/>
    <w:rsid w:val="000E5BED"/>
    <w:rsid w:val="000E5F07"/>
    <w:rsid w:val="000E5F54"/>
    <w:rsid w:val="000E5F79"/>
    <w:rsid w:val="000E5F97"/>
    <w:rsid w:val="000E61D6"/>
    <w:rsid w:val="000E6278"/>
    <w:rsid w:val="000E642A"/>
    <w:rsid w:val="000E6647"/>
    <w:rsid w:val="000E6B3E"/>
    <w:rsid w:val="000E6B8F"/>
    <w:rsid w:val="000E72A5"/>
    <w:rsid w:val="000E7519"/>
    <w:rsid w:val="000E790B"/>
    <w:rsid w:val="000E7AA1"/>
    <w:rsid w:val="000E7FAF"/>
    <w:rsid w:val="000F057D"/>
    <w:rsid w:val="000F0AEB"/>
    <w:rsid w:val="000F0C90"/>
    <w:rsid w:val="000F0D8E"/>
    <w:rsid w:val="000F1037"/>
    <w:rsid w:val="000F1085"/>
    <w:rsid w:val="000F12FA"/>
    <w:rsid w:val="000F133D"/>
    <w:rsid w:val="000F1629"/>
    <w:rsid w:val="000F1FE3"/>
    <w:rsid w:val="000F201E"/>
    <w:rsid w:val="000F2401"/>
    <w:rsid w:val="000F2963"/>
    <w:rsid w:val="000F3205"/>
    <w:rsid w:val="000F3207"/>
    <w:rsid w:val="000F33D0"/>
    <w:rsid w:val="000F353F"/>
    <w:rsid w:val="000F35C3"/>
    <w:rsid w:val="000F370E"/>
    <w:rsid w:val="000F3787"/>
    <w:rsid w:val="000F3DA0"/>
    <w:rsid w:val="000F4054"/>
    <w:rsid w:val="000F46C6"/>
    <w:rsid w:val="000F5014"/>
    <w:rsid w:val="000F5588"/>
    <w:rsid w:val="000F56B7"/>
    <w:rsid w:val="000F5776"/>
    <w:rsid w:val="000F5784"/>
    <w:rsid w:val="000F5800"/>
    <w:rsid w:val="000F583A"/>
    <w:rsid w:val="000F5A5F"/>
    <w:rsid w:val="000F5C05"/>
    <w:rsid w:val="000F65AB"/>
    <w:rsid w:val="000F689E"/>
    <w:rsid w:val="000F6DB1"/>
    <w:rsid w:val="000F704E"/>
    <w:rsid w:val="000F76B1"/>
    <w:rsid w:val="000F7D05"/>
    <w:rsid w:val="0010004D"/>
    <w:rsid w:val="00100270"/>
    <w:rsid w:val="00100E57"/>
    <w:rsid w:val="00101640"/>
    <w:rsid w:val="0010164E"/>
    <w:rsid w:val="00102BD1"/>
    <w:rsid w:val="00102E37"/>
    <w:rsid w:val="00102FD7"/>
    <w:rsid w:val="001033EC"/>
    <w:rsid w:val="0010341B"/>
    <w:rsid w:val="0010382F"/>
    <w:rsid w:val="00103B31"/>
    <w:rsid w:val="0010443F"/>
    <w:rsid w:val="00104784"/>
    <w:rsid w:val="001048D6"/>
    <w:rsid w:val="001049A3"/>
    <w:rsid w:val="00104A77"/>
    <w:rsid w:val="00104F23"/>
    <w:rsid w:val="00105253"/>
    <w:rsid w:val="0010526A"/>
    <w:rsid w:val="00105355"/>
    <w:rsid w:val="001053AD"/>
    <w:rsid w:val="001054F2"/>
    <w:rsid w:val="00105933"/>
    <w:rsid w:val="00105C77"/>
    <w:rsid w:val="00105F3A"/>
    <w:rsid w:val="00105F3C"/>
    <w:rsid w:val="00106627"/>
    <w:rsid w:val="0010671A"/>
    <w:rsid w:val="00106C17"/>
    <w:rsid w:val="00107072"/>
    <w:rsid w:val="001076CE"/>
    <w:rsid w:val="001077B5"/>
    <w:rsid w:val="00107A75"/>
    <w:rsid w:val="0011013E"/>
    <w:rsid w:val="001101EB"/>
    <w:rsid w:val="00110C65"/>
    <w:rsid w:val="00111028"/>
    <w:rsid w:val="0011106A"/>
    <w:rsid w:val="00111142"/>
    <w:rsid w:val="00111367"/>
    <w:rsid w:val="001118C8"/>
    <w:rsid w:val="001119E8"/>
    <w:rsid w:val="00111A44"/>
    <w:rsid w:val="00111FA7"/>
    <w:rsid w:val="001121FA"/>
    <w:rsid w:val="001125E9"/>
    <w:rsid w:val="001126A8"/>
    <w:rsid w:val="00112A1E"/>
    <w:rsid w:val="00112B84"/>
    <w:rsid w:val="001131D5"/>
    <w:rsid w:val="00113486"/>
    <w:rsid w:val="00113837"/>
    <w:rsid w:val="001138D5"/>
    <w:rsid w:val="00113A93"/>
    <w:rsid w:val="00113B87"/>
    <w:rsid w:val="00113C93"/>
    <w:rsid w:val="00113D55"/>
    <w:rsid w:val="0011401E"/>
    <w:rsid w:val="00114157"/>
    <w:rsid w:val="001145B7"/>
    <w:rsid w:val="00114A7D"/>
    <w:rsid w:val="00114B00"/>
    <w:rsid w:val="001159C0"/>
    <w:rsid w:val="001169D0"/>
    <w:rsid w:val="00116A1A"/>
    <w:rsid w:val="001174F1"/>
    <w:rsid w:val="00117F45"/>
    <w:rsid w:val="00120B0E"/>
    <w:rsid w:val="00120F11"/>
    <w:rsid w:val="00120F42"/>
    <w:rsid w:val="0012118C"/>
    <w:rsid w:val="00121C4A"/>
    <w:rsid w:val="00121CAA"/>
    <w:rsid w:val="00121CCA"/>
    <w:rsid w:val="00121D05"/>
    <w:rsid w:val="00121FCE"/>
    <w:rsid w:val="0012204A"/>
    <w:rsid w:val="0012265B"/>
    <w:rsid w:val="0012271E"/>
    <w:rsid w:val="00122966"/>
    <w:rsid w:val="001229E4"/>
    <w:rsid w:val="00122F36"/>
    <w:rsid w:val="00123154"/>
    <w:rsid w:val="00123696"/>
    <w:rsid w:val="00123B7A"/>
    <w:rsid w:val="00123CCA"/>
    <w:rsid w:val="0012414B"/>
    <w:rsid w:val="0012485A"/>
    <w:rsid w:val="00124FB6"/>
    <w:rsid w:val="0012529D"/>
    <w:rsid w:val="001254C8"/>
    <w:rsid w:val="00125915"/>
    <w:rsid w:val="001259C0"/>
    <w:rsid w:val="00125A7E"/>
    <w:rsid w:val="00125D4F"/>
    <w:rsid w:val="00125E8D"/>
    <w:rsid w:val="00125FFF"/>
    <w:rsid w:val="0012611A"/>
    <w:rsid w:val="00126412"/>
    <w:rsid w:val="00126903"/>
    <w:rsid w:val="0012690E"/>
    <w:rsid w:val="0012698D"/>
    <w:rsid w:val="00126B7D"/>
    <w:rsid w:val="0012721A"/>
    <w:rsid w:val="00127A0C"/>
    <w:rsid w:val="00130062"/>
    <w:rsid w:val="001301DC"/>
    <w:rsid w:val="00130344"/>
    <w:rsid w:val="0013037C"/>
    <w:rsid w:val="00130383"/>
    <w:rsid w:val="00130AB9"/>
    <w:rsid w:val="00130B9F"/>
    <w:rsid w:val="001310D1"/>
    <w:rsid w:val="00131585"/>
    <w:rsid w:val="00131F21"/>
    <w:rsid w:val="00132132"/>
    <w:rsid w:val="00132A57"/>
    <w:rsid w:val="00132FFE"/>
    <w:rsid w:val="00133236"/>
    <w:rsid w:val="00133825"/>
    <w:rsid w:val="00133A6F"/>
    <w:rsid w:val="00133D9F"/>
    <w:rsid w:val="00133DB2"/>
    <w:rsid w:val="0013475A"/>
    <w:rsid w:val="001348AC"/>
    <w:rsid w:val="00134DB3"/>
    <w:rsid w:val="00134F78"/>
    <w:rsid w:val="0013538E"/>
    <w:rsid w:val="001353A2"/>
    <w:rsid w:val="001356D4"/>
    <w:rsid w:val="00136065"/>
    <w:rsid w:val="001364FD"/>
    <w:rsid w:val="00136B48"/>
    <w:rsid w:val="00137661"/>
    <w:rsid w:val="001376ED"/>
    <w:rsid w:val="00140314"/>
    <w:rsid w:val="001403E5"/>
    <w:rsid w:val="0014069C"/>
    <w:rsid w:val="001409B4"/>
    <w:rsid w:val="00140B7D"/>
    <w:rsid w:val="00140E0C"/>
    <w:rsid w:val="00141185"/>
    <w:rsid w:val="00141293"/>
    <w:rsid w:val="0014129C"/>
    <w:rsid w:val="001415F1"/>
    <w:rsid w:val="00141840"/>
    <w:rsid w:val="00141A1C"/>
    <w:rsid w:val="00141F90"/>
    <w:rsid w:val="00142082"/>
    <w:rsid w:val="001420B7"/>
    <w:rsid w:val="001422B5"/>
    <w:rsid w:val="0014230C"/>
    <w:rsid w:val="00142912"/>
    <w:rsid w:val="00142919"/>
    <w:rsid w:val="0014292F"/>
    <w:rsid w:val="001429A8"/>
    <w:rsid w:val="00142A7E"/>
    <w:rsid w:val="00142BFB"/>
    <w:rsid w:val="001437A4"/>
    <w:rsid w:val="0014392D"/>
    <w:rsid w:val="00143F33"/>
    <w:rsid w:val="001441E2"/>
    <w:rsid w:val="001445BF"/>
    <w:rsid w:val="001445EE"/>
    <w:rsid w:val="00144711"/>
    <w:rsid w:val="00144956"/>
    <w:rsid w:val="00144A4F"/>
    <w:rsid w:val="001450D3"/>
    <w:rsid w:val="001460C3"/>
    <w:rsid w:val="00146788"/>
    <w:rsid w:val="001468A2"/>
    <w:rsid w:val="0014692F"/>
    <w:rsid w:val="00146CCA"/>
    <w:rsid w:val="00146CF2"/>
    <w:rsid w:val="001470DB"/>
    <w:rsid w:val="001475DE"/>
    <w:rsid w:val="00147E95"/>
    <w:rsid w:val="00147F97"/>
    <w:rsid w:val="001501FC"/>
    <w:rsid w:val="00150303"/>
    <w:rsid w:val="001505B9"/>
    <w:rsid w:val="00150987"/>
    <w:rsid w:val="00150B3A"/>
    <w:rsid w:val="00150F3E"/>
    <w:rsid w:val="0015101C"/>
    <w:rsid w:val="0015104B"/>
    <w:rsid w:val="00151221"/>
    <w:rsid w:val="00151366"/>
    <w:rsid w:val="001513F9"/>
    <w:rsid w:val="001515B4"/>
    <w:rsid w:val="001516ED"/>
    <w:rsid w:val="00151764"/>
    <w:rsid w:val="00151855"/>
    <w:rsid w:val="001521B5"/>
    <w:rsid w:val="00152544"/>
    <w:rsid w:val="00152B84"/>
    <w:rsid w:val="00152CFC"/>
    <w:rsid w:val="00152D52"/>
    <w:rsid w:val="00152E44"/>
    <w:rsid w:val="00153869"/>
    <w:rsid w:val="0015387A"/>
    <w:rsid w:val="00153933"/>
    <w:rsid w:val="00153BC9"/>
    <w:rsid w:val="00153BEC"/>
    <w:rsid w:val="00153CCC"/>
    <w:rsid w:val="00153D50"/>
    <w:rsid w:val="001541CF"/>
    <w:rsid w:val="001545F4"/>
    <w:rsid w:val="001546DC"/>
    <w:rsid w:val="00154829"/>
    <w:rsid w:val="00154ABB"/>
    <w:rsid w:val="00154B84"/>
    <w:rsid w:val="00154C7F"/>
    <w:rsid w:val="00154F1E"/>
    <w:rsid w:val="00155208"/>
    <w:rsid w:val="001556A4"/>
    <w:rsid w:val="0015575D"/>
    <w:rsid w:val="001559B7"/>
    <w:rsid w:val="001559CD"/>
    <w:rsid w:val="00155C1D"/>
    <w:rsid w:val="00155D80"/>
    <w:rsid w:val="00155DEC"/>
    <w:rsid w:val="00155F59"/>
    <w:rsid w:val="001561B9"/>
    <w:rsid w:val="00156877"/>
    <w:rsid w:val="00156A00"/>
    <w:rsid w:val="0015710C"/>
    <w:rsid w:val="00157145"/>
    <w:rsid w:val="0015738E"/>
    <w:rsid w:val="001579A3"/>
    <w:rsid w:val="00160378"/>
    <w:rsid w:val="001606E8"/>
    <w:rsid w:val="00160754"/>
    <w:rsid w:val="0016081C"/>
    <w:rsid w:val="00160AC2"/>
    <w:rsid w:val="00160D9D"/>
    <w:rsid w:val="001611D6"/>
    <w:rsid w:val="0016193C"/>
    <w:rsid w:val="00161BA0"/>
    <w:rsid w:val="00161EE9"/>
    <w:rsid w:val="00162059"/>
    <w:rsid w:val="001624CE"/>
    <w:rsid w:val="00162900"/>
    <w:rsid w:val="00162C7C"/>
    <w:rsid w:val="0016342F"/>
    <w:rsid w:val="0016345D"/>
    <w:rsid w:val="00163684"/>
    <w:rsid w:val="001636E3"/>
    <w:rsid w:val="0016387B"/>
    <w:rsid w:val="00163A64"/>
    <w:rsid w:val="0016413B"/>
    <w:rsid w:val="00164495"/>
    <w:rsid w:val="00164665"/>
    <w:rsid w:val="00164AA9"/>
    <w:rsid w:val="00164CA3"/>
    <w:rsid w:val="00164ED6"/>
    <w:rsid w:val="0016540D"/>
    <w:rsid w:val="0016543E"/>
    <w:rsid w:val="0016585E"/>
    <w:rsid w:val="00165A40"/>
    <w:rsid w:val="001660D9"/>
    <w:rsid w:val="001662CD"/>
    <w:rsid w:val="001663D3"/>
    <w:rsid w:val="001663DC"/>
    <w:rsid w:val="00166951"/>
    <w:rsid w:val="001669DF"/>
    <w:rsid w:val="0016710B"/>
    <w:rsid w:val="001677D2"/>
    <w:rsid w:val="00167D19"/>
    <w:rsid w:val="00167DDD"/>
    <w:rsid w:val="00167E0A"/>
    <w:rsid w:val="00167E0C"/>
    <w:rsid w:val="00167EA1"/>
    <w:rsid w:val="00170020"/>
    <w:rsid w:val="001703CB"/>
    <w:rsid w:val="001708C4"/>
    <w:rsid w:val="00170931"/>
    <w:rsid w:val="00170B93"/>
    <w:rsid w:val="00170BEA"/>
    <w:rsid w:val="001710B0"/>
    <w:rsid w:val="00171979"/>
    <w:rsid w:val="00171B09"/>
    <w:rsid w:val="00171B5A"/>
    <w:rsid w:val="00171E0C"/>
    <w:rsid w:val="00171F74"/>
    <w:rsid w:val="001722BE"/>
    <w:rsid w:val="00172A62"/>
    <w:rsid w:val="00172B60"/>
    <w:rsid w:val="00172C02"/>
    <w:rsid w:val="00172DA3"/>
    <w:rsid w:val="00172DA6"/>
    <w:rsid w:val="001731BA"/>
    <w:rsid w:val="00173359"/>
    <w:rsid w:val="001733AA"/>
    <w:rsid w:val="00173505"/>
    <w:rsid w:val="00173942"/>
    <w:rsid w:val="00173D4C"/>
    <w:rsid w:val="00173DCF"/>
    <w:rsid w:val="0017405A"/>
    <w:rsid w:val="00174162"/>
    <w:rsid w:val="001741A2"/>
    <w:rsid w:val="001746F0"/>
    <w:rsid w:val="00174753"/>
    <w:rsid w:val="00174903"/>
    <w:rsid w:val="00174AC1"/>
    <w:rsid w:val="00174B86"/>
    <w:rsid w:val="00174D84"/>
    <w:rsid w:val="00174FF9"/>
    <w:rsid w:val="00175258"/>
    <w:rsid w:val="001756E0"/>
    <w:rsid w:val="001757C5"/>
    <w:rsid w:val="0017582A"/>
    <w:rsid w:val="00175A55"/>
    <w:rsid w:val="00175A82"/>
    <w:rsid w:val="00175EF4"/>
    <w:rsid w:val="00176C94"/>
    <w:rsid w:val="00176D1A"/>
    <w:rsid w:val="00176D43"/>
    <w:rsid w:val="00176F6D"/>
    <w:rsid w:val="00177491"/>
    <w:rsid w:val="0017760B"/>
    <w:rsid w:val="00177D98"/>
    <w:rsid w:val="00180191"/>
    <w:rsid w:val="001802A6"/>
    <w:rsid w:val="00180669"/>
    <w:rsid w:val="00180906"/>
    <w:rsid w:val="00180D75"/>
    <w:rsid w:val="00181054"/>
    <w:rsid w:val="0018114C"/>
    <w:rsid w:val="00181243"/>
    <w:rsid w:val="00181A1F"/>
    <w:rsid w:val="00181B19"/>
    <w:rsid w:val="00181C27"/>
    <w:rsid w:val="001820FD"/>
    <w:rsid w:val="0018264E"/>
    <w:rsid w:val="00182A70"/>
    <w:rsid w:val="00182C57"/>
    <w:rsid w:val="0018303F"/>
    <w:rsid w:val="00183555"/>
    <w:rsid w:val="00183652"/>
    <w:rsid w:val="00183947"/>
    <w:rsid w:val="001839BD"/>
    <w:rsid w:val="00183ED6"/>
    <w:rsid w:val="001849C6"/>
    <w:rsid w:val="00184A98"/>
    <w:rsid w:val="001851B6"/>
    <w:rsid w:val="0018529E"/>
    <w:rsid w:val="00186071"/>
    <w:rsid w:val="001862D2"/>
    <w:rsid w:val="00186460"/>
    <w:rsid w:val="00186648"/>
    <w:rsid w:val="00186E27"/>
    <w:rsid w:val="00186E54"/>
    <w:rsid w:val="00186E7E"/>
    <w:rsid w:val="00186F14"/>
    <w:rsid w:val="00186FD4"/>
    <w:rsid w:val="0018719F"/>
    <w:rsid w:val="001871C3"/>
    <w:rsid w:val="0018769D"/>
    <w:rsid w:val="00187704"/>
    <w:rsid w:val="001879B8"/>
    <w:rsid w:val="00187AAB"/>
    <w:rsid w:val="00187AC5"/>
    <w:rsid w:val="00187C00"/>
    <w:rsid w:val="00191442"/>
    <w:rsid w:val="00191509"/>
    <w:rsid w:val="001915E3"/>
    <w:rsid w:val="001916D3"/>
    <w:rsid w:val="001917B4"/>
    <w:rsid w:val="001920A3"/>
    <w:rsid w:val="0019243E"/>
    <w:rsid w:val="00192442"/>
    <w:rsid w:val="001926A3"/>
    <w:rsid w:val="0019285E"/>
    <w:rsid w:val="00192A9A"/>
    <w:rsid w:val="00192EFC"/>
    <w:rsid w:val="00192F4B"/>
    <w:rsid w:val="00193072"/>
    <w:rsid w:val="0019338A"/>
    <w:rsid w:val="00193E87"/>
    <w:rsid w:val="0019428E"/>
    <w:rsid w:val="0019431E"/>
    <w:rsid w:val="00194721"/>
    <w:rsid w:val="00195056"/>
    <w:rsid w:val="0019522E"/>
    <w:rsid w:val="00195498"/>
    <w:rsid w:val="00195545"/>
    <w:rsid w:val="00195E29"/>
    <w:rsid w:val="00196178"/>
    <w:rsid w:val="001971A0"/>
    <w:rsid w:val="00197227"/>
    <w:rsid w:val="00197332"/>
    <w:rsid w:val="001975D1"/>
    <w:rsid w:val="001976D5"/>
    <w:rsid w:val="00197E37"/>
    <w:rsid w:val="00197F66"/>
    <w:rsid w:val="001A024A"/>
    <w:rsid w:val="001A0A0A"/>
    <w:rsid w:val="001A0A1F"/>
    <w:rsid w:val="001A0BC3"/>
    <w:rsid w:val="001A0C29"/>
    <w:rsid w:val="001A0CDC"/>
    <w:rsid w:val="001A0E64"/>
    <w:rsid w:val="001A0ED8"/>
    <w:rsid w:val="001A14E1"/>
    <w:rsid w:val="001A1CE9"/>
    <w:rsid w:val="001A2108"/>
    <w:rsid w:val="001A2153"/>
    <w:rsid w:val="001A21C0"/>
    <w:rsid w:val="001A25AF"/>
    <w:rsid w:val="001A2815"/>
    <w:rsid w:val="001A2A36"/>
    <w:rsid w:val="001A30A3"/>
    <w:rsid w:val="001A32D9"/>
    <w:rsid w:val="001A3CC8"/>
    <w:rsid w:val="001A4030"/>
    <w:rsid w:val="001A407A"/>
    <w:rsid w:val="001A41BA"/>
    <w:rsid w:val="001A4BC0"/>
    <w:rsid w:val="001A554D"/>
    <w:rsid w:val="001A5A6B"/>
    <w:rsid w:val="001A610E"/>
    <w:rsid w:val="001A645E"/>
    <w:rsid w:val="001A662F"/>
    <w:rsid w:val="001A67E4"/>
    <w:rsid w:val="001A6C07"/>
    <w:rsid w:val="001A6CE0"/>
    <w:rsid w:val="001A6D07"/>
    <w:rsid w:val="001A6EE8"/>
    <w:rsid w:val="001A7336"/>
    <w:rsid w:val="001A7461"/>
    <w:rsid w:val="001A7545"/>
    <w:rsid w:val="001A7774"/>
    <w:rsid w:val="001B03BE"/>
    <w:rsid w:val="001B05C5"/>
    <w:rsid w:val="001B06C9"/>
    <w:rsid w:val="001B0A63"/>
    <w:rsid w:val="001B0BE5"/>
    <w:rsid w:val="001B0C2A"/>
    <w:rsid w:val="001B108E"/>
    <w:rsid w:val="001B11C5"/>
    <w:rsid w:val="001B12DF"/>
    <w:rsid w:val="001B1362"/>
    <w:rsid w:val="001B1BBA"/>
    <w:rsid w:val="001B1CBC"/>
    <w:rsid w:val="001B1CF3"/>
    <w:rsid w:val="001B204A"/>
    <w:rsid w:val="001B2525"/>
    <w:rsid w:val="001B294E"/>
    <w:rsid w:val="001B299B"/>
    <w:rsid w:val="001B2B60"/>
    <w:rsid w:val="001B2FE8"/>
    <w:rsid w:val="001B3070"/>
    <w:rsid w:val="001B32CE"/>
    <w:rsid w:val="001B3439"/>
    <w:rsid w:val="001B35F7"/>
    <w:rsid w:val="001B3FDF"/>
    <w:rsid w:val="001B4B0C"/>
    <w:rsid w:val="001B4CFA"/>
    <w:rsid w:val="001B519D"/>
    <w:rsid w:val="001B5483"/>
    <w:rsid w:val="001B55AB"/>
    <w:rsid w:val="001B5780"/>
    <w:rsid w:val="001B611B"/>
    <w:rsid w:val="001B6765"/>
    <w:rsid w:val="001B6B2A"/>
    <w:rsid w:val="001B6E2D"/>
    <w:rsid w:val="001B6F89"/>
    <w:rsid w:val="001B74B4"/>
    <w:rsid w:val="001B79F6"/>
    <w:rsid w:val="001B7A00"/>
    <w:rsid w:val="001B7AC6"/>
    <w:rsid w:val="001B7C44"/>
    <w:rsid w:val="001B7C48"/>
    <w:rsid w:val="001B7F03"/>
    <w:rsid w:val="001C02DD"/>
    <w:rsid w:val="001C0DFA"/>
    <w:rsid w:val="001C11A8"/>
    <w:rsid w:val="001C1279"/>
    <w:rsid w:val="001C1344"/>
    <w:rsid w:val="001C14A4"/>
    <w:rsid w:val="001C14A8"/>
    <w:rsid w:val="001C1867"/>
    <w:rsid w:val="001C2694"/>
    <w:rsid w:val="001C2CC8"/>
    <w:rsid w:val="001C2CD1"/>
    <w:rsid w:val="001C339C"/>
    <w:rsid w:val="001C33DE"/>
    <w:rsid w:val="001C34FE"/>
    <w:rsid w:val="001C35D4"/>
    <w:rsid w:val="001C3810"/>
    <w:rsid w:val="001C3E56"/>
    <w:rsid w:val="001C3F36"/>
    <w:rsid w:val="001C416A"/>
    <w:rsid w:val="001C420E"/>
    <w:rsid w:val="001C441F"/>
    <w:rsid w:val="001C4920"/>
    <w:rsid w:val="001C4B22"/>
    <w:rsid w:val="001C4F9D"/>
    <w:rsid w:val="001C50AC"/>
    <w:rsid w:val="001C53AA"/>
    <w:rsid w:val="001C56B7"/>
    <w:rsid w:val="001C57BD"/>
    <w:rsid w:val="001C58C8"/>
    <w:rsid w:val="001C5F64"/>
    <w:rsid w:val="001C600C"/>
    <w:rsid w:val="001C62F0"/>
    <w:rsid w:val="001C63F3"/>
    <w:rsid w:val="001C6475"/>
    <w:rsid w:val="001C6589"/>
    <w:rsid w:val="001C6CC7"/>
    <w:rsid w:val="001C6E02"/>
    <w:rsid w:val="001C71FD"/>
    <w:rsid w:val="001C7259"/>
    <w:rsid w:val="001C732A"/>
    <w:rsid w:val="001C7389"/>
    <w:rsid w:val="001C7450"/>
    <w:rsid w:val="001C75BE"/>
    <w:rsid w:val="001C7A54"/>
    <w:rsid w:val="001D00D9"/>
    <w:rsid w:val="001D04CF"/>
    <w:rsid w:val="001D04DA"/>
    <w:rsid w:val="001D0668"/>
    <w:rsid w:val="001D0F19"/>
    <w:rsid w:val="001D0FC4"/>
    <w:rsid w:val="001D1C64"/>
    <w:rsid w:val="001D1CE7"/>
    <w:rsid w:val="001D1D35"/>
    <w:rsid w:val="001D1DBC"/>
    <w:rsid w:val="001D1E44"/>
    <w:rsid w:val="001D2008"/>
    <w:rsid w:val="001D2018"/>
    <w:rsid w:val="001D26B2"/>
    <w:rsid w:val="001D2926"/>
    <w:rsid w:val="001D2BAD"/>
    <w:rsid w:val="001D2D65"/>
    <w:rsid w:val="001D3479"/>
    <w:rsid w:val="001D3967"/>
    <w:rsid w:val="001D3A25"/>
    <w:rsid w:val="001D4A68"/>
    <w:rsid w:val="001D4B89"/>
    <w:rsid w:val="001D4B96"/>
    <w:rsid w:val="001D4E27"/>
    <w:rsid w:val="001D4FA0"/>
    <w:rsid w:val="001D5231"/>
    <w:rsid w:val="001D5A68"/>
    <w:rsid w:val="001D5C07"/>
    <w:rsid w:val="001D6074"/>
    <w:rsid w:val="001D6405"/>
    <w:rsid w:val="001D6503"/>
    <w:rsid w:val="001D65AA"/>
    <w:rsid w:val="001D66CA"/>
    <w:rsid w:val="001D72E9"/>
    <w:rsid w:val="001D78DB"/>
    <w:rsid w:val="001E006D"/>
    <w:rsid w:val="001E03DB"/>
    <w:rsid w:val="001E0661"/>
    <w:rsid w:val="001E0CDD"/>
    <w:rsid w:val="001E108C"/>
    <w:rsid w:val="001E1189"/>
    <w:rsid w:val="001E187D"/>
    <w:rsid w:val="001E189F"/>
    <w:rsid w:val="001E1954"/>
    <w:rsid w:val="001E24DD"/>
    <w:rsid w:val="001E2917"/>
    <w:rsid w:val="001E2C90"/>
    <w:rsid w:val="001E3168"/>
    <w:rsid w:val="001E3561"/>
    <w:rsid w:val="001E3B3D"/>
    <w:rsid w:val="001E475B"/>
    <w:rsid w:val="001E4CE6"/>
    <w:rsid w:val="001E4F47"/>
    <w:rsid w:val="001E4FF9"/>
    <w:rsid w:val="001E5826"/>
    <w:rsid w:val="001E5E99"/>
    <w:rsid w:val="001E62FD"/>
    <w:rsid w:val="001E6648"/>
    <w:rsid w:val="001E69A6"/>
    <w:rsid w:val="001E6AC5"/>
    <w:rsid w:val="001E6E2D"/>
    <w:rsid w:val="001E7A72"/>
    <w:rsid w:val="001E7B76"/>
    <w:rsid w:val="001F0148"/>
    <w:rsid w:val="001F045B"/>
    <w:rsid w:val="001F0554"/>
    <w:rsid w:val="001F0812"/>
    <w:rsid w:val="001F0998"/>
    <w:rsid w:val="001F0E5E"/>
    <w:rsid w:val="001F0EFD"/>
    <w:rsid w:val="001F168C"/>
    <w:rsid w:val="001F16DC"/>
    <w:rsid w:val="001F1CAB"/>
    <w:rsid w:val="001F2261"/>
    <w:rsid w:val="001F25AB"/>
    <w:rsid w:val="001F2C04"/>
    <w:rsid w:val="001F2E02"/>
    <w:rsid w:val="001F325F"/>
    <w:rsid w:val="001F3396"/>
    <w:rsid w:val="001F33A5"/>
    <w:rsid w:val="001F399C"/>
    <w:rsid w:val="001F3A6E"/>
    <w:rsid w:val="001F3BC9"/>
    <w:rsid w:val="001F3C88"/>
    <w:rsid w:val="001F40B2"/>
    <w:rsid w:val="001F452A"/>
    <w:rsid w:val="001F4C7F"/>
    <w:rsid w:val="001F4D40"/>
    <w:rsid w:val="001F5C9F"/>
    <w:rsid w:val="001F5E25"/>
    <w:rsid w:val="001F5E53"/>
    <w:rsid w:val="001F60F2"/>
    <w:rsid w:val="001F6247"/>
    <w:rsid w:val="001F6690"/>
    <w:rsid w:val="001F67CE"/>
    <w:rsid w:val="001F67F8"/>
    <w:rsid w:val="001F69F4"/>
    <w:rsid w:val="001F6A81"/>
    <w:rsid w:val="001F6CCB"/>
    <w:rsid w:val="001F772E"/>
    <w:rsid w:val="001F78AB"/>
    <w:rsid w:val="001F7BF6"/>
    <w:rsid w:val="001F7C4A"/>
    <w:rsid w:val="0020004E"/>
    <w:rsid w:val="0020013A"/>
    <w:rsid w:val="00200BDD"/>
    <w:rsid w:val="00200C70"/>
    <w:rsid w:val="0020157B"/>
    <w:rsid w:val="00201765"/>
    <w:rsid w:val="00201B89"/>
    <w:rsid w:val="00201D2D"/>
    <w:rsid w:val="00201DEA"/>
    <w:rsid w:val="00201FBE"/>
    <w:rsid w:val="0020205F"/>
    <w:rsid w:val="002020BB"/>
    <w:rsid w:val="002022C0"/>
    <w:rsid w:val="00202411"/>
    <w:rsid w:val="002026C5"/>
    <w:rsid w:val="00202B0A"/>
    <w:rsid w:val="00202DB4"/>
    <w:rsid w:val="002035D6"/>
    <w:rsid w:val="002039D9"/>
    <w:rsid w:val="00203E07"/>
    <w:rsid w:val="00204122"/>
    <w:rsid w:val="00204288"/>
    <w:rsid w:val="002042FB"/>
    <w:rsid w:val="00204541"/>
    <w:rsid w:val="00204658"/>
    <w:rsid w:val="00204704"/>
    <w:rsid w:val="002047E2"/>
    <w:rsid w:val="00204AAC"/>
    <w:rsid w:val="00204B4B"/>
    <w:rsid w:val="0020507B"/>
    <w:rsid w:val="00205277"/>
    <w:rsid w:val="00205451"/>
    <w:rsid w:val="002056B4"/>
    <w:rsid w:val="00205808"/>
    <w:rsid w:val="00205B3E"/>
    <w:rsid w:val="00205D49"/>
    <w:rsid w:val="002060FC"/>
    <w:rsid w:val="00206199"/>
    <w:rsid w:val="002065B0"/>
    <w:rsid w:val="00206705"/>
    <w:rsid w:val="00206939"/>
    <w:rsid w:val="002070AA"/>
    <w:rsid w:val="002071A5"/>
    <w:rsid w:val="0020741D"/>
    <w:rsid w:val="0020767E"/>
    <w:rsid w:val="002077C7"/>
    <w:rsid w:val="00207810"/>
    <w:rsid w:val="00207C9C"/>
    <w:rsid w:val="00207D73"/>
    <w:rsid w:val="00207FCB"/>
    <w:rsid w:val="002101FE"/>
    <w:rsid w:val="00210611"/>
    <w:rsid w:val="0021071B"/>
    <w:rsid w:val="00210F95"/>
    <w:rsid w:val="00210FC7"/>
    <w:rsid w:val="00211658"/>
    <w:rsid w:val="0021172C"/>
    <w:rsid w:val="00211B27"/>
    <w:rsid w:val="00211C09"/>
    <w:rsid w:val="00211D6B"/>
    <w:rsid w:val="0021228E"/>
    <w:rsid w:val="00212377"/>
    <w:rsid w:val="00212F43"/>
    <w:rsid w:val="00212FCB"/>
    <w:rsid w:val="002130B4"/>
    <w:rsid w:val="00213AD3"/>
    <w:rsid w:val="00213DA0"/>
    <w:rsid w:val="00213EE0"/>
    <w:rsid w:val="002140F1"/>
    <w:rsid w:val="002141BF"/>
    <w:rsid w:val="0021428F"/>
    <w:rsid w:val="002143A4"/>
    <w:rsid w:val="002149BC"/>
    <w:rsid w:val="00214A1B"/>
    <w:rsid w:val="00214DB8"/>
    <w:rsid w:val="0021555B"/>
    <w:rsid w:val="00215957"/>
    <w:rsid w:val="0021598A"/>
    <w:rsid w:val="00215B88"/>
    <w:rsid w:val="0021621A"/>
    <w:rsid w:val="002166AD"/>
    <w:rsid w:val="00216858"/>
    <w:rsid w:val="002168DF"/>
    <w:rsid w:val="00216A23"/>
    <w:rsid w:val="0021721D"/>
    <w:rsid w:val="002174BA"/>
    <w:rsid w:val="00217FA0"/>
    <w:rsid w:val="00217FF8"/>
    <w:rsid w:val="0022018C"/>
    <w:rsid w:val="002201CC"/>
    <w:rsid w:val="002203D5"/>
    <w:rsid w:val="00220884"/>
    <w:rsid w:val="00220C61"/>
    <w:rsid w:val="00221262"/>
    <w:rsid w:val="00221C46"/>
    <w:rsid w:val="00221C80"/>
    <w:rsid w:val="00221E21"/>
    <w:rsid w:val="00222D47"/>
    <w:rsid w:val="00222EB8"/>
    <w:rsid w:val="002230A8"/>
    <w:rsid w:val="00223C8B"/>
    <w:rsid w:val="0022433F"/>
    <w:rsid w:val="002247F4"/>
    <w:rsid w:val="00224949"/>
    <w:rsid w:val="00224E50"/>
    <w:rsid w:val="0022503C"/>
    <w:rsid w:val="002250ED"/>
    <w:rsid w:val="0022578E"/>
    <w:rsid w:val="002260D4"/>
    <w:rsid w:val="0022618B"/>
    <w:rsid w:val="002265A1"/>
    <w:rsid w:val="002269DA"/>
    <w:rsid w:val="002269FA"/>
    <w:rsid w:val="00227352"/>
    <w:rsid w:val="0022745E"/>
    <w:rsid w:val="00227597"/>
    <w:rsid w:val="00227B0E"/>
    <w:rsid w:val="0023083A"/>
    <w:rsid w:val="00230ADB"/>
    <w:rsid w:val="00230C03"/>
    <w:rsid w:val="00230CC5"/>
    <w:rsid w:val="00230EAE"/>
    <w:rsid w:val="0023103C"/>
    <w:rsid w:val="00231104"/>
    <w:rsid w:val="0023146D"/>
    <w:rsid w:val="0023161F"/>
    <w:rsid w:val="00231675"/>
    <w:rsid w:val="002318DE"/>
    <w:rsid w:val="002319A0"/>
    <w:rsid w:val="00231B6C"/>
    <w:rsid w:val="002320E5"/>
    <w:rsid w:val="00232A35"/>
    <w:rsid w:val="00232CF3"/>
    <w:rsid w:val="002330FC"/>
    <w:rsid w:val="00233575"/>
    <w:rsid w:val="00233675"/>
    <w:rsid w:val="00233759"/>
    <w:rsid w:val="00233892"/>
    <w:rsid w:val="00233ADA"/>
    <w:rsid w:val="00233B5E"/>
    <w:rsid w:val="00233C47"/>
    <w:rsid w:val="00233F11"/>
    <w:rsid w:val="00234C2F"/>
    <w:rsid w:val="00234C74"/>
    <w:rsid w:val="00234E55"/>
    <w:rsid w:val="00235C33"/>
    <w:rsid w:val="00235F1D"/>
    <w:rsid w:val="002363D9"/>
    <w:rsid w:val="002368E5"/>
    <w:rsid w:val="002374F2"/>
    <w:rsid w:val="00237AA0"/>
    <w:rsid w:val="00237BCF"/>
    <w:rsid w:val="00240315"/>
    <w:rsid w:val="00240631"/>
    <w:rsid w:val="002409F6"/>
    <w:rsid w:val="00240D46"/>
    <w:rsid w:val="0024122D"/>
    <w:rsid w:val="00241560"/>
    <w:rsid w:val="002416F7"/>
    <w:rsid w:val="00242314"/>
    <w:rsid w:val="002424A5"/>
    <w:rsid w:val="00242594"/>
    <w:rsid w:val="00242DDD"/>
    <w:rsid w:val="00242FF6"/>
    <w:rsid w:val="002430AB"/>
    <w:rsid w:val="002430B6"/>
    <w:rsid w:val="00243242"/>
    <w:rsid w:val="00243363"/>
    <w:rsid w:val="00243A31"/>
    <w:rsid w:val="00243A84"/>
    <w:rsid w:val="00244490"/>
    <w:rsid w:val="00244787"/>
    <w:rsid w:val="00244BF4"/>
    <w:rsid w:val="00244D42"/>
    <w:rsid w:val="0024569C"/>
    <w:rsid w:val="00245747"/>
    <w:rsid w:val="00245903"/>
    <w:rsid w:val="00245BA0"/>
    <w:rsid w:val="002461CF"/>
    <w:rsid w:val="002469C2"/>
    <w:rsid w:val="00246B6A"/>
    <w:rsid w:val="00246C65"/>
    <w:rsid w:val="00246F0D"/>
    <w:rsid w:val="00247182"/>
    <w:rsid w:val="0024768F"/>
    <w:rsid w:val="00247697"/>
    <w:rsid w:val="0024771F"/>
    <w:rsid w:val="00247A34"/>
    <w:rsid w:val="00247F8D"/>
    <w:rsid w:val="002500F3"/>
    <w:rsid w:val="002501D9"/>
    <w:rsid w:val="002504F7"/>
    <w:rsid w:val="002506B6"/>
    <w:rsid w:val="00250AB4"/>
    <w:rsid w:val="00250AC5"/>
    <w:rsid w:val="002510F4"/>
    <w:rsid w:val="002514BA"/>
    <w:rsid w:val="00251521"/>
    <w:rsid w:val="002516D3"/>
    <w:rsid w:val="002519B7"/>
    <w:rsid w:val="0025203A"/>
    <w:rsid w:val="002522D7"/>
    <w:rsid w:val="0025256F"/>
    <w:rsid w:val="00252A39"/>
    <w:rsid w:val="00252BA4"/>
    <w:rsid w:val="00252E11"/>
    <w:rsid w:val="00252ED8"/>
    <w:rsid w:val="0025333B"/>
    <w:rsid w:val="002533BF"/>
    <w:rsid w:val="0025368A"/>
    <w:rsid w:val="0025374A"/>
    <w:rsid w:val="002537A2"/>
    <w:rsid w:val="00253DDB"/>
    <w:rsid w:val="00253FF7"/>
    <w:rsid w:val="00255795"/>
    <w:rsid w:val="00255B3D"/>
    <w:rsid w:val="00255C20"/>
    <w:rsid w:val="00255D3A"/>
    <w:rsid w:val="0025640D"/>
    <w:rsid w:val="0025667C"/>
    <w:rsid w:val="002569DD"/>
    <w:rsid w:val="00256B95"/>
    <w:rsid w:val="00256D13"/>
    <w:rsid w:val="00257403"/>
    <w:rsid w:val="00260AE8"/>
    <w:rsid w:val="00260E48"/>
    <w:rsid w:val="00260EDF"/>
    <w:rsid w:val="00261684"/>
    <w:rsid w:val="002618F6"/>
    <w:rsid w:val="002619D8"/>
    <w:rsid w:val="0026206C"/>
    <w:rsid w:val="00262330"/>
    <w:rsid w:val="002624F7"/>
    <w:rsid w:val="002625C6"/>
    <w:rsid w:val="00262AFB"/>
    <w:rsid w:val="00262D46"/>
    <w:rsid w:val="00262D4F"/>
    <w:rsid w:val="00262E56"/>
    <w:rsid w:val="00262F44"/>
    <w:rsid w:val="002631C4"/>
    <w:rsid w:val="002632AA"/>
    <w:rsid w:val="0026342D"/>
    <w:rsid w:val="002635CD"/>
    <w:rsid w:val="0026370B"/>
    <w:rsid w:val="00263B92"/>
    <w:rsid w:val="00263C82"/>
    <w:rsid w:val="00264145"/>
    <w:rsid w:val="00264774"/>
    <w:rsid w:val="00264925"/>
    <w:rsid w:val="0026495A"/>
    <w:rsid w:val="002651DB"/>
    <w:rsid w:val="00265211"/>
    <w:rsid w:val="0026540F"/>
    <w:rsid w:val="002659AD"/>
    <w:rsid w:val="0026638F"/>
    <w:rsid w:val="002663B4"/>
    <w:rsid w:val="002664A2"/>
    <w:rsid w:val="00266661"/>
    <w:rsid w:val="00267039"/>
    <w:rsid w:val="002673A3"/>
    <w:rsid w:val="0026753E"/>
    <w:rsid w:val="002679F0"/>
    <w:rsid w:val="00267C43"/>
    <w:rsid w:val="00270405"/>
    <w:rsid w:val="002704AF"/>
    <w:rsid w:val="00270795"/>
    <w:rsid w:val="00270A10"/>
    <w:rsid w:val="00270AA7"/>
    <w:rsid w:val="00270BDA"/>
    <w:rsid w:val="00270CF7"/>
    <w:rsid w:val="0027117A"/>
    <w:rsid w:val="00271205"/>
    <w:rsid w:val="0027122F"/>
    <w:rsid w:val="00272729"/>
    <w:rsid w:val="00272896"/>
    <w:rsid w:val="00272941"/>
    <w:rsid w:val="00272978"/>
    <w:rsid w:val="002729FF"/>
    <w:rsid w:val="00272AC7"/>
    <w:rsid w:val="00272CE3"/>
    <w:rsid w:val="002731E5"/>
    <w:rsid w:val="002731F5"/>
    <w:rsid w:val="002732BF"/>
    <w:rsid w:val="00273713"/>
    <w:rsid w:val="00273775"/>
    <w:rsid w:val="00273A3E"/>
    <w:rsid w:val="00273FEE"/>
    <w:rsid w:val="0027432F"/>
    <w:rsid w:val="0027436C"/>
    <w:rsid w:val="002745A4"/>
    <w:rsid w:val="002745F9"/>
    <w:rsid w:val="00274BBA"/>
    <w:rsid w:val="00274CF0"/>
    <w:rsid w:val="0027537B"/>
    <w:rsid w:val="002756F3"/>
    <w:rsid w:val="0027580D"/>
    <w:rsid w:val="00275903"/>
    <w:rsid w:val="00276208"/>
    <w:rsid w:val="0027654A"/>
    <w:rsid w:val="00276710"/>
    <w:rsid w:val="00276B61"/>
    <w:rsid w:val="0027704E"/>
    <w:rsid w:val="002773A6"/>
    <w:rsid w:val="002774AA"/>
    <w:rsid w:val="002778E8"/>
    <w:rsid w:val="00277916"/>
    <w:rsid w:val="00277F80"/>
    <w:rsid w:val="00280220"/>
    <w:rsid w:val="0028046C"/>
    <w:rsid w:val="00280570"/>
    <w:rsid w:val="00280671"/>
    <w:rsid w:val="00280734"/>
    <w:rsid w:val="00280E7D"/>
    <w:rsid w:val="00281229"/>
    <w:rsid w:val="0028173B"/>
    <w:rsid w:val="00281AD9"/>
    <w:rsid w:val="00281E5B"/>
    <w:rsid w:val="00281F6D"/>
    <w:rsid w:val="00282217"/>
    <w:rsid w:val="00282CAB"/>
    <w:rsid w:val="0028371D"/>
    <w:rsid w:val="0028384A"/>
    <w:rsid w:val="002838FF"/>
    <w:rsid w:val="00283A74"/>
    <w:rsid w:val="00283B78"/>
    <w:rsid w:val="00283C12"/>
    <w:rsid w:val="00284167"/>
    <w:rsid w:val="00284227"/>
    <w:rsid w:val="002844D4"/>
    <w:rsid w:val="00284878"/>
    <w:rsid w:val="002849CD"/>
    <w:rsid w:val="00284A3B"/>
    <w:rsid w:val="002850FD"/>
    <w:rsid w:val="0028538A"/>
    <w:rsid w:val="002858F7"/>
    <w:rsid w:val="00285AAC"/>
    <w:rsid w:val="00285D79"/>
    <w:rsid w:val="00285DB7"/>
    <w:rsid w:val="00285F46"/>
    <w:rsid w:val="002864EF"/>
    <w:rsid w:val="00286D98"/>
    <w:rsid w:val="00287065"/>
    <w:rsid w:val="00287296"/>
    <w:rsid w:val="00287566"/>
    <w:rsid w:val="00287678"/>
    <w:rsid w:val="00287D4F"/>
    <w:rsid w:val="002904CF"/>
    <w:rsid w:val="002905FA"/>
    <w:rsid w:val="00290E4A"/>
    <w:rsid w:val="00291314"/>
    <w:rsid w:val="0029201A"/>
    <w:rsid w:val="002920CA"/>
    <w:rsid w:val="0029239E"/>
    <w:rsid w:val="0029254B"/>
    <w:rsid w:val="00292B7B"/>
    <w:rsid w:val="00292BB3"/>
    <w:rsid w:val="00293315"/>
    <w:rsid w:val="0029368E"/>
    <w:rsid w:val="00293CF1"/>
    <w:rsid w:val="00293FAA"/>
    <w:rsid w:val="00293FF6"/>
    <w:rsid w:val="002941E4"/>
    <w:rsid w:val="0029434A"/>
    <w:rsid w:val="00294428"/>
    <w:rsid w:val="00294459"/>
    <w:rsid w:val="0029453F"/>
    <w:rsid w:val="002947D0"/>
    <w:rsid w:val="002949FB"/>
    <w:rsid w:val="00294A28"/>
    <w:rsid w:val="00294A81"/>
    <w:rsid w:val="00294B12"/>
    <w:rsid w:val="00294D03"/>
    <w:rsid w:val="00294E86"/>
    <w:rsid w:val="0029504A"/>
    <w:rsid w:val="00295A96"/>
    <w:rsid w:val="0029646A"/>
    <w:rsid w:val="00296A94"/>
    <w:rsid w:val="0029724A"/>
    <w:rsid w:val="00297789"/>
    <w:rsid w:val="002977A2"/>
    <w:rsid w:val="0029785A"/>
    <w:rsid w:val="00297EC4"/>
    <w:rsid w:val="002A0061"/>
    <w:rsid w:val="002A0069"/>
    <w:rsid w:val="002A0233"/>
    <w:rsid w:val="002A067B"/>
    <w:rsid w:val="002A0A8D"/>
    <w:rsid w:val="002A0C01"/>
    <w:rsid w:val="002A0CBA"/>
    <w:rsid w:val="002A0F0E"/>
    <w:rsid w:val="002A1420"/>
    <w:rsid w:val="002A1A06"/>
    <w:rsid w:val="002A1B84"/>
    <w:rsid w:val="002A1CD7"/>
    <w:rsid w:val="002A1E9D"/>
    <w:rsid w:val="002A24CC"/>
    <w:rsid w:val="002A2A4C"/>
    <w:rsid w:val="002A3013"/>
    <w:rsid w:val="002A3437"/>
    <w:rsid w:val="002A3537"/>
    <w:rsid w:val="002A36FA"/>
    <w:rsid w:val="002A3C9E"/>
    <w:rsid w:val="002A3DC6"/>
    <w:rsid w:val="002A4161"/>
    <w:rsid w:val="002A515B"/>
    <w:rsid w:val="002A5217"/>
    <w:rsid w:val="002A5228"/>
    <w:rsid w:val="002A5C33"/>
    <w:rsid w:val="002A5DDC"/>
    <w:rsid w:val="002A5E61"/>
    <w:rsid w:val="002A60F7"/>
    <w:rsid w:val="002A67F6"/>
    <w:rsid w:val="002A6A1F"/>
    <w:rsid w:val="002A6A8D"/>
    <w:rsid w:val="002A6B44"/>
    <w:rsid w:val="002A6CEA"/>
    <w:rsid w:val="002A6DC4"/>
    <w:rsid w:val="002A7738"/>
    <w:rsid w:val="002A7B47"/>
    <w:rsid w:val="002A7CAA"/>
    <w:rsid w:val="002A7D82"/>
    <w:rsid w:val="002B06AE"/>
    <w:rsid w:val="002B09D5"/>
    <w:rsid w:val="002B0A04"/>
    <w:rsid w:val="002B112C"/>
    <w:rsid w:val="002B120F"/>
    <w:rsid w:val="002B1AC2"/>
    <w:rsid w:val="002B1C79"/>
    <w:rsid w:val="002B20FA"/>
    <w:rsid w:val="002B265D"/>
    <w:rsid w:val="002B27A7"/>
    <w:rsid w:val="002B2805"/>
    <w:rsid w:val="002B2C23"/>
    <w:rsid w:val="002B2D38"/>
    <w:rsid w:val="002B2E9F"/>
    <w:rsid w:val="002B3093"/>
    <w:rsid w:val="002B3139"/>
    <w:rsid w:val="002B31AD"/>
    <w:rsid w:val="002B3882"/>
    <w:rsid w:val="002B39B9"/>
    <w:rsid w:val="002B3CC6"/>
    <w:rsid w:val="002B3DED"/>
    <w:rsid w:val="002B3DFF"/>
    <w:rsid w:val="002B4035"/>
    <w:rsid w:val="002B40C5"/>
    <w:rsid w:val="002B40DC"/>
    <w:rsid w:val="002B41D6"/>
    <w:rsid w:val="002B4309"/>
    <w:rsid w:val="002B431F"/>
    <w:rsid w:val="002B4B7D"/>
    <w:rsid w:val="002B4F06"/>
    <w:rsid w:val="002B52C7"/>
    <w:rsid w:val="002B52FE"/>
    <w:rsid w:val="002B5784"/>
    <w:rsid w:val="002B5B43"/>
    <w:rsid w:val="002B5B6E"/>
    <w:rsid w:val="002B5E0A"/>
    <w:rsid w:val="002B5F52"/>
    <w:rsid w:val="002B5FCF"/>
    <w:rsid w:val="002B6036"/>
    <w:rsid w:val="002B6FBD"/>
    <w:rsid w:val="002B711F"/>
    <w:rsid w:val="002B745F"/>
    <w:rsid w:val="002B7762"/>
    <w:rsid w:val="002B788A"/>
    <w:rsid w:val="002C02DA"/>
    <w:rsid w:val="002C0D0C"/>
    <w:rsid w:val="002C0E94"/>
    <w:rsid w:val="002C16DB"/>
    <w:rsid w:val="002C18A8"/>
    <w:rsid w:val="002C1912"/>
    <w:rsid w:val="002C1B0D"/>
    <w:rsid w:val="002C1B90"/>
    <w:rsid w:val="002C1F85"/>
    <w:rsid w:val="002C1FA8"/>
    <w:rsid w:val="002C2169"/>
    <w:rsid w:val="002C2343"/>
    <w:rsid w:val="002C236A"/>
    <w:rsid w:val="002C2E23"/>
    <w:rsid w:val="002C33D2"/>
    <w:rsid w:val="002C35CD"/>
    <w:rsid w:val="002C37DA"/>
    <w:rsid w:val="002C4123"/>
    <w:rsid w:val="002C412E"/>
    <w:rsid w:val="002C422A"/>
    <w:rsid w:val="002C4488"/>
    <w:rsid w:val="002C461D"/>
    <w:rsid w:val="002C4741"/>
    <w:rsid w:val="002C48B4"/>
    <w:rsid w:val="002C5555"/>
    <w:rsid w:val="002C55F2"/>
    <w:rsid w:val="002C58D2"/>
    <w:rsid w:val="002C5C59"/>
    <w:rsid w:val="002C61BE"/>
    <w:rsid w:val="002C6537"/>
    <w:rsid w:val="002C6608"/>
    <w:rsid w:val="002C69BB"/>
    <w:rsid w:val="002C724B"/>
    <w:rsid w:val="002C72A0"/>
    <w:rsid w:val="002C72FB"/>
    <w:rsid w:val="002C7378"/>
    <w:rsid w:val="002C7984"/>
    <w:rsid w:val="002C79EF"/>
    <w:rsid w:val="002D0379"/>
    <w:rsid w:val="002D0AA2"/>
    <w:rsid w:val="002D0D3A"/>
    <w:rsid w:val="002D0DD2"/>
    <w:rsid w:val="002D1096"/>
    <w:rsid w:val="002D142D"/>
    <w:rsid w:val="002D14B1"/>
    <w:rsid w:val="002D16DB"/>
    <w:rsid w:val="002D197D"/>
    <w:rsid w:val="002D1AA8"/>
    <w:rsid w:val="002D1C8A"/>
    <w:rsid w:val="002D1F27"/>
    <w:rsid w:val="002D24D7"/>
    <w:rsid w:val="002D24E4"/>
    <w:rsid w:val="002D26E2"/>
    <w:rsid w:val="002D2AC9"/>
    <w:rsid w:val="002D2EB9"/>
    <w:rsid w:val="002D3564"/>
    <w:rsid w:val="002D391C"/>
    <w:rsid w:val="002D395F"/>
    <w:rsid w:val="002D3D4B"/>
    <w:rsid w:val="002D3F8A"/>
    <w:rsid w:val="002D40D1"/>
    <w:rsid w:val="002D4133"/>
    <w:rsid w:val="002D43B1"/>
    <w:rsid w:val="002D43E0"/>
    <w:rsid w:val="002D55B4"/>
    <w:rsid w:val="002D5D09"/>
    <w:rsid w:val="002D5DC1"/>
    <w:rsid w:val="002D5EB2"/>
    <w:rsid w:val="002D5F16"/>
    <w:rsid w:val="002D6373"/>
    <w:rsid w:val="002D6A1B"/>
    <w:rsid w:val="002D6AC7"/>
    <w:rsid w:val="002D6EBA"/>
    <w:rsid w:val="002D70BF"/>
    <w:rsid w:val="002D777A"/>
    <w:rsid w:val="002D78F9"/>
    <w:rsid w:val="002E00E6"/>
    <w:rsid w:val="002E0376"/>
    <w:rsid w:val="002E03F0"/>
    <w:rsid w:val="002E04FE"/>
    <w:rsid w:val="002E0775"/>
    <w:rsid w:val="002E0D88"/>
    <w:rsid w:val="002E1033"/>
    <w:rsid w:val="002E176C"/>
    <w:rsid w:val="002E1BE9"/>
    <w:rsid w:val="002E1D12"/>
    <w:rsid w:val="002E1FEC"/>
    <w:rsid w:val="002E2597"/>
    <w:rsid w:val="002E2C14"/>
    <w:rsid w:val="002E2EB3"/>
    <w:rsid w:val="002E3219"/>
    <w:rsid w:val="002E3EE4"/>
    <w:rsid w:val="002E3F6F"/>
    <w:rsid w:val="002E49D6"/>
    <w:rsid w:val="002E4A51"/>
    <w:rsid w:val="002E4AE2"/>
    <w:rsid w:val="002E4F45"/>
    <w:rsid w:val="002E53AE"/>
    <w:rsid w:val="002E5521"/>
    <w:rsid w:val="002E5799"/>
    <w:rsid w:val="002E5F48"/>
    <w:rsid w:val="002E69A5"/>
    <w:rsid w:val="002E6B4D"/>
    <w:rsid w:val="002E6F80"/>
    <w:rsid w:val="002E6FA3"/>
    <w:rsid w:val="002E7B68"/>
    <w:rsid w:val="002E7C95"/>
    <w:rsid w:val="002F033B"/>
    <w:rsid w:val="002F050C"/>
    <w:rsid w:val="002F0781"/>
    <w:rsid w:val="002F0A13"/>
    <w:rsid w:val="002F0B26"/>
    <w:rsid w:val="002F0CB6"/>
    <w:rsid w:val="002F1072"/>
    <w:rsid w:val="002F114E"/>
    <w:rsid w:val="002F129A"/>
    <w:rsid w:val="002F136B"/>
    <w:rsid w:val="002F1820"/>
    <w:rsid w:val="002F1E18"/>
    <w:rsid w:val="002F1E19"/>
    <w:rsid w:val="002F209B"/>
    <w:rsid w:val="002F231F"/>
    <w:rsid w:val="002F23DC"/>
    <w:rsid w:val="002F2556"/>
    <w:rsid w:val="002F266D"/>
    <w:rsid w:val="002F2F21"/>
    <w:rsid w:val="002F3216"/>
    <w:rsid w:val="002F323B"/>
    <w:rsid w:val="002F32EE"/>
    <w:rsid w:val="002F34F2"/>
    <w:rsid w:val="002F35EF"/>
    <w:rsid w:val="002F3662"/>
    <w:rsid w:val="002F3CE1"/>
    <w:rsid w:val="002F433E"/>
    <w:rsid w:val="002F43B6"/>
    <w:rsid w:val="002F4417"/>
    <w:rsid w:val="002F4592"/>
    <w:rsid w:val="002F49BF"/>
    <w:rsid w:val="002F4B4E"/>
    <w:rsid w:val="002F4D45"/>
    <w:rsid w:val="002F514C"/>
    <w:rsid w:val="002F51BE"/>
    <w:rsid w:val="002F5524"/>
    <w:rsid w:val="002F5620"/>
    <w:rsid w:val="002F5681"/>
    <w:rsid w:val="002F5868"/>
    <w:rsid w:val="002F5B5B"/>
    <w:rsid w:val="002F5F80"/>
    <w:rsid w:val="002F6A54"/>
    <w:rsid w:val="002F6FE0"/>
    <w:rsid w:val="002F7769"/>
    <w:rsid w:val="002F7B93"/>
    <w:rsid w:val="00300194"/>
    <w:rsid w:val="003003B8"/>
    <w:rsid w:val="003005F3"/>
    <w:rsid w:val="00300621"/>
    <w:rsid w:val="0030071F"/>
    <w:rsid w:val="00300915"/>
    <w:rsid w:val="00300B42"/>
    <w:rsid w:val="00300E05"/>
    <w:rsid w:val="0030156A"/>
    <w:rsid w:val="00301ABF"/>
    <w:rsid w:val="00301E1E"/>
    <w:rsid w:val="003027E9"/>
    <w:rsid w:val="00302959"/>
    <w:rsid w:val="00302A5A"/>
    <w:rsid w:val="00302AF7"/>
    <w:rsid w:val="00302BC5"/>
    <w:rsid w:val="00302EEA"/>
    <w:rsid w:val="00302FDF"/>
    <w:rsid w:val="00303459"/>
    <w:rsid w:val="00303797"/>
    <w:rsid w:val="00303A93"/>
    <w:rsid w:val="00303C49"/>
    <w:rsid w:val="00303C9A"/>
    <w:rsid w:val="00303DE6"/>
    <w:rsid w:val="00303FFC"/>
    <w:rsid w:val="00304232"/>
    <w:rsid w:val="00304837"/>
    <w:rsid w:val="003049B3"/>
    <w:rsid w:val="00304E9D"/>
    <w:rsid w:val="00305213"/>
    <w:rsid w:val="0030549B"/>
    <w:rsid w:val="00305B10"/>
    <w:rsid w:val="00305C89"/>
    <w:rsid w:val="0030617A"/>
    <w:rsid w:val="00306278"/>
    <w:rsid w:val="003063B4"/>
    <w:rsid w:val="00306487"/>
    <w:rsid w:val="003067C3"/>
    <w:rsid w:val="00306B5C"/>
    <w:rsid w:val="00306D13"/>
    <w:rsid w:val="003070B3"/>
    <w:rsid w:val="003070C4"/>
    <w:rsid w:val="0030741E"/>
    <w:rsid w:val="003075D1"/>
    <w:rsid w:val="00307692"/>
    <w:rsid w:val="00307B97"/>
    <w:rsid w:val="00310A00"/>
    <w:rsid w:val="00311771"/>
    <w:rsid w:val="003117CE"/>
    <w:rsid w:val="003119CB"/>
    <w:rsid w:val="00312695"/>
    <w:rsid w:val="00312762"/>
    <w:rsid w:val="00312E60"/>
    <w:rsid w:val="00313040"/>
    <w:rsid w:val="003130F0"/>
    <w:rsid w:val="00313248"/>
    <w:rsid w:val="003132AD"/>
    <w:rsid w:val="00313324"/>
    <w:rsid w:val="00313860"/>
    <w:rsid w:val="00314033"/>
    <w:rsid w:val="00314464"/>
    <w:rsid w:val="003146F7"/>
    <w:rsid w:val="00314809"/>
    <w:rsid w:val="00314D0B"/>
    <w:rsid w:val="003150D8"/>
    <w:rsid w:val="00315118"/>
    <w:rsid w:val="0031540D"/>
    <w:rsid w:val="00315587"/>
    <w:rsid w:val="00315C3B"/>
    <w:rsid w:val="00315CD5"/>
    <w:rsid w:val="00315EED"/>
    <w:rsid w:val="00315F88"/>
    <w:rsid w:val="00315FCC"/>
    <w:rsid w:val="0031605B"/>
    <w:rsid w:val="0031642E"/>
    <w:rsid w:val="003166C6"/>
    <w:rsid w:val="003167C0"/>
    <w:rsid w:val="00316B7D"/>
    <w:rsid w:val="00316C5D"/>
    <w:rsid w:val="00316F28"/>
    <w:rsid w:val="003171FA"/>
    <w:rsid w:val="00317433"/>
    <w:rsid w:val="003174EC"/>
    <w:rsid w:val="00317590"/>
    <w:rsid w:val="003176DE"/>
    <w:rsid w:val="003177DF"/>
    <w:rsid w:val="0031791B"/>
    <w:rsid w:val="00317DF8"/>
    <w:rsid w:val="00317F27"/>
    <w:rsid w:val="00317F42"/>
    <w:rsid w:val="0032001D"/>
    <w:rsid w:val="003201B3"/>
    <w:rsid w:val="0032030E"/>
    <w:rsid w:val="00320486"/>
    <w:rsid w:val="00321032"/>
    <w:rsid w:val="003211C1"/>
    <w:rsid w:val="0032124B"/>
    <w:rsid w:val="0032148B"/>
    <w:rsid w:val="00321595"/>
    <w:rsid w:val="00321AB2"/>
    <w:rsid w:val="00321AC4"/>
    <w:rsid w:val="00321CEE"/>
    <w:rsid w:val="00321DA8"/>
    <w:rsid w:val="00322431"/>
    <w:rsid w:val="003227FC"/>
    <w:rsid w:val="00322B08"/>
    <w:rsid w:val="00322B92"/>
    <w:rsid w:val="00322E93"/>
    <w:rsid w:val="003231AE"/>
    <w:rsid w:val="0032328A"/>
    <w:rsid w:val="003233E3"/>
    <w:rsid w:val="00323E0F"/>
    <w:rsid w:val="00323EBA"/>
    <w:rsid w:val="00324182"/>
    <w:rsid w:val="00324205"/>
    <w:rsid w:val="003242F3"/>
    <w:rsid w:val="0032494F"/>
    <w:rsid w:val="00324DF4"/>
    <w:rsid w:val="003251C6"/>
    <w:rsid w:val="003252C2"/>
    <w:rsid w:val="00325CB2"/>
    <w:rsid w:val="003260AF"/>
    <w:rsid w:val="0032696E"/>
    <w:rsid w:val="003269F8"/>
    <w:rsid w:val="00326B1A"/>
    <w:rsid w:val="00326BA4"/>
    <w:rsid w:val="00326E27"/>
    <w:rsid w:val="0032723A"/>
    <w:rsid w:val="0032755D"/>
    <w:rsid w:val="00327C1C"/>
    <w:rsid w:val="00327E38"/>
    <w:rsid w:val="00330944"/>
    <w:rsid w:val="00330C6F"/>
    <w:rsid w:val="00330E82"/>
    <w:rsid w:val="00331149"/>
    <w:rsid w:val="00331314"/>
    <w:rsid w:val="0033201B"/>
    <w:rsid w:val="003322AF"/>
    <w:rsid w:val="003323E7"/>
    <w:rsid w:val="00332915"/>
    <w:rsid w:val="00332A8B"/>
    <w:rsid w:val="00332B9D"/>
    <w:rsid w:val="0033311A"/>
    <w:rsid w:val="003333D3"/>
    <w:rsid w:val="00333491"/>
    <w:rsid w:val="00333839"/>
    <w:rsid w:val="00333C0F"/>
    <w:rsid w:val="00333EBA"/>
    <w:rsid w:val="0033422B"/>
    <w:rsid w:val="00334621"/>
    <w:rsid w:val="0033465D"/>
    <w:rsid w:val="00334871"/>
    <w:rsid w:val="00334BDC"/>
    <w:rsid w:val="00334DB2"/>
    <w:rsid w:val="00335100"/>
    <w:rsid w:val="00335333"/>
    <w:rsid w:val="00335CB8"/>
    <w:rsid w:val="00335E2B"/>
    <w:rsid w:val="00335F46"/>
    <w:rsid w:val="003360A0"/>
    <w:rsid w:val="00336A02"/>
    <w:rsid w:val="00336D71"/>
    <w:rsid w:val="00336DD5"/>
    <w:rsid w:val="00336EB7"/>
    <w:rsid w:val="00336F3A"/>
    <w:rsid w:val="00337025"/>
    <w:rsid w:val="00337530"/>
    <w:rsid w:val="0033763F"/>
    <w:rsid w:val="00337662"/>
    <w:rsid w:val="0033797D"/>
    <w:rsid w:val="00337FF4"/>
    <w:rsid w:val="0034097B"/>
    <w:rsid w:val="00340A2F"/>
    <w:rsid w:val="00340FAE"/>
    <w:rsid w:val="00341360"/>
    <w:rsid w:val="00341389"/>
    <w:rsid w:val="003414E8"/>
    <w:rsid w:val="00341748"/>
    <w:rsid w:val="00341966"/>
    <w:rsid w:val="003419B1"/>
    <w:rsid w:val="0034210F"/>
    <w:rsid w:val="00342370"/>
    <w:rsid w:val="00342828"/>
    <w:rsid w:val="00342B30"/>
    <w:rsid w:val="00342CFC"/>
    <w:rsid w:val="00342E2C"/>
    <w:rsid w:val="00342E8F"/>
    <w:rsid w:val="003430F8"/>
    <w:rsid w:val="003432DA"/>
    <w:rsid w:val="00343838"/>
    <w:rsid w:val="0034388F"/>
    <w:rsid w:val="00343934"/>
    <w:rsid w:val="00343C32"/>
    <w:rsid w:val="00343C37"/>
    <w:rsid w:val="00343FAF"/>
    <w:rsid w:val="0034430F"/>
    <w:rsid w:val="00345071"/>
    <w:rsid w:val="003452A4"/>
    <w:rsid w:val="003456F0"/>
    <w:rsid w:val="00345AE4"/>
    <w:rsid w:val="00345BFA"/>
    <w:rsid w:val="003460FD"/>
    <w:rsid w:val="0034654B"/>
    <w:rsid w:val="00346CAE"/>
    <w:rsid w:val="0034724D"/>
    <w:rsid w:val="003472A2"/>
    <w:rsid w:val="003472FA"/>
    <w:rsid w:val="00347FA5"/>
    <w:rsid w:val="003505D3"/>
    <w:rsid w:val="00350927"/>
    <w:rsid w:val="00350A21"/>
    <w:rsid w:val="00350A76"/>
    <w:rsid w:val="00350B30"/>
    <w:rsid w:val="00350B6F"/>
    <w:rsid w:val="003510B1"/>
    <w:rsid w:val="0035114F"/>
    <w:rsid w:val="00351156"/>
    <w:rsid w:val="0035127A"/>
    <w:rsid w:val="0035149C"/>
    <w:rsid w:val="0035187A"/>
    <w:rsid w:val="0035193A"/>
    <w:rsid w:val="00351E32"/>
    <w:rsid w:val="003520C3"/>
    <w:rsid w:val="0035253E"/>
    <w:rsid w:val="0035268D"/>
    <w:rsid w:val="003527D5"/>
    <w:rsid w:val="00352CA0"/>
    <w:rsid w:val="00352ECB"/>
    <w:rsid w:val="0035351C"/>
    <w:rsid w:val="00353D19"/>
    <w:rsid w:val="003545DE"/>
    <w:rsid w:val="00354A01"/>
    <w:rsid w:val="00354D91"/>
    <w:rsid w:val="00354FFC"/>
    <w:rsid w:val="00355444"/>
    <w:rsid w:val="00355B14"/>
    <w:rsid w:val="00355F06"/>
    <w:rsid w:val="00356110"/>
    <w:rsid w:val="00356167"/>
    <w:rsid w:val="00356817"/>
    <w:rsid w:val="00356EDF"/>
    <w:rsid w:val="003570D3"/>
    <w:rsid w:val="00357171"/>
    <w:rsid w:val="00357455"/>
    <w:rsid w:val="00357CBF"/>
    <w:rsid w:val="0036002C"/>
    <w:rsid w:val="00360617"/>
    <w:rsid w:val="00360C2C"/>
    <w:rsid w:val="00360CCD"/>
    <w:rsid w:val="003612AC"/>
    <w:rsid w:val="003616AA"/>
    <w:rsid w:val="003628B9"/>
    <w:rsid w:val="0036298A"/>
    <w:rsid w:val="00362EC0"/>
    <w:rsid w:val="00363131"/>
    <w:rsid w:val="00363C43"/>
    <w:rsid w:val="00363CEE"/>
    <w:rsid w:val="003641F7"/>
    <w:rsid w:val="003649C1"/>
    <w:rsid w:val="00364A27"/>
    <w:rsid w:val="00364D67"/>
    <w:rsid w:val="00364FDC"/>
    <w:rsid w:val="003652C4"/>
    <w:rsid w:val="00365BE8"/>
    <w:rsid w:val="00365C9E"/>
    <w:rsid w:val="00365D3C"/>
    <w:rsid w:val="00366441"/>
    <w:rsid w:val="0036645E"/>
    <w:rsid w:val="00366686"/>
    <w:rsid w:val="00366A5D"/>
    <w:rsid w:val="00366D47"/>
    <w:rsid w:val="00366FEA"/>
    <w:rsid w:val="003671A0"/>
    <w:rsid w:val="00367207"/>
    <w:rsid w:val="003675D0"/>
    <w:rsid w:val="00367653"/>
    <w:rsid w:val="003678EA"/>
    <w:rsid w:val="003701E6"/>
    <w:rsid w:val="00370312"/>
    <w:rsid w:val="003704B2"/>
    <w:rsid w:val="003708B9"/>
    <w:rsid w:val="00370D08"/>
    <w:rsid w:val="00371338"/>
    <w:rsid w:val="00371FD1"/>
    <w:rsid w:val="00372710"/>
    <w:rsid w:val="00372ADA"/>
    <w:rsid w:val="00372DDB"/>
    <w:rsid w:val="00373364"/>
    <w:rsid w:val="00373833"/>
    <w:rsid w:val="0037416C"/>
    <w:rsid w:val="003741E1"/>
    <w:rsid w:val="00374336"/>
    <w:rsid w:val="00374B9F"/>
    <w:rsid w:val="00374C08"/>
    <w:rsid w:val="00374C66"/>
    <w:rsid w:val="00374E8B"/>
    <w:rsid w:val="0037531B"/>
    <w:rsid w:val="00375A44"/>
    <w:rsid w:val="00375A61"/>
    <w:rsid w:val="00375B4D"/>
    <w:rsid w:val="00375CCD"/>
    <w:rsid w:val="00375FBD"/>
    <w:rsid w:val="003762AA"/>
    <w:rsid w:val="003764E8"/>
    <w:rsid w:val="0037693E"/>
    <w:rsid w:val="00376AA5"/>
    <w:rsid w:val="0037705B"/>
    <w:rsid w:val="0037707A"/>
    <w:rsid w:val="00377804"/>
    <w:rsid w:val="00377989"/>
    <w:rsid w:val="00377A3A"/>
    <w:rsid w:val="00377BF4"/>
    <w:rsid w:val="00377D90"/>
    <w:rsid w:val="0038054A"/>
    <w:rsid w:val="00381216"/>
    <w:rsid w:val="003817CC"/>
    <w:rsid w:val="00381BF9"/>
    <w:rsid w:val="00381F9B"/>
    <w:rsid w:val="003821AB"/>
    <w:rsid w:val="003825AC"/>
    <w:rsid w:val="003825D9"/>
    <w:rsid w:val="00382B07"/>
    <w:rsid w:val="00383387"/>
    <w:rsid w:val="003833C8"/>
    <w:rsid w:val="0038374C"/>
    <w:rsid w:val="00383A79"/>
    <w:rsid w:val="00383AE8"/>
    <w:rsid w:val="00383AF5"/>
    <w:rsid w:val="00383CDE"/>
    <w:rsid w:val="00383D79"/>
    <w:rsid w:val="00384257"/>
    <w:rsid w:val="003843FF"/>
    <w:rsid w:val="00384DC3"/>
    <w:rsid w:val="00384DEB"/>
    <w:rsid w:val="0038516E"/>
    <w:rsid w:val="00385246"/>
    <w:rsid w:val="00385518"/>
    <w:rsid w:val="00385C9A"/>
    <w:rsid w:val="00385E3A"/>
    <w:rsid w:val="00385EA3"/>
    <w:rsid w:val="0038656A"/>
    <w:rsid w:val="00386755"/>
    <w:rsid w:val="003867AF"/>
    <w:rsid w:val="0038681B"/>
    <w:rsid w:val="00386AD2"/>
    <w:rsid w:val="00386ADB"/>
    <w:rsid w:val="00386B1C"/>
    <w:rsid w:val="00386B2A"/>
    <w:rsid w:val="00386E65"/>
    <w:rsid w:val="00387109"/>
    <w:rsid w:val="00387752"/>
    <w:rsid w:val="00387DCE"/>
    <w:rsid w:val="00387DE3"/>
    <w:rsid w:val="0039012E"/>
    <w:rsid w:val="003911E3"/>
    <w:rsid w:val="0039131C"/>
    <w:rsid w:val="003913E5"/>
    <w:rsid w:val="00391752"/>
    <w:rsid w:val="00391AC6"/>
    <w:rsid w:val="00391C9B"/>
    <w:rsid w:val="00392296"/>
    <w:rsid w:val="0039248E"/>
    <w:rsid w:val="003924C5"/>
    <w:rsid w:val="003924FE"/>
    <w:rsid w:val="0039276C"/>
    <w:rsid w:val="00392A4F"/>
    <w:rsid w:val="00392B75"/>
    <w:rsid w:val="00392D01"/>
    <w:rsid w:val="00393308"/>
    <w:rsid w:val="003933AB"/>
    <w:rsid w:val="003935A7"/>
    <w:rsid w:val="0039392F"/>
    <w:rsid w:val="0039395A"/>
    <w:rsid w:val="0039490A"/>
    <w:rsid w:val="00394B05"/>
    <w:rsid w:val="00394B34"/>
    <w:rsid w:val="00394E55"/>
    <w:rsid w:val="00395228"/>
    <w:rsid w:val="003955BA"/>
    <w:rsid w:val="003955DE"/>
    <w:rsid w:val="0039569D"/>
    <w:rsid w:val="00395916"/>
    <w:rsid w:val="00395E11"/>
    <w:rsid w:val="00395EFE"/>
    <w:rsid w:val="00396169"/>
    <w:rsid w:val="00396173"/>
    <w:rsid w:val="0039618F"/>
    <w:rsid w:val="0039622F"/>
    <w:rsid w:val="00396545"/>
    <w:rsid w:val="003969E1"/>
    <w:rsid w:val="00396ADB"/>
    <w:rsid w:val="00397329"/>
    <w:rsid w:val="003976A1"/>
    <w:rsid w:val="00397706"/>
    <w:rsid w:val="003977B2"/>
    <w:rsid w:val="003A000C"/>
    <w:rsid w:val="003A0580"/>
    <w:rsid w:val="003A07C0"/>
    <w:rsid w:val="003A0BCC"/>
    <w:rsid w:val="003A0CD8"/>
    <w:rsid w:val="003A0E2F"/>
    <w:rsid w:val="003A0ECD"/>
    <w:rsid w:val="003A0F3C"/>
    <w:rsid w:val="003A1059"/>
    <w:rsid w:val="003A13DF"/>
    <w:rsid w:val="003A1712"/>
    <w:rsid w:val="003A1786"/>
    <w:rsid w:val="003A18E2"/>
    <w:rsid w:val="003A1AFE"/>
    <w:rsid w:val="003A1CD7"/>
    <w:rsid w:val="003A21F4"/>
    <w:rsid w:val="003A2A62"/>
    <w:rsid w:val="003A2CAF"/>
    <w:rsid w:val="003A3DB2"/>
    <w:rsid w:val="003A4259"/>
    <w:rsid w:val="003A467B"/>
    <w:rsid w:val="003A494E"/>
    <w:rsid w:val="003A4ADE"/>
    <w:rsid w:val="003A4C91"/>
    <w:rsid w:val="003A525F"/>
    <w:rsid w:val="003A52E0"/>
    <w:rsid w:val="003A5431"/>
    <w:rsid w:val="003A57A1"/>
    <w:rsid w:val="003A57B2"/>
    <w:rsid w:val="003A597C"/>
    <w:rsid w:val="003A5E8A"/>
    <w:rsid w:val="003A684F"/>
    <w:rsid w:val="003A6987"/>
    <w:rsid w:val="003A6D59"/>
    <w:rsid w:val="003A6ED7"/>
    <w:rsid w:val="003A7009"/>
    <w:rsid w:val="003A704F"/>
    <w:rsid w:val="003A729D"/>
    <w:rsid w:val="003A7B3C"/>
    <w:rsid w:val="003A7F5D"/>
    <w:rsid w:val="003B0354"/>
    <w:rsid w:val="003B08B1"/>
    <w:rsid w:val="003B0A73"/>
    <w:rsid w:val="003B0C89"/>
    <w:rsid w:val="003B1187"/>
    <w:rsid w:val="003B17B9"/>
    <w:rsid w:val="003B1814"/>
    <w:rsid w:val="003B1914"/>
    <w:rsid w:val="003B283E"/>
    <w:rsid w:val="003B2A81"/>
    <w:rsid w:val="003B2E72"/>
    <w:rsid w:val="003B30D8"/>
    <w:rsid w:val="003B32AA"/>
    <w:rsid w:val="003B32D6"/>
    <w:rsid w:val="003B330A"/>
    <w:rsid w:val="003B34C6"/>
    <w:rsid w:val="003B35C1"/>
    <w:rsid w:val="003B3B98"/>
    <w:rsid w:val="003B3CD3"/>
    <w:rsid w:val="003B3DE6"/>
    <w:rsid w:val="003B4168"/>
    <w:rsid w:val="003B45B3"/>
    <w:rsid w:val="003B4D5A"/>
    <w:rsid w:val="003B575D"/>
    <w:rsid w:val="003B5C46"/>
    <w:rsid w:val="003B5C4C"/>
    <w:rsid w:val="003B5CB6"/>
    <w:rsid w:val="003B5F80"/>
    <w:rsid w:val="003B646B"/>
    <w:rsid w:val="003B6730"/>
    <w:rsid w:val="003B6737"/>
    <w:rsid w:val="003B6976"/>
    <w:rsid w:val="003B6EF2"/>
    <w:rsid w:val="003B7029"/>
    <w:rsid w:val="003B70B3"/>
    <w:rsid w:val="003B763E"/>
    <w:rsid w:val="003B764F"/>
    <w:rsid w:val="003B788C"/>
    <w:rsid w:val="003B7EAC"/>
    <w:rsid w:val="003B7F28"/>
    <w:rsid w:val="003B7FB9"/>
    <w:rsid w:val="003C052F"/>
    <w:rsid w:val="003C0727"/>
    <w:rsid w:val="003C07EB"/>
    <w:rsid w:val="003C085E"/>
    <w:rsid w:val="003C0BF0"/>
    <w:rsid w:val="003C0CAD"/>
    <w:rsid w:val="003C0CDE"/>
    <w:rsid w:val="003C0F7C"/>
    <w:rsid w:val="003C0F8B"/>
    <w:rsid w:val="003C1009"/>
    <w:rsid w:val="003C1333"/>
    <w:rsid w:val="003C16A6"/>
    <w:rsid w:val="003C16F9"/>
    <w:rsid w:val="003C16FC"/>
    <w:rsid w:val="003C1947"/>
    <w:rsid w:val="003C19A0"/>
    <w:rsid w:val="003C1BB5"/>
    <w:rsid w:val="003C1C23"/>
    <w:rsid w:val="003C21AC"/>
    <w:rsid w:val="003C26B7"/>
    <w:rsid w:val="003C2745"/>
    <w:rsid w:val="003C2768"/>
    <w:rsid w:val="003C2B3D"/>
    <w:rsid w:val="003C2F50"/>
    <w:rsid w:val="003C3A44"/>
    <w:rsid w:val="003C3B19"/>
    <w:rsid w:val="003C3DB4"/>
    <w:rsid w:val="003C425F"/>
    <w:rsid w:val="003C436E"/>
    <w:rsid w:val="003C4437"/>
    <w:rsid w:val="003C54E5"/>
    <w:rsid w:val="003C573D"/>
    <w:rsid w:val="003C5880"/>
    <w:rsid w:val="003C5CEB"/>
    <w:rsid w:val="003C6BEE"/>
    <w:rsid w:val="003C6C66"/>
    <w:rsid w:val="003C6E50"/>
    <w:rsid w:val="003C6F6D"/>
    <w:rsid w:val="003C72F1"/>
    <w:rsid w:val="003C7462"/>
    <w:rsid w:val="003C7502"/>
    <w:rsid w:val="003C753A"/>
    <w:rsid w:val="003C7A81"/>
    <w:rsid w:val="003C7B83"/>
    <w:rsid w:val="003C7E02"/>
    <w:rsid w:val="003C7EF6"/>
    <w:rsid w:val="003D013E"/>
    <w:rsid w:val="003D01D3"/>
    <w:rsid w:val="003D057B"/>
    <w:rsid w:val="003D0DD0"/>
    <w:rsid w:val="003D1987"/>
    <w:rsid w:val="003D1E15"/>
    <w:rsid w:val="003D2108"/>
    <w:rsid w:val="003D227A"/>
    <w:rsid w:val="003D23FB"/>
    <w:rsid w:val="003D25B3"/>
    <w:rsid w:val="003D26C0"/>
    <w:rsid w:val="003D2C2F"/>
    <w:rsid w:val="003D36BF"/>
    <w:rsid w:val="003D3767"/>
    <w:rsid w:val="003D3BAC"/>
    <w:rsid w:val="003D3BF3"/>
    <w:rsid w:val="003D404E"/>
    <w:rsid w:val="003D4058"/>
    <w:rsid w:val="003D410D"/>
    <w:rsid w:val="003D41C7"/>
    <w:rsid w:val="003D42DE"/>
    <w:rsid w:val="003D4C5B"/>
    <w:rsid w:val="003D4CDB"/>
    <w:rsid w:val="003D503B"/>
    <w:rsid w:val="003D55AF"/>
    <w:rsid w:val="003D56AA"/>
    <w:rsid w:val="003D56FC"/>
    <w:rsid w:val="003D5A79"/>
    <w:rsid w:val="003D5A7B"/>
    <w:rsid w:val="003D5FB9"/>
    <w:rsid w:val="003D6199"/>
    <w:rsid w:val="003D61A7"/>
    <w:rsid w:val="003D62CA"/>
    <w:rsid w:val="003D6456"/>
    <w:rsid w:val="003D6467"/>
    <w:rsid w:val="003D6C39"/>
    <w:rsid w:val="003D7060"/>
    <w:rsid w:val="003D7E11"/>
    <w:rsid w:val="003E00BF"/>
    <w:rsid w:val="003E0160"/>
    <w:rsid w:val="003E025F"/>
    <w:rsid w:val="003E0766"/>
    <w:rsid w:val="003E0AF7"/>
    <w:rsid w:val="003E0B5E"/>
    <w:rsid w:val="003E0C4D"/>
    <w:rsid w:val="003E15A8"/>
    <w:rsid w:val="003E1798"/>
    <w:rsid w:val="003E1875"/>
    <w:rsid w:val="003E1C43"/>
    <w:rsid w:val="003E1CCB"/>
    <w:rsid w:val="003E1F6D"/>
    <w:rsid w:val="003E22FE"/>
    <w:rsid w:val="003E2F69"/>
    <w:rsid w:val="003E313E"/>
    <w:rsid w:val="003E33C2"/>
    <w:rsid w:val="003E34F7"/>
    <w:rsid w:val="003E388B"/>
    <w:rsid w:val="003E3D95"/>
    <w:rsid w:val="003E43D2"/>
    <w:rsid w:val="003E4689"/>
    <w:rsid w:val="003E4A15"/>
    <w:rsid w:val="003E4D0D"/>
    <w:rsid w:val="003E4EEB"/>
    <w:rsid w:val="003E5166"/>
    <w:rsid w:val="003E5353"/>
    <w:rsid w:val="003E5592"/>
    <w:rsid w:val="003E5765"/>
    <w:rsid w:val="003E576E"/>
    <w:rsid w:val="003E5FF5"/>
    <w:rsid w:val="003E6CA4"/>
    <w:rsid w:val="003E6F65"/>
    <w:rsid w:val="003E724B"/>
    <w:rsid w:val="003E72B6"/>
    <w:rsid w:val="003E73D2"/>
    <w:rsid w:val="003E74CC"/>
    <w:rsid w:val="003E754F"/>
    <w:rsid w:val="003E77E8"/>
    <w:rsid w:val="003E7B42"/>
    <w:rsid w:val="003F01D7"/>
    <w:rsid w:val="003F03BE"/>
    <w:rsid w:val="003F0E63"/>
    <w:rsid w:val="003F0FD3"/>
    <w:rsid w:val="003F17B2"/>
    <w:rsid w:val="003F18A7"/>
    <w:rsid w:val="003F19BA"/>
    <w:rsid w:val="003F1BCE"/>
    <w:rsid w:val="003F1C21"/>
    <w:rsid w:val="003F1CBA"/>
    <w:rsid w:val="003F1E52"/>
    <w:rsid w:val="003F1E96"/>
    <w:rsid w:val="003F20ED"/>
    <w:rsid w:val="003F2370"/>
    <w:rsid w:val="003F2411"/>
    <w:rsid w:val="003F2504"/>
    <w:rsid w:val="003F2534"/>
    <w:rsid w:val="003F2C3A"/>
    <w:rsid w:val="003F3170"/>
    <w:rsid w:val="003F3305"/>
    <w:rsid w:val="003F3491"/>
    <w:rsid w:val="003F39D7"/>
    <w:rsid w:val="003F3B8D"/>
    <w:rsid w:val="003F3CD0"/>
    <w:rsid w:val="003F4691"/>
    <w:rsid w:val="003F4CFF"/>
    <w:rsid w:val="003F5559"/>
    <w:rsid w:val="003F5754"/>
    <w:rsid w:val="003F5947"/>
    <w:rsid w:val="003F5BF2"/>
    <w:rsid w:val="003F5D45"/>
    <w:rsid w:val="003F5DC9"/>
    <w:rsid w:val="003F6055"/>
    <w:rsid w:val="003F616C"/>
    <w:rsid w:val="003F689B"/>
    <w:rsid w:val="003F6BB5"/>
    <w:rsid w:val="003F6BB8"/>
    <w:rsid w:val="003F6D84"/>
    <w:rsid w:val="003F700B"/>
    <w:rsid w:val="003F711D"/>
    <w:rsid w:val="003F722F"/>
    <w:rsid w:val="003F7290"/>
    <w:rsid w:val="003F7750"/>
    <w:rsid w:val="003F79F5"/>
    <w:rsid w:val="003F79F6"/>
    <w:rsid w:val="003F7F86"/>
    <w:rsid w:val="004000A7"/>
    <w:rsid w:val="0040022E"/>
    <w:rsid w:val="00400643"/>
    <w:rsid w:val="004009FE"/>
    <w:rsid w:val="00400BB7"/>
    <w:rsid w:val="00400DF1"/>
    <w:rsid w:val="00400EA5"/>
    <w:rsid w:val="004015C5"/>
    <w:rsid w:val="00401620"/>
    <w:rsid w:val="00401622"/>
    <w:rsid w:val="00401AED"/>
    <w:rsid w:val="00401BE5"/>
    <w:rsid w:val="00401F78"/>
    <w:rsid w:val="00401FFF"/>
    <w:rsid w:val="0040210F"/>
    <w:rsid w:val="004024E0"/>
    <w:rsid w:val="004029A1"/>
    <w:rsid w:val="004033CA"/>
    <w:rsid w:val="0040349C"/>
    <w:rsid w:val="0040365D"/>
    <w:rsid w:val="00403AB5"/>
    <w:rsid w:val="00403E0A"/>
    <w:rsid w:val="00403F5A"/>
    <w:rsid w:val="00404EFA"/>
    <w:rsid w:val="00404EFD"/>
    <w:rsid w:val="00405393"/>
    <w:rsid w:val="0040570F"/>
    <w:rsid w:val="0040589C"/>
    <w:rsid w:val="004059A9"/>
    <w:rsid w:val="00405AC1"/>
    <w:rsid w:val="00405AE6"/>
    <w:rsid w:val="00406125"/>
    <w:rsid w:val="004061DB"/>
    <w:rsid w:val="004062F8"/>
    <w:rsid w:val="0040650D"/>
    <w:rsid w:val="0040683A"/>
    <w:rsid w:val="00406890"/>
    <w:rsid w:val="004072E1"/>
    <w:rsid w:val="004076BF"/>
    <w:rsid w:val="00407785"/>
    <w:rsid w:val="00407C27"/>
    <w:rsid w:val="00407D70"/>
    <w:rsid w:val="00410524"/>
    <w:rsid w:val="00410E7F"/>
    <w:rsid w:val="004112BF"/>
    <w:rsid w:val="0041139A"/>
    <w:rsid w:val="00411680"/>
    <w:rsid w:val="0041184B"/>
    <w:rsid w:val="00411987"/>
    <w:rsid w:val="00411B56"/>
    <w:rsid w:val="00411E92"/>
    <w:rsid w:val="00411F67"/>
    <w:rsid w:val="0041210C"/>
    <w:rsid w:val="00412277"/>
    <w:rsid w:val="004124CF"/>
    <w:rsid w:val="004126AF"/>
    <w:rsid w:val="004127D0"/>
    <w:rsid w:val="00412ED0"/>
    <w:rsid w:val="004134FA"/>
    <w:rsid w:val="00413A2D"/>
    <w:rsid w:val="00413C87"/>
    <w:rsid w:val="00413CC3"/>
    <w:rsid w:val="00414303"/>
    <w:rsid w:val="00414560"/>
    <w:rsid w:val="00414699"/>
    <w:rsid w:val="00414EBD"/>
    <w:rsid w:val="004152A0"/>
    <w:rsid w:val="00415AEB"/>
    <w:rsid w:val="00415E57"/>
    <w:rsid w:val="00415E66"/>
    <w:rsid w:val="00415FCC"/>
    <w:rsid w:val="0041603A"/>
    <w:rsid w:val="0041627B"/>
    <w:rsid w:val="00416400"/>
    <w:rsid w:val="0041642E"/>
    <w:rsid w:val="0041695F"/>
    <w:rsid w:val="00416CC3"/>
    <w:rsid w:val="00417086"/>
    <w:rsid w:val="0041713C"/>
    <w:rsid w:val="0041719E"/>
    <w:rsid w:val="0041784C"/>
    <w:rsid w:val="00417BDF"/>
    <w:rsid w:val="00417EBB"/>
    <w:rsid w:val="00420184"/>
    <w:rsid w:val="004201F1"/>
    <w:rsid w:val="004206E8"/>
    <w:rsid w:val="00420BDF"/>
    <w:rsid w:val="00420BFC"/>
    <w:rsid w:val="004216F0"/>
    <w:rsid w:val="00421AD5"/>
    <w:rsid w:val="004229C6"/>
    <w:rsid w:val="00423339"/>
    <w:rsid w:val="00423426"/>
    <w:rsid w:val="0042371C"/>
    <w:rsid w:val="0042402A"/>
    <w:rsid w:val="004243C8"/>
    <w:rsid w:val="0042446C"/>
    <w:rsid w:val="00424815"/>
    <w:rsid w:val="00424F3E"/>
    <w:rsid w:val="004254FB"/>
    <w:rsid w:val="00425E31"/>
    <w:rsid w:val="00426019"/>
    <w:rsid w:val="0042648B"/>
    <w:rsid w:val="004265F3"/>
    <w:rsid w:val="00426983"/>
    <w:rsid w:val="00426998"/>
    <w:rsid w:val="00426FF9"/>
    <w:rsid w:val="004271B6"/>
    <w:rsid w:val="00427DE0"/>
    <w:rsid w:val="00427E5F"/>
    <w:rsid w:val="004303C0"/>
    <w:rsid w:val="0043042E"/>
    <w:rsid w:val="004304E0"/>
    <w:rsid w:val="00430B04"/>
    <w:rsid w:val="00431B5B"/>
    <w:rsid w:val="00431C01"/>
    <w:rsid w:val="00431DC5"/>
    <w:rsid w:val="00432446"/>
    <w:rsid w:val="004324D6"/>
    <w:rsid w:val="004329B7"/>
    <w:rsid w:val="00432F2C"/>
    <w:rsid w:val="00433235"/>
    <w:rsid w:val="0043325E"/>
    <w:rsid w:val="00433336"/>
    <w:rsid w:val="00433412"/>
    <w:rsid w:val="004334FD"/>
    <w:rsid w:val="0043364C"/>
    <w:rsid w:val="00433AE4"/>
    <w:rsid w:val="00433CFB"/>
    <w:rsid w:val="00434029"/>
    <w:rsid w:val="00434181"/>
    <w:rsid w:val="004349F4"/>
    <w:rsid w:val="00434E2B"/>
    <w:rsid w:val="00435930"/>
    <w:rsid w:val="00435C1B"/>
    <w:rsid w:val="00436230"/>
    <w:rsid w:val="00436232"/>
    <w:rsid w:val="004364EC"/>
    <w:rsid w:val="0043667B"/>
    <w:rsid w:val="0043671A"/>
    <w:rsid w:val="00436AB1"/>
    <w:rsid w:val="00436C8E"/>
    <w:rsid w:val="00437254"/>
    <w:rsid w:val="004372E9"/>
    <w:rsid w:val="00437351"/>
    <w:rsid w:val="004378F8"/>
    <w:rsid w:val="0043797D"/>
    <w:rsid w:val="004379EF"/>
    <w:rsid w:val="00437A48"/>
    <w:rsid w:val="00437CF1"/>
    <w:rsid w:val="00437EED"/>
    <w:rsid w:val="00440543"/>
    <w:rsid w:val="0044073C"/>
    <w:rsid w:val="00440CC4"/>
    <w:rsid w:val="00440EBB"/>
    <w:rsid w:val="00440F53"/>
    <w:rsid w:val="004416C5"/>
    <w:rsid w:val="004423E6"/>
    <w:rsid w:val="004425BF"/>
    <w:rsid w:val="00442A35"/>
    <w:rsid w:val="004430E3"/>
    <w:rsid w:val="00443483"/>
    <w:rsid w:val="00443974"/>
    <w:rsid w:val="00443AEF"/>
    <w:rsid w:val="00443DD2"/>
    <w:rsid w:val="0044419D"/>
    <w:rsid w:val="0044448F"/>
    <w:rsid w:val="004448CF"/>
    <w:rsid w:val="00444B46"/>
    <w:rsid w:val="00444EB7"/>
    <w:rsid w:val="004454CB"/>
    <w:rsid w:val="0044613F"/>
    <w:rsid w:val="004467A9"/>
    <w:rsid w:val="004471EA"/>
    <w:rsid w:val="00447428"/>
    <w:rsid w:val="00447448"/>
    <w:rsid w:val="0044777C"/>
    <w:rsid w:val="0044783B"/>
    <w:rsid w:val="0044792F"/>
    <w:rsid w:val="00447972"/>
    <w:rsid w:val="00447AAD"/>
    <w:rsid w:val="00447FF7"/>
    <w:rsid w:val="0045004C"/>
    <w:rsid w:val="004502D3"/>
    <w:rsid w:val="00450856"/>
    <w:rsid w:val="00450BA7"/>
    <w:rsid w:val="00450BC5"/>
    <w:rsid w:val="004512A6"/>
    <w:rsid w:val="004517A7"/>
    <w:rsid w:val="00451B49"/>
    <w:rsid w:val="00451D86"/>
    <w:rsid w:val="0045209A"/>
    <w:rsid w:val="00452866"/>
    <w:rsid w:val="00453015"/>
    <w:rsid w:val="0045304A"/>
    <w:rsid w:val="00453561"/>
    <w:rsid w:val="004535E0"/>
    <w:rsid w:val="00453A0C"/>
    <w:rsid w:val="00454259"/>
    <w:rsid w:val="004543AC"/>
    <w:rsid w:val="004547B4"/>
    <w:rsid w:val="00454E77"/>
    <w:rsid w:val="00455080"/>
    <w:rsid w:val="00455338"/>
    <w:rsid w:val="004558D7"/>
    <w:rsid w:val="00455A80"/>
    <w:rsid w:val="0045628A"/>
    <w:rsid w:val="0045631D"/>
    <w:rsid w:val="004571EF"/>
    <w:rsid w:val="004573DD"/>
    <w:rsid w:val="0045786A"/>
    <w:rsid w:val="004578E0"/>
    <w:rsid w:val="00457AA6"/>
    <w:rsid w:val="00457C06"/>
    <w:rsid w:val="00457C43"/>
    <w:rsid w:val="004602EB"/>
    <w:rsid w:val="00460862"/>
    <w:rsid w:val="0046093F"/>
    <w:rsid w:val="00460BB1"/>
    <w:rsid w:val="00460E72"/>
    <w:rsid w:val="00460E86"/>
    <w:rsid w:val="00460ED0"/>
    <w:rsid w:val="004613C8"/>
    <w:rsid w:val="004614C8"/>
    <w:rsid w:val="0046153D"/>
    <w:rsid w:val="00461AA9"/>
    <w:rsid w:val="00461BB4"/>
    <w:rsid w:val="00461D54"/>
    <w:rsid w:val="00461E9D"/>
    <w:rsid w:val="00461FB9"/>
    <w:rsid w:val="00462411"/>
    <w:rsid w:val="0046254D"/>
    <w:rsid w:val="00462817"/>
    <w:rsid w:val="00462A5A"/>
    <w:rsid w:val="00462D30"/>
    <w:rsid w:val="00462FE5"/>
    <w:rsid w:val="00463070"/>
    <w:rsid w:val="004634C3"/>
    <w:rsid w:val="004635D0"/>
    <w:rsid w:val="00463641"/>
    <w:rsid w:val="0046370C"/>
    <w:rsid w:val="0046494C"/>
    <w:rsid w:val="00464A13"/>
    <w:rsid w:val="00464E38"/>
    <w:rsid w:val="00465102"/>
    <w:rsid w:val="00465390"/>
    <w:rsid w:val="004653DC"/>
    <w:rsid w:val="004656AC"/>
    <w:rsid w:val="00465835"/>
    <w:rsid w:val="00465860"/>
    <w:rsid w:val="004661A5"/>
    <w:rsid w:val="00466353"/>
    <w:rsid w:val="004663F9"/>
    <w:rsid w:val="00466561"/>
    <w:rsid w:val="0046681D"/>
    <w:rsid w:val="00466CC6"/>
    <w:rsid w:val="00466E51"/>
    <w:rsid w:val="00466EE7"/>
    <w:rsid w:val="00467398"/>
    <w:rsid w:val="004673E9"/>
    <w:rsid w:val="004674FD"/>
    <w:rsid w:val="00467656"/>
    <w:rsid w:val="00467802"/>
    <w:rsid w:val="00470481"/>
    <w:rsid w:val="00470E15"/>
    <w:rsid w:val="00470F66"/>
    <w:rsid w:val="004710A5"/>
    <w:rsid w:val="0047119C"/>
    <w:rsid w:val="004713EA"/>
    <w:rsid w:val="0047146D"/>
    <w:rsid w:val="004715F6"/>
    <w:rsid w:val="00471A73"/>
    <w:rsid w:val="00471C46"/>
    <w:rsid w:val="00471E7A"/>
    <w:rsid w:val="00472088"/>
    <w:rsid w:val="004725E1"/>
    <w:rsid w:val="004725F4"/>
    <w:rsid w:val="00472C0E"/>
    <w:rsid w:val="00472CB0"/>
    <w:rsid w:val="004731A4"/>
    <w:rsid w:val="004736AB"/>
    <w:rsid w:val="004737BD"/>
    <w:rsid w:val="00473F21"/>
    <w:rsid w:val="004743FA"/>
    <w:rsid w:val="0047459F"/>
    <w:rsid w:val="00474B22"/>
    <w:rsid w:val="00474CC0"/>
    <w:rsid w:val="00474D7A"/>
    <w:rsid w:val="00474E98"/>
    <w:rsid w:val="00475324"/>
    <w:rsid w:val="00475349"/>
    <w:rsid w:val="0047540E"/>
    <w:rsid w:val="00475996"/>
    <w:rsid w:val="00475DE0"/>
    <w:rsid w:val="0047655C"/>
    <w:rsid w:val="00476962"/>
    <w:rsid w:val="00476CA4"/>
    <w:rsid w:val="00476CBB"/>
    <w:rsid w:val="00477232"/>
    <w:rsid w:val="0047745C"/>
    <w:rsid w:val="00477527"/>
    <w:rsid w:val="00477B03"/>
    <w:rsid w:val="00477B74"/>
    <w:rsid w:val="00480093"/>
    <w:rsid w:val="004802D4"/>
    <w:rsid w:val="0048031B"/>
    <w:rsid w:val="00480382"/>
    <w:rsid w:val="004806A6"/>
    <w:rsid w:val="00480D21"/>
    <w:rsid w:val="00480E0C"/>
    <w:rsid w:val="00480E6C"/>
    <w:rsid w:val="00480F6D"/>
    <w:rsid w:val="00481369"/>
    <w:rsid w:val="00481503"/>
    <w:rsid w:val="004815F3"/>
    <w:rsid w:val="00481CF4"/>
    <w:rsid w:val="004821CB"/>
    <w:rsid w:val="004823E9"/>
    <w:rsid w:val="00482892"/>
    <w:rsid w:val="0048295D"/>
    <w:rsid w:val="00482A08"/>
    <w:rsid w:val="00482A7D"/>
    <w:rsid w:val="004832BD"/>
    <w:rsid w:val="0048345F"/>
    <w:rsid w:val="004835D5"/>
    <w:rsid w:val="00483CBD"/>
    <w:rsid w:val="00483F13"/>
    <w:rsid w:val="00484012"/>
    <w:rsid w:val="00484799"/>
    <w:rsid w:val="004848B3"/>
    <w:rsid w:val="00484CD7"/>
    <w:rsid w:val="00485139"/>
    <w:rsid w:val="00485191"/>
    <w:rsid w:val="004856C4"/>
    <w:rsid w:val="00485715"/>
    <w:rsid w:val="00485799"/>
    <w:rsid w:val="004858E4"/>
    <w:rsid w:val="004859E4"/>
    <w:rsid w:val="00485CC9"/>
    <w:rsid w:val="004860B3"/>
    <w:rsid w:val="0048635A"/>
    <w:rsid w:val="004865B2"/>
    <w:rsid w:val="00486B0E"/>
    <w:rsid w:val="00487480"/>
    <w:rsid w:val="0048749A"/>
    <w:rsid w:val="00487770"/>
    <w:rsid w:val="00487C98"/>
    <w:rsid w:val="00487FB9"/>
    <w:rsid w:val="00490286"/>
    <w:rsid w:val="00490619"/>
    <w:rsid w:val="0049091B"/>
    <w:rsid w:val="00490939"/>
    <w:rsid w:val="00490A82"/>
    <w:rsid w:val="004911E4"/>
    <w:rsid w:val="00491421"/>
    <w:rsid w:val="004916D2"/>
    <w:rsid w:val="00491A16"/>
    <w:rsid w:val="00491B5B"/>
    <w:rsid w:val="00491D20"/>
    <w:rsid w:val="0049268D"/>
    <w:rsid w:val="00492AC8"/>
    <w:rsid w:val="00492E3D"/>
    <w:rsid w:val="0049303B"/>
    <w:rsid w:val="004935DF"/>
    <w:rsid w:val="00493CEB"/>
    <w:rsid w:val="00493D0C"/>
    <w:rsid w:val="0049415C"/>
    <w:rsid w:val="00494823"/>
    <w:rsid w:val="0049497F"/>
    <w:rsid w:val="00494F18"/>
    <w:rsid w:val="00494FF3"/>
    <w:rsid w:val="004950E3"/>
    <w:rsid w:val="004952B2"/>
    <w:rsid w:val="00495A8A"/>
    <w:rsid w:val="00495E8C"/>
    <w:rsid w:val="00496199"/>
    <w:rsid w:val="004963A0"/>
    <w:rsid w:val="00496406"/>
    <w:rsid w:val="004968DE"/>
    <w:rsid w:val="004969A6"/>
    <w:rsid w:val="00496AB4"/>
    <w:rsid w:val="00496D56"/>
    <w:rsid w:val="00497356"/>
    <w:rsid w:val="004A0173"/>
    <w:rsid w:val="004A0483"/>
    <w:rsid w:val="004A05A8"/>
    <w:rsid w:val="004A0AD7"/>
    <w:rsid w:val="004A0CF5"/>
    <w:rsid w:val="004A131D"/>
    <w:rsid w:val="004A14A5"/>
    <w:rsid w:val="004A1996"/>
    <w:rsid w:val="004A1BED"/>
    <w:rsid w:val="004A1C97"/>
    <w:rsid w:val="004A2418"/>
    <w:rsid w:val="004A29A5"/>
    <w:rsid w:val="004A2ACE"/>
    <w:rsid w:val="004A31D0"/>
    <w:rsid w:val="004A34A7"/>
    <w:rsid w:val="004A37BB"/>
    <w:rsid w:val="004A3DA3"/>
    <w:rsid w:val="004A4589"/>
    <w:rsid w:val="004A49EA"/>
    <w:rsid w:val="004A4B89"/>
    <w:rsid w:val="004A4BE5"/>
    <w:rsid w:val="004A4CD6"/>
    <w:rsid w:val="004A4FF9"/>
    <w:rsid w:val="004A56DA"/>
    <w:rsid w:val="004A5707"/>
    <w:rsid w:val="004A611D"/>
    <w:rsid w:val="004A732F"/>
    <w:rsid w:val="004A748C"/>
    <w:rsid w:val="004A7B76"/>
    <w:rsid w:val="004B0399"/>
    <w:rsid w:val="004B05C4"/>
    <w:rsid w:val="004B05FD"/>
    <w:rsid w:val="004B0B90"/>
    <w:rsid w:val="004B0BCB"/>
    <w:rsid w:val="004B0E0E"/>
    <w:rsid w:val="004B1222"/>
    <w:rsid w:val="004B1392"/>
    <w:rsid w:val="004B182E"/>
    <w:rsid w:val="004B1DAC"/>
    <w:rsid w:val="004B234E"/>
    <w:rsid w:val="004B243D"/>
    <w:rsid w:val="004B2440"/>
    <w:rsid w:val="004B25AE"/>
    <w:rsid w:val="004B267F"/>
    <w:rsid w:val="004B2AE4"/>
    <w:rsid w:val="004B3167"/>
    <w:rsid w:val="004B327E"/>
    <w:rsid w:val="004B335B"/>
    <w:rsid w:val="004B349D"/>
    <w:rsid w:val="004B34CE"/>
    <w:rsid w:val="004B36AC"/>
    <w:rsid w:val="004B3A3D"/>
    <w:rsid w:val="004B3F95"/>
    <w:rsid w:val="004B4291"/>
    <w:rsid w:val="004B48F4"/>
    <w:rsid w:val="004B4ED0"/>
    <w:rsid w:val="004B501B"/>
    <w:rsid w:val="004B5218"/>
    <w:rsid w:val="004B552C"/>
    <w:rsid w:val="004B6374"/>
    <w:rsid w:val="004B68AA"/>
    <w:rsid w:val="004B6FA8"/>
    <w:rsid w:val="004B75EE"/>
    <w:rsid w:val="004B7986"/>
    <w:rsid w:val="004B7D79"/>
    <w:rsid w:val="004C02B9"/>
    <w:rsid w:val="004C0367"/>
    <w:rsid w:val="004C03FA"/>
    <w:rsid w:val="004C096B"/>
    <w:rsid w:val="004C0BA7"/>
    <w:rsid w:val="004C0DDC"/>
    <w:rsid w:val="004C11C4"/>
    <w:rsid w:val="004C159E"/>
    <w:rsid w:val="004C1AE2"/>
    <w:rsid w:val="004C1E24"/>
    <w:rsid w:val="004C1F2D"/>
    <w:rsid w:val="004C1F87"/>
    <w:rsid w:val="004C2014"/>
    <w:rsid w:val="004C2397"/>
    <w:rsid w:val="004C2503"/>
    <w:rsid w:val="004C254D"/>
    <w:rsid w:val="004C27FA"/>
    <w:rsid w:val="004C28BD"/>
    <w:rsid w:val="004C2B82"/>
    <w:rsid w:val="004C2D13"/>
    <w:rsid w:val="004C324E"/>
    <w:rsid w:val="004C3576"/>
    <w:rsid w:val="004C3837"/>
    <w:rsid w:val="004C38F1"/>
    <w:rsid w:val="004C3918"/>
    <w:rsid w:val="004C3BD3"/>
    <w:rsid w:val="004C4350"/>
    <w:rsid w:val="004C441F"/>
    <w:rsid w:val="004C4BCF"/>
    <w:rsid w:val="004C4FC3"/>
    <w:rsid w:val="004C5321"/>
    <w:rsid w:val="004C5472"/>
    <w:rsid w:val="004C554E"/>
    <w:rsid w:val="004C58B2"/>
    <w:rsid w:val="004C5A9D"/>
    <w:rsid w:val="004C5B92"/>
    <w:rsid w:val="004C5EEC"/>
    <w:rsid w:val="004C61A7"/>
    <w:rsid w:val="004C63C0"/>
    <w:rsid w:val="004C6436"/>
    <w:rsid w:val="004C653C"/>
    <w:rsid w:val="004C65F6"/>
    <w:rsid w:val="004C673F"/>
    <w:rsid w:val="004C6AE8"/>
    <w:rsid w:val="004C6B2E"/>
    <w:rsid w:val="004C6E4F"/>
    <w:rsid w:val="004C7250"/>
    <w:rsid w:val="004C7265"/>
    <w:rsid w:val="004D0010"/>
    <w:rsid w:val="004D087F"/>
    <w:rsid w:val="004D0F92"/>
    <w:rsid w:val="004D126B"/>
    <w:rsid w:val="004D1453"/>
    <w:rsid w:val="004D1A31"/>
    <w:rsid w:val="004D1CED"/>
    <w:rsid w:val="004D1EB3"/>
    <w:rsid w:val="004D2554"/>
    <w:rsid w:val="004D2831"/>
    <w:rsid w:val="004D2943"/>
    <w:rsid w:val="004D2C9D"/>
    <w:rsid w:val="004D3066"/>
    <w:rsid w:val="004D3107"/>
    <w:rsid w:val="004D356C"/>
    <w:rsid w:val="004D3654"/>
    <w:rsid w:val="004D36DE"/>
    <w:rsid w:val="004D36E8"/>
    <w:rsid w:val="004D3A36"/>
    <w:rsid w:val="004D3C41"/>
    <w:rsid w:val="004D401D"/>
    <w:rsid w:val="004D41D9"/>
    <w:rsid w:val="004D4200"/>
    <w:rsid w:val="004D430A"/>
    <w:rsid w:val="004D4472"/>
    <w:rsid w:val="004D4B4A"/>
    <w:rsid w:val="004D4D65"/>
    <w:rsid w:val="004D5010"/>
    <w:rsid w:val="004D55E3"/>
    <w:rsid w:val="004D5682"/>
    <w:rsid w:val="004D569A"/>
    <w:rsid w:val="004D5A70"/>
    <w:rsid w:val="004D7459"/>
    <w:rsid w:val="004D7BDE"/>
    <w:rsid w:val="004D7C89"/>
    <w:rsid w:val="004D7DEA"/>
    <w:rsid w:val="004E04D7"/>
    <w:rsid w:val="004E0690"/>
    <w:rsid w:val="004E0749"/>
    <w:rsid w:val="004E11D9"/>
    <w:rsid w:val="004E18CE"/>
    <w:rsid w:val="004E1D90"/>
    <w:rsid w:val="004E1EB6"/>
    <w:rsid w:val="004E21D7"/>
    <w:rsid w:val="004E281E"/>
    <w:rsid w:val="004E2B85"/>
    <w:rsid w:val="004E2FAA"/>
    <w:rsid w:val="004E32A9"/>
    <w:rsid w:val="004E35F0"/>
    <w:rsid w:val="004E45BF"/>
    <w:rsid w:val="004E50A3"/>
    <w:rsid w:val="004E5271"/>
    <w:rsid w:val="004E53DB"/>
    <w:rsid w:val="004E5B99"/>
    <w:rsid w:val="004E6283"/>
    <w:rsid w:val="004E6CF2"/>
    <w:rsid w:val="004E709D"/>
    <w:rsid w:val="004E72E5"/>
    <w:rsid w:val="004E7810"/>
    <w:rsid w:val="004E7959"/>
    <w:rsid w:val="004E7983"/>
    <w:rsid w:val="004E7A37"/>
    <w:rsid w:val="004E7A8F"/>
    <w:rsid w:val="004E7D86"/>
    <w:rsid w:val="004F016F"/>
    <w:rsid w:val="004F090F"/>
    <w:rsid w:val="004F0BC4"/>
    <w:rsid w:val="004F0F95"/>
    <w:rsid w:val="004F19E1"/>
    <w:rsid w:val="004F1B7D"/>
    <w:rsid w:val="004F1C58"/>
    <w:rsid w:val="004F20A5"/>
    <w:rsid w:val="004F22F5"/>
    <w:rsid w:val="004F234F"/>
    <w:rsid w:val="004F239E"/>
    <w:rsid w:val="004F244F"/>
    <w:rsid w:val="004F24A0"/>
    <w:rsid w:val="004F263A"/>
    <w:rsid w:val="004F288A"/>
    <w:rsid w:val="004F28CD"/>
    <w:rsid w:val="004F36A4"/>
    <w:rsid w:val="004F3A69"/>
    <w:rsid w:val="004F3C98"/>
    <w:rsid w:val="004F3FF5"/>
    <w:rsid w:val="004F4A9C"/>
    <w:rsid w:val="004F4BBD"/>
    <w:rsid w:val="004F4C59"/>
    <w:rsid w:val="004F5392"/>
    <w:rsid w:val="004F53F9"/>
    <w:rsid w:val="004F5701"/>
    <w:rsid w:val="004F5764"/>
    <w:rsid w:val="004F5944"/>
    <w:rsid w:val="004F5CEE"/>
    <w:rsid w:val="004F5F60"/>
    <w:rsid w:val="004F603A"/>
    <w:rsid w:val="004F65AC"/>
    <w:rsid w:val="004F65C9"/>
    <w:rsid w:val="004F6AB3"/>
    <w:rsid w:val="004F6AB4"/>
    <w:rsid w:val="004F702F"/>
    <w:rsid w:val="004F73D1"/>
    <w:rsid w:val="004F7791"/>
    <w:rsid w:val="004F78E6"/>
    <w:rsid w:val="004F7C7C"/>
    <w:rsid w:val="004F7D3D"/>
    <w:rsid w:val="0050006A"/>
    <w:rsid w:val="00500301"/>
    <w:rsid w:val="005005E8"/>
    <w:rsid w:val="005011B7"/>
    <w:rsid w:val="00501397"/>
    <w:rsid w:val="00501874"/>
    <w:rsid w:val="005018EA"/>
    <w:rsid w:val="00501B24"/>
    <w:rsid w:val="00501B33"/>
    <w:rsid w:val="0050201E"/>
    <w:rsid w:val="00502227"/>
    <w:rsid w:val="00502A7C"/>
    <w:rsid w:val="00502BF2"/>
    <w:rsid w:val="00502E03"/>
    <w:rsid w:val="00503496"/>
    <w:rsid w:val="00503935"/>
    <w:rsid w:val="00503955"/>
    <w:rsid w:val="00503C10"/>
    <w:rsid w:val="00503C21"/>
    <w:rsid w:val="00503E3C"/>
    <w:rsid w:val="00503FA2"/>
    <w:rsid w:val="00504260"/>
    <w:rsid w:val="005042B4"/>
    <w:rsid w:val="005046A8"/>
    <w:rsid w:val="00504AAD"/>
    <w:rsid w:val="00504ADC"/>
    <w:rsid w:val="00504D58"/>
    <w:rsid w:val="005053F3"/>
    <w:rsid w:val="00505430"/>
    <w:rsid w:val="00505443"/>
    <w:rsid w:val="0050593C"/>
    <w:rsid w:val="00505B51"/>
    <w:rsid w:val="00505EC9"/>
    <w:rsid w:val="00505F26"/>
    <w:rsid w:val="00506E2C"/>
    <w:rsid w:val="00507248"/>
    <w:rsid w:val="0050730E"/>
    <w:rsid w:val="00507420"/>
    <w:rsid w:val="00507606"/>
    <w:rsid w:val="00507828"/>
    <w:rsid w:val="00507A7A"/>
    <w:rsid w:val="00507B66"/>
    <w:rsid w:val="00507BF0"/>
    <w:rsid w:val="00510411"/>
    <w:rsid w:val="00510937"/>
    <w:rsid w:val="005109B0"/>
    <w:rsid w:val="00510DD4"/>
    <w:rsid w:val="005111A2"/>
    <w:rsid w:val="005112E0"/>
    <w:rsid w:val="0051162C"/>
    <w:rsid w:val="005118FD"/>
    <w:rsid w:val="0051251F"/>
    <w:rsid w:val="005126F1"/>
    <w:rsid w:val="00512783"/>
    <w:rsid w:val="00512AD7"/>
    <w:rsid w:val="00512EDE"/>
    <w:rsid w:val="00512F42"/>
    <w:rsid w:val="005130A5"/>
    <w:rsid w:val="00513312"/>
    <w:rsid w:val="00513A13"/>
    <w:rsid w:val="00513DBE"/>
    <w:rsid w:val="00513F43"/>
    <w:rsid w:val="00514339"/>
    <w:rsid w:val="005153CD"/>
    <w:rsid w:val="00515642"/>
    <w:rsid w:val="005157EA"/>
    <w:rsid w:val="005158D0"/>
    <w:rsid w:val="00515D50"/>
    <w:rsid w:val="00515EEE"/>
    <w:rsid w:val="00515FB7"/>
    <w:rsid w:val="00516047"/>
    <w:rsid w:val="00516254"/>
    <w:rsid w:val="00516929"/>
    <w:rsid w:val="00516D3C"/>
    <w:rsid w:val="00516D65"/>
    <w:rsid w:val="00517BCE"/>
    <w:rsid w:val="00517C01"/>
    <w:rsid w:val="0052003F"/>
    <w:rsid w:val="0052046F"/>
    <w:rsid w:val="005205D6"/>
    <w:rsid w:val="0052062D"/>
    <w:rsid w:val="005209D0"/>
    <w:rsid w:val="00520F6C"/>
    <w:rsid w:val="00520FB9"/>
    <w:rsid w:val="005213F4"/>
    <w:rsid w:val="0052237E"/>
    <w:rsid w:val="005223C9"/>
    <w:rsid w:val="005227E0"/>
    <w:rsid w:val="005227E9"/>
    <w:rsid w:val="00522AF6"/>
    <w:rsid w:val="00522B57"/>
    <w:rsid w:val="00522D9D"/>
    <w:rsid w:val="00522F3B"/>
    <w:rsid w:val="00522F48"/>
    <w:rsid w:val="005232BD"/>
    <w:rsid w:val="005234DA"/>
    <w:rsid w:val="00523743"/>
    <w:rsid w:val="005238F5"/>
    <w:rsid w:val="00524289"/>
    <w:rsid w:val="00524555"/>
    <w:rsid w:val="0052462B"/>
    <w:rsid w:val="00524653"/>
    <w:rsid w:val="00524A44"/>
    <w:rsid w:val="00524B37"/>
    <w:rsid w:val="005252BC"/>
    <w:rsid w:val="00525390"/>
    <w:rsid w:val="00526078"/>
    <w:rsid w:val="005265BD"/>
    <w:rsid w:val="0052688B"/>
    <w:rsid w:val="00526D96"/>
    <w:rsid w:val="005270CD"/>
    <w:rsid w:val="0052756F"/>
    <w:rsid w:val="00527957"/>
    <w:rsid w:val="00527B33"/>
    <w:rsid w:val="00527C55"/>
    <w:rsid w:val="00527F08"/>
    <w:rsid w:val="00530398"/>
    <w:rsid w:val="005304C1"/>
    <w:rsid w:val="005304E8"/>
    <w:rsid w:val="005307F6"/>
    <w:rsid w:val="00530AB3"/>
    <w:rsid w:val="00530D0C"/>
    <w:rsid w:val="005310A2"/>
    <w:rsid w:val="0053162F"/>
    <w:rsid w:val="00531A62"/>
    <w:rsid w:val="00531AF7"/>
    <w:rsid w:val="00531E10"/>
    <w:rsid w:val="00531F0F"/>
    <w:rsid w:val="0053295B"/>
    <w:rsid w:val="00533176"/>
    <w:rsid w:val="005334A5"/>
    <w:rsid w:val="005337BC"/>
    <w:rsid w:val="00533C75"/>
    <w:rsid w:val="00533E6C"/>
    <w:rsid w:val="0053402F"/>
    <w:rsid w:val="00534123"/>
    <w:rsid w:val="00534341"/>
    <w:rsid w:val="00534701"/>
    <w:rsid w:val="00534730"/>
    <w:rsid w:val="00534EBD"/>
    <w:rsid w:val="00534FAD"/>
    <w:rsid w:val="00535844"/>
    <w:rsid w:val="00535A65"/>
    <w:rsid w:val="005364F5"/>
    <w:rsid w:val="005369DC"/>
    <w:rsid w:val="00536F65"/>
    <w:rsid w:val="00536FAC"/>
    <w:rsid w:val="00536FBD"/>
    <w:rsid w:val="005372B3"/>
    <w:rsid w:val="0053737A"/>
    <w:rsid w:val="0053779E"/>
    <w:rsid w:val="00537B29"/>
    <w:rsid w:val="00537E35"/>
    <w:rsid w:val="00537F52"/>
    <w:rsid w:val="00540295"/>
    <w:rsid w:val="005407E5"/>
    <w:rsid w:val="00540D7B"/>
    <w:rsid w:val="0054184C"/>
    <w:rsid w:val="005418FD"/>
    <w:rsid w:val="00541F3A"/>
    <w:rsid w:val="005429F4"/>
    <w:rsid w:val="00542A40"/>
    <w:rsid w:val="00542D4D"/>
    <w:rsid w:val="0054302D"/>
    <w:rsid w:val="005433E9"/>
    <w:rsid w:val="00543548"/>
    <w:rsid w:val="005438D1"/>
    <w:rsid w:val="00543988"/>
    <w:rsid w:val="00544020"/>
    <w:rsid w:val="00544EAD"/>
    <w:rsid w:val="00544F14"/>
    <w:rsid w:val="0054504E"/>
    <w:rsid w:val="005450A0"/>
    <w:rsid w:val="00545256"/>
    <w:rsid w:val="00545662"/>
    <w:rsid w:val="0054569B"/>
    <w:rsid w:val="0054617C"/>
    <w:rsid w:val="00546285"/>
    <w:rsid w:val="005465B9"/>
    <w:rsid w:val="00546797"/>
    <w:rsid w:val="0054705B"/>
    <w:rsid w:val="0054719C"/>
    <w:rsid w:val="00547450"/>
    <w:rsid w:val="005475F4"/>
    <w:rsid w:val="00547940"/>
    <w:rsid w:val="00547E49"/>
    <w:rsid w:val="00547EC6"/>
    <w:rsid w:val="00550C6E"/>
    <w:rsid w:val="00550D77"/>
    <w:rsid w:val="00550EAE"/>
    <w:rsid w:val="005513F8"/>
    <w:rsid w:val="005518CE"/>
    <w:rsid w:val="00551948"/>
    <w:rsid w:val="00551A4C"/>
    <w:rsid w:val="00551C6C"/>
    <w:rsid w:val="00551F4F"/>
    <w:rsid w:val="005520A5"/>
    <w:rsid w:val="005520A6"/>
    <w:rsid w:val="00552203"/>
    <w:rsid w:val="0055229C"/>
    <w:rsid w:val="00552619"/>
    <w:rsid w:val="005527F8"/>
    <w:rsid w:val="0055294D"/>
    <w:rsid w:val="00552977"/>
    <w:rsid w:val="00553211"/>
    <w:rsid w:val="00553F6B"/>
    <w:rsid w:val="0055411B"/>
    <w:rsid w:val="0055477C"/>
    <w:rsid w:val="00554BA4"/>
    <w:rsid w:val="00555210"/>
    <w:rsid w:val="00555624"/>
    <w:rsid w:val="005556D1"/>
    <w:rsid w:val="00555843"/>
    <w:rsid w:val="005559EE"/>
    <w:rsid w:val="00555A69"/>
    <w:rsid w:val="00555B67"/>
    <w:rsid w:val="00555CE7"/>
    <w:rsid w:val="00555CEA"/>
    <w:rsid w:val="00555F35"/>
    <w:rsid w:val="00556C97"/>
    <w:rsid w:val="00556F56"/>
    <w:rsid w:val="0055797F"/>
    <w:rsid w:val="00557D9E"/>
    <w:rsid w:val="00557D9F"/>
    <w:rsid w:val="00557E58"/>
    <w:rsid w:val="0056021F"/>
    <w:rsid w:val="005604BC"/>
    <w:rsid w:val="00560DD4"/>
    <w:rsid w:val="00560E49"/>
    <w:rsid w:val="00561012"/>
    <w:rsid w:val="005618E0"/>
    <w:rsid w:val="00561977"/>
    <w:rsid w:val="00561B36"/>
    <w:rsid w:val="00561C31"/>
    <w:rsid w:val="00561CF3"/>
    <w:rsid w:val="00561F00"/>
    <w:rsid w:val="0056208E"/>
    <w:rsid w:val="005625AE"/>
    <w:rsid w:val="0056288A"/>
    <w:rsid w:val="00562989"/>
    <w:rsid w:val="00563036"/>
    <w:rsid w:val="0056360E"/>
    <w:rsid w:val="00563C2B"/>
    <w:rsid w:val="00563D1C"/>
    <w:rsid w:val="00563EC6"/>
    <w:rsid w:val="005644BB"/>
    <w:rsid w:val="00564771"/>
    <w:rsid w:val="005647C7"/>
    <w:rsid w:val="00564EEB"/>
    <w:rsid w:val="005653AF"/>
    <w:rsid w:val="005653C7"/>
    <w:rsid w:val="005654CD"/>
    <w:rsid w:val="005655C8"/>
    <w:rsid w:val="00565DF5"/>
    <w:rsid w:val="005662EF"/>
    <w:rsid w:val="00566970"/>
    <w:rsid w:val="005670FE"/>
    <w:rsid w:val="005671A3"/>
    <w:rsid w:val="0056736D"/>
    <w:rsid w:val="0056771C"/>
    <w:rsid w:val="00567E7E"/>
    <w:rsid w:val="00567FC7"/>
    <w:rsid w:val="005700C9"/>
    <w:rsid w:val="005709C7"/>
    <w:rsid w:val="00570A95"/>
    <w:rsid w:val="00570C4E"/>
    <w:rsid w:val="00570D50"/>
    <w:rsid w:val="00570F38"/>
    <w:rsid w:val="005711C1"/>
    <w:rsid w:val="005712F0"/>
    <w:rsid w:val="00571DB2"/>
    <w:rsid w:val="00572A1B"/>
    <w:rsid w:val="00572CCF"/>
    <w:rsid w:val="00572E18"/>
    <w:rsid w:val="005735FC"/>
    <w:rsid w:val="00573FC1"/>
    <w:rsid w:val="005741A7"/>
    <w:rsid w:val="005743CA"/>
    <w:rsid w:val="005743E7"/>
    <w:rsid w:val="00574508"/>
    <w:rsid w:val="005748F3"/>
    <w:rsid w:val="00574B81"/>
    <w:rsid w:val="00574C72"/>
    <w:rsid w:val="00574C8E"/>
    <w:rsid w:val="00574F6A"/>
    <w:rsid w:val="005755AB"/>
    <w:rsid w:val="00575FDC"/>
    <w:rsid w:val="005765C7"/>
    <w:rsid w:val="00576642"/>
    <w:rsid w:val="0057666B"/>
    <w:rsid w:val="00576675"/>
    <w:rsid w:val="0057696B"/>
    <w:rsid w:val="00577358"/>
    <w:rsid w:val="005773C5"/>
    <w:rsid w:val="005774A4"/>
    <w:rsid w:val="0057754B"/>
    <w:rsid w:val="00577B1A"/>
    <w:rsid w:val="00577DA6"/>
    <w:rsid w:val="00577E1D"/>
    <w:rsid w:val="00580093"/>
    <w:rsid w:val="005811EF"/>
    <w:rsid w:val="005816BE"/>
    <w:rsid w:val="0058179F"/>
    <w:rsid w:val="00581B21"/>
    <w:rsid w:val="0058253A"/>
    <w:rsid w:val="00582959"/>
    <w:rsid w:val="00582B75"/>
    <w:rsid w:val="0058328F"/>
    <w:rsid w:val="005832D0"/>
    <w:rsid w:val="005838A9"/>
    <w:rsid w:val="00583CDE"/>
    <w:rsid w:val="00583DBA"/>
    <w:rsid w:val="00583F4A"/>
    <w:rsid w:val="005840A4"/>
    <w:rsid w:val="005843D5"/>
    <w:rsid w:val="00584CF6"/>
    <w:rsid w:val="00584D5E"/>
    <w:rsid w:val="00585194"/>
    <w:rsid w:val="005856BB"/>
    <w:rsid w:val="00586131"/>
    <w:rsid w:val="00586292"/>
    <w:rsid w:val="00586498"/>
    <w:rsid w:val="005869F2"/>
    <w:rsid w:val="00586C88"/>
    <w:rsid w:val="00586CB1"/>
    <w:rsid w:val="00586CD3"/>
    <w:rsid w:val="00586F08"/>
    <w:rsid w:val="005870B6"/>
    <w:rsid w:val="005875C4"/>
    <w:rsid w:val="0059029C"/>
    <w:rsid w:val="005907C7"/>
    <w:rsid w:val="00590C35"/>
    <w:rsid w:val="00590CA6"/>
    <w:rsid w:val="0059117D"/>
    <w:rsid w:val="00591D41"/>
    <w:rsid w:val="00591EE4"/>
    <w:rsid w:val="005926E0"/>
    <w:rsid w:val="00592E11"/>
    <w:rsid w:val="00592F2E"/>
    <w:rsid w:val="005933E0"/>
    <w:rsid w:val="005936FD"/>
    <w:rsid w:val="00593941"/>
    <w:rsid w:val="00593CBA"/>
    <w:rsid w:val="00593EF1"/>
    <w:rsid w:val="005940BF"/>
    <w:rsid w:val="005941E2"/>
    <w:rsid w:val="0059464E"/>
    <w:rsid w:val="00594805"/>
    <w:rsid w:val="00594B77"/>
    <w:rsid w:val="0059509F"/>
    <w:rsid w:val="00595828"/>
    <w:rsid w:val="00595D97"/>
    <w:rsid w:val="005962D6"/>
    <w:rsid w:val="005963D0"/>
    <w:rsid w:val="00596654"/>
    <w:rsid w:val="00596671"/>
    <w:rsid w:val="00596798"/>
    <w:rsid w:val="0059682B"/>
    <w:rsid w:val="00596C5A"/>
    <w:rsid w:val="005973D5"/>
    <w:rsid w:val="00597A02"/>
    <w:rsid w:val="00597C44"/>
    <w:rsid w:val="005A0386"/>
    <w:rsid w:val="005A0C86"/>
    <w:rsid w:val="005A0D82"/>
    <w:rsid w:val="005A0DC7"/>
    <w:rsid w:val="005A0F6F"/>
    <w:rsid w:val="005A12EE"/>
    <w:rsid w:val="005A1401"/>
    <w:rsid w:val="005A1861"/>
    <w:rsid w:val="005A1CDE"/>
    <w:rsid w:val="005A1FA9"/>
    <w:rsid w:val="005A291D"/>
    <w:rsid w:val="005A2B2E"/>
    <w:rsid w:val="005A2CBB"/>
    <w:rsid w:val="005A2F15"/>
    <w:rsid w:val="005A2FE5"/>
    <w:rsid w:val="005A32C9"/>
    <w:rsid w:val="005A32FF"/>
    <w:rsid w:val="005A3C99"/>
    <w:rsid w:val="005A3F24"/>
    <w:rsid w:val="005A3F33"/>
    <w:rsid w:val="005A41EE"/>
    <w:rsid w:val="005A44C3"/>
    <w:rsid w:val="005A46EB"/>
    <w:rsid w:val="005A484F"/>
    <w:rsid w:val="005A48D8"/>
    <w:rsid w:val="005A49E6"/>
    <w:rsid w:val="005A4D9D"/>
    <w:rsid w:val="005A501C"/>
    <w:rsid w:val="005A54EF"/>
    <w:rsid w:val="005A558C"/>
    <w:rsid w:val="005A5CCC"/>
    <w:rsid w:val="005A6201"/>
    <w:rsid w:val="005A646F"/>
    <w:rsid w:val="005A665C"/>
    <w:rsid w:val="005A68AD"/>
    <w:rsid w:val="005A6AB7"/>
    <w:rsid w:val="005A6BE5"/>
    <w:rsid w:val="005A6F39"/>
    <w:rsid w:val="005A72DB"/>
    <w:rsid w:val="005A7612"/>
    <w:rsid w:val="005A7618"/>
    <w:rsid w:val="005A7826"/>
    <w:rsid w:val="005A7828"/>
    <w:rsid w:val="005A7996"/>
    <w:rsid w:val="005A7B59"/>
    <w:rsid w:val="005A7EBB"/>
    <w:rsid w:val="005B0821"/>
    <w:rsid w:val="005B0E06"/>
    <w:rsid w:val="005B0E2B"/>
    <w:rsid w:val="005B0E57"/>
    <w:rsid w:val="005B0F68"/>
    <w:rsid w:val="005B1200"/>
    <w:rsid w:val="005B1835"/>
    <w:rsid w:val="005B18DA"/>
    <w:rsid w:val="005B18E6"/>
    <w:rsid w:val="005B2115"/>
    <w:rsid w:val="005B26BE"/>
    <w:rsid w:val="005B272C"/>
    <w:rsid w:val="005B27ED"/>
    <w:rsid w:val="005B2BB1"/>
    <w:rsid w:val="005B2DD1"/>
    <w:rsid w:val="005B3592"/>
    <w:rsid w:val="005B3735"/>
    <w:rsid w:val="005B39B8"/>
    <w:rsid w:val="005B3C20"/>
    <w:rsid w:val="005B3C4F"/>
    <w:rsid w:val="005B3EE5"/>
    <w:rsid w:val="005B4151"/>
    <w:rsid w:val="005B48F3"/>
    <w:rsid w:val="005B4D7D"/>
    <w:rsid w:val="005B4EDE"/>
    <w:rsid w:val="005B4F94"/>
    <w:rsid w:val="005B4FA7"/>
    <w:rsid w:val="005B51AF"/>
    <w:rsid w:val="005B55B9"/>
    <w:rsid w:val="005B56B6"/>
    <w:rsid w:val="005B5C80"/>
    <w:rsid w:val="005B5F82"/>
    <w:rsid w:val="005B5FC2"/>
    <w:rsid w:val="005B6086"/>
    <w:rsid w:val="005B6224"/>
    <w:rsid w:val="005B6232"/>
    <w:rsid w:val="005B6439"/>
    <w:rsid w:val="005B6B31"/>
    <w:rsid w:val="005B6B40"/>
    <w:rsid w:val="005B7241"/>
    <w:rsid w:val="005B78E4"/>
    <w:rsid w:val="005C04C1"/>
    <w:rsid w:val="005C075C"/>
    <w:rsid w:val="005C085A"/>
    <w:rsid w:val="005C0AAB"/>
    <w:rsid w:val="005C0B98"/>
    <w:rsid w:val="005C0D75"/>
    <w:rsid w:val="005C0F24"/>
    <w:rsid w:val="005C103B"/>
    <w:rsid w:val="005C1CEE"/>
    <w:rsid w:val="005C29F5"/>
    <w:rsid w:val="005C3B5B"/>
    <w:rsid w:val="005C3D60"/>
    <w:rsid w:val="005C47A9"/>
    <w:rsid w:val="005C496B"/>
    <w:rsid w:val="005C4A65"/>
    <w:rsid w:val="005C4BD3"/>
    <w:rsid w:val="005C4C3D"/>
    <w:rsid w:val="005C5897"/>
    <w:rsid w:val="005C59DE"/>
    <w:rsid w:val="005C644C"/>
    <w:rsid w:val="005C6539"/>
    <w:rsid w:val="005C674C"/>
    <w:rsid w:val="005C6A15"/>
    <w:rsid w:val="005C6BAA"/>
    <w:rsid w:val="005C6D3F"/>
    <w:rsid w:val="005C7618"/>
    <w:rsid w:val="005C7626"/>
    <w:rsid w:val="005C76F2"/>
    <w:rsid w:val="005C7E75"/>
    <w:rsid w:val="005C7FAF"/>
    <w:rsid w:val="005D0080"/>
    <w:rsid w:val="005D0196"/>
    <w:rsid w:val="005D021E"/>
    <w:rsid w:val="005D034A"/>
    <w:rsid w:val="005D035D"/>
    <w:rsid w:val="005D07C3"/>
    <w:rsid w:val="005D07F9"/>
    <w:rsid w:val="005D12B3"/>
    <w:rsid w:val="005D1754"/>
    <w:rsid w:val="005D1BE8"/>
    <w:rsid w:val="005D2034"/>
    <w:rsid w:val="005D2133"/>
    <w:rsid w:val="005D2B13"/>
    <w:rsid w:val="005D2DE1"/>
    <w:rsid w:val="005D34B4"/>
    <w:rsid w:val="005D3CC7"/>
    <w:rsid w:val="005D3CF2"/>
    <w:rsid w:val="005D3D1C"/>
    <w:rsid w:val="005D40DE"/>
    <w:rsid w:val="005D434D"/>
    <w:rsid w:val="005D4384"/>
    <w:rsid w:val="005D4395"/>
    <w:rsid w:val="005D46A6"/>
    <w:rsid w:val="005D479A"/>
    <w:rsid w:val="005D49DB"/>
    <w:rsid w:val="005D522A"/>
    <w:rsid w:val="005D5686"/>
    <w:rsid w:val="005D5AA1"/>
    <w:rsid w:val="005D5E2A"/>
    <w:rsid w:val="005D63F4"/>
    <w:rsid w:val="005D6846"/>
    <w:rsid w:val="005D6CE1"/>
    <w:rsid w:val="005D6E83"/>
    <w:rsid w:val="005D6EB9"/>
    <w:rsid w:val="005D6EBB"/>
    <w:rsid w:val="005D6ED2"/>
    <w:rsid w:val="005D6F0C"/>
    <w:rsid w:val="005D725B"/>
    <w:rsid w:val="005D7A0D"/>
    <w:rsid w:val="005D7CCB"/>
    <w:rsid w:val="005D7E65"/>
    <w:rsid w:val="005E0132"/>
    <w:rsid w:val="005E022D"/>
    <w:rsid w:val="005E025B"/>
    <w:rsid w:val="005E03CD"/>
    <w:rsid w:val="005E04B3"/>
    <w:rsid w:val="005E071E"/>
    <w:rsid w:val="005E080D"/>
    <w:rsid w:val="005E09F9"/>
    <w:rsid w:val="005E0AA2"/>
    <w:rsid w:val="005E1234"/>
    <w:rsid w:val="005E1C82"/>
    <w:rsid w:val="005E2695"/>
    <w:rsid w:val="005E27B5"/>
    <w:rsid w:val="005E2811"/>
    <w:rsid w:val="005E2820"/>
    <w:rsid w:val="005E28B0"/>
    <w:rsid w:val="005E2A61"/>
    <w:rsid w:val="005E2BC4"/>
    <w:rsid w:val="005E302F"/>
    <w:rsid w:val="005E307B"/>
    <w:rsid w:val="005E33B1"/>
    <w:rsid w:val="005E3AE3"/>
    <w:rsid w:val="005E3B21"/>
    <w:rsid w:val="005E3C8D"/>
    <w:rsid w:val="005E3C93"/>
    <w:rsid w:val="005E3E78"/>
    <w:rsid w:val="005E3EE5"/>
    <w:rsid w:val="005E406D"/>
    <w:rsid w:val="005E40E0"/>
    <w:rsid w:val="005E41FB"/>
    <w:rsid w:val="005E4E5E"/>
    <w:rsid w:val="005E5667"/>
    <w:rsid w:val="005E56BA"/>
    <w:rsid w:val="005E56C0"/>
    <w:rsid w:val="005E5DF2"/>
    <w:rsid w:val="005E5F7D"/>
    <w:rsid w:val="005E5FCA"/>
    <w:rsid w:val="005E629A"/>
    <w:rsid w:val="005E66AB"/>
    <w:rsid w:val="005E678B"/>
    <w:rsid w:val="005E717D"/>
    <w:rsid w:val="005E7342"/>
    <w:rsid w:val="005E7819"/>
    <w:rsid w:val="005E793D"/>
    <w:rsid w:val="005E7D63"/>
    <w:rsid w:val="005F0095"/>
    <w:rsid w:val="005F02B1"/>
    <w:rsid w:val="005F12FC"/>
    <w:rsid w:val="005F1A0F"/>
    <w:rsid w:val="005F1BA8"/>
    <w:rsid w:val="005F1BE9"/>
    <w:rsid w:val="005F1F60"/>
    <w:rsid w:val="005F25AF"/>
    <w:rsid w:val="005F25E5"/>
    <w:rsid w:val="005F268C"/>
    <w:rsid w:val="005F2A14"/>
    <w:rsid w:val="005F2B4D"/>
    <w:rsid w:val="005F2BAD"/>
    <w:rsid w:val="005F33AE"/>
    <w:rsid w:val="005F39CD"/>
    <w:rsid w:val="005F403A"/>
    <w:rsid w:val="005F41D5"/>
    <w:rsid w:val="005F4245"/>
    <w:rsid w:val="005F44A6"/>
    <w:rsid w:val="005F4DC2"/>
    <w:rsid w:val="005F5271"/>
    <w:rsid w:val="005F5807"/>
    <w:rsid w:val="005F5B7F"/>
    <w:rsid w:val="005F5C06"/>
    <w:rsid w:val="005F5EC3"/>
    <w:rsid w:val="005F64FF"/>
    <w:rsid w:val="005F6658"/>
    <w:rsid w:val="005F67DC"/>
    <w:rsid w:val="005F703A"/>
    <w:rsid w:val="005F732A"/>
    <w:rsid w:val="005F7993"/>
    <w:rsid w:val="00600195"/>
    <w:rsid w:val="006001F3"/>
    <w:rsid w:val="006004B1"/>
    <w:rsid w:val="006008F7"/>
    <w:rsid w:val="0060094F"/>
    <w:rsid w:val="00600D0F"/>
    <w:rsid w:val="006012A3"/>
    <w:rsid w:val="00601341"/>
    <w:rsid w:val="00601358"/>
    <w:rsid w:val="00601556"/>
    <w:rsid w:val="006015C1"/>
    <w:rsid w:val="00601BA0"/>
    <w:rsid w:val="00601EF4"/>
    <w:rsid w:val="00601FB1"/>
    <w:rsid w:val="00602007"/>
    <w:rsid w:val="00602107"/>
    <w:rsid w:val="0060242F"/>
    <w:rsid w:val="00602570"/>
    <w:rsid w:val="0060317B"/>
    <w:rsid w:val="006032E6"/>
    <w:rsid w:val="006033B8"/>
    <w:rsid w:val="00603B42"/>
    <w:rsid w:val="00603E61"/>
    <w:rsid w:val="00603F0A"/>
    <w:rsid w:val="00604041"/>
    <w:rsid w:val="00604049"/>
    <w:rsid w:val="006047A0"/>
    <w:rsid w:val="00604881"/>
    <w:rsid w:val="006048E5"/>
    <w:rsid w:val="006051E5"/>
    <w:rsid w:val="00605243"/>
    <w:rsid w:val="00605511"/>
    <w:rsid w:val="00605857"/>
    <w:rsid w:val="00605986"/>
    <w:rsid w:val="00605CCB"/>
    <w:rsid w:val="006061E9"/>
    <w:rsid w:val="00606975"/>
    <w:rsid w:val="006074B9"/>
    <w:rsid w:val="006075AD"/>
    <w:rsid w:val="0060789E"/>
    <w:rsid w:val="00610016"/>
    <w:rsid w:val="00610251"/>
    <w:rsid w:val="006103BC"/>
    <w:rsid w:val="0061048C"/>
    <w:rsid w:val="00610820"/>
    <w:rsid w:val="00610BB5"/>
    <w:rsid w:val="00610CCD"/>
    <w:rsid w:val="00610F0B"/>
    <w:rsid w:val="00610FC9"/>
    <w:rsid w:val="0061153B"/>
    <w:rsid w:val="00611889"/>
    <w:rsid w:val="00611895"/>
    <w:rsid w:val="006118A9"/>
    <w:rsid w:val="00611B13"/>
    <w:rsid w:val="00611C34"/>
    <w:rsid w:val="0061216F"/>
    <w:rsid w:val="006122BE"/>
    <w:rsid w:val="006122E9"/>
    <w:rsid w:val="006129A3"/>
    <w:rsid w:val="00612F0A"/>
    <w:rsid w:val="00613083"/>
    <w:rsid w:val="006132BC"/>
    <w:rsid w:val="0061346A"/>
    <w:rsid w:val="00613567"/>
    <w:rsid w:val="0061392A"/>
    <w:rsid w:val="00613A9D"/>
    <w:rsid w:val="00613C3A"/>
    <w:rsid w:val="00614C37"/>
    <w:rsid w:val="00614FBE"/>
    <w:rsid w:val="006153F9"/>
    <w:rsid w:val="00615BDA"/>
    <w:rsid w:val="00615DA4"/>
    <w:rsid w:val="0061614E"/>
    <w:rsid w:val="006166E6"/>
    <w:rsid w:val="00616E74"/>
    <w:rsid w:val="00616F06"/>
    <w:rsid w:val="00617742"/>
    <w:rsid w:val="00617E38"/>
    <w:rsid w:val="00620303"/>
    <w:rsid w:val="00620434"/>
    <w:rsid w:val="00620572"/>
    <w:rsid w:val="006209D1"/>
    <w:rsid w:val="006209E9"/>
    <w:rsid w:val="00620A24"/>
    <w:rsid w:val="00620FA6"/>
    <w:rsid w:val="006217C4"/>
    <w:rsid w:val="00621823"/>
    <w:rsid w:val="0062195E"/>
    <w:rsid w:val="006219F7"/>
    <w:rsid w:val="006220BF"/>
    <w:rsid w:val="006225B6"/>
    <w:rsid w:val="006227AD"/>
    <w:rsid w:val="0062282E"/>
    <w:rsid w:val="006228EB"/>
    <w:rsid w:val="00622BE7"/>
    <w:rsid w:val="00622F58"/>
    <w:rsid w:val="00623644"/>
    <w:rsid w:val="00623BA8"/>
    <w:rsid w:val="00623D88"/>
    <w:rsid w:val="00624270"/>
    <w:rsid w:val="0062447C"/>
    <w:rsid w:val="006249D3"/>
    <w:rsid w:val="00624CDD"/>
    <w:rsid w:val="00624FA3"/>
    <w:rsid w:val="006253F3"/>
    <w:rsid w:val="006258F2"/>
    <w:rsid w:val="00625A4C"/>
    <w:rsid w:val="00625FB7"/>
    <w:rsid w:val="0062621B"/>
    <w:rsid w:val="006263CC"/>
    <w:rsid w:val="006269DD"/>
    <w:rsid w:val="0062725E"/>
    <w:rsid w:val="00627296"/>
    <w:rsid w:val="006272C1"/>
    <w:rsid w:val="00627300"/>
    <w:rsid w:val="006274AE"/>
    <w:rsid w:val="006275B1"/>
    <w:rsid w:val="0062791F"/>
    <w:rsid w:val="00627DB0"/>
    <w:rsid w:val="006300A8"/>
    <w:rsid w:val="00630569"/>
    <w:rsid w:val="006308F7"/>
    <w:rsid w:val="00630BB5"/>
    <w:rsid w:val="00630C9E"/>
    <w:rsid w:val="00630EB6"/>
    <w:rsid w:val="00631300"/>
    <w:rsid w:val="006314D6"/>
    <w:rsid w:val="00631690"/>
    <w:rsid w:val="00631B9E"/>
    <w:rsid w:val="0063220C"/>
    <w:rsid w:val="006328BA"/>
    <w:rsid w:val="00632F22"/>
    <w:rsid w:val="00633233"/>
    <w:rsid w:val="0063368C"/>
    <w:rsid w:val="00633759"/>
    <w:rsid w:val="00633760"/>
    <w:rsid w:val="00633992"/>
    <w:rsid w:val="00633A00"/>
    <w:rsid w:val="00633A92"/>
    <w:rsid w:val="0063455B"/>
    <w:rsid w:val="006345DF"/>
    <w:rsid w:val="00634837"/>
    <w:rsid w:val="00634C52"/>
    <w:rsid w:val="00634D00"/>
    <w:rsid w:val="00635052"/>
    <w:rsid w:val="006357B6"/>
    <w:rsid w:val="00635AF0"/>
    <w:rsid w:val="00635FBB"/>
    <w:rsid w:val="00636216"/>
    <w:rsid w:val="006367AF"/>
    <w:rsid w:val="0063743C"/>
    <w:rsid w:val="006376CF"/>
    <w:rsid w:val="00637B52"/>
    <w:rsid w:val="00637BEC"/>
    <w:rsid w:val="0064066C"/>
    <w:rsid w:val="006408CB"/>
    <w:rsid w:val="00640C13"/>
    <w:rsid w:val="00640C64"/>
    <w:rsid w:val="00640E1D"/>
    <w:rsid w:val="00641682"/>
    <w:rsid w:val="006418F4"/>
    <w:rsid w:val="00641989"/>
    <w:rsid w:val="00641AA4"/>
    <w:rsid w:val="00641D79"/>
    <w:rsid w:val="00641DA5"/>
    <w:rsid w:val="00641E56"/>
    <w:rsid w:val="00642119"/>
    <w:rsid w:val="00642235"/>
    <w:rsid w:val="006422A4"/>
    <w:rsid w:val="00642367"/>
    <w:rsid w:val="0064245A"/>
    <w:rsid w:val="00642494"/>
    <w:rsid w:val="006425AF"/>
    <w:rsid w:val="00642CE4"/>
    <w:rsid w:val="00642DDF"/>
    <w:rsid w:val="006430C8"/>
    <w:rsid w:val="006431B5"/>
    <w:rsid w:val="00643598"/>
    <w:rsid w:val="00643F27"/>
    <w:rsid w:val="00643FCE"/>
    <w:rsid w:val="00643FE4"/>
    <w:rsid w:val="0064414C"/>
    <w:rsid w:val="00644A4E"/>
    <w:rsid w:val="00644CC3"/>
    <w:rsid w:val="00644E23"/>
    <w:rsid w:val="0064559F"/>
    <w:rsid w:val="00645736"/>
    <w:rsid w:val="00645789"/>
    <w:rsid w:val="00646778"/>
    <w:rsid w:val="006469AE"/>
    <w:rsid w:val="00646A92"/>
    <w:rsid w:val="00646E02"/>
    <w:rsid w:val="00646E3E"/>
    <w:rsid w:val="00647006"/>
    <w:rsid w:val="0064724C"/>
    <w:rsid w:val="006472EF"/>
    <w:rsid w:val="0064763F"/>
    <w:rsid w:val="006477DC"/>
    <w:rsid w:val="00647EC6"/>
    <w:rsid w:val="00647F18"/>
    <w:rsid w:val="00650327"/>
    <w:rsid w:val="006503D4"/>
    <w:rsid w:val="006505A6"/>
    <w:rsid w:val="006509BF"/>
    <w:rsid w:val="00651A4D"/>
    <w:rsid w:val="00651B35"/>
    <w:rsid w:val="00651E28"/>
    <w:rsid w:val="00651E48"/>
    <w:rsid w:val="00652251"/>
    <w:rsid w:val="006526EC"/>
    <w:rsid w:val="00652D41"/>
    <w:rsid w:val="0065303D"/>
    <w:rsid w:val="006533BB"/>
    <w:rsid w:val="00653AA4"/>
    <w:rsid w:val="00653AF2"/>
    <w:rsid w:val="00653FAC"/>
    <w:rsid w:val="00654A5F"/>
    <w:rsid w:val="00654FF9"/>
    <w:rsid w:val="00654FFF"/>
    <w:rsid w:val="00655717"/>
    <w:rsid w:val="00655907"/>
    <w:rsid w:val="00655AB7"/>
    <w:rsid w:val="0065650B"/>
    <w:rsid w:val="00656845"/>
    <w:rsid w:val="00656FEC"/>
    <w:rsid w:val="00657076"/>
    <w:rsid w:val="00657176"/>
    <w:rsid w:val="00657392"/>
    <w:rsid w:val="0065744A"/>
    <w:rsid w:val="0066001E"/>
    <w:rsid w:val="00660217"/>
    <w:rsid w:val="00660951"/>
    <w:rsid w:val="006609B0"/>
    <w:rsid w:val="00660BA5"/>
    <w:rsid w:val="00660CD3"/>
    <w:rsid w:val="00660D22"/>
    <w:rsid w:val="00661046"/>
    <w:rsid w:val="00661662"/>
    <w:rsid w:val="00661BAA"/>
    <w:rsid w:val="00661DE5"/>
    <w:rsid w:val="006623D6"/>
    <w:rsid w:val="00662765"/>
    <w:rsid w:val="00662E68"/>
    <w:rsid w:val="00663326"/>
    <w:rsid w:val="00663546"/>
    <w:rsid w:val="00663790"/>
    <w:rsid w:val="00663D2B"/>
    <w:rsid w:val="00663F38"/>
    <w:rsid w:val="006646CE"/>
    <w:rsid w:val="00664790"/>
    <w:rsid w:val="00664A52"/>
    <w:rsid w:val="00664E03"/>
    <w:rsid w:val="00664FB3"/>
    <w:rsid w:val="006651FC"/>
    <w:rsid w:val="006653DC"/>
    <w:rsid w:val="0066557B"/>
    <w:rsid w:val="00665BFB"/>
    <w:rsid w:val="00665CBB"/>
    <w:rsid w:val="00665CEB"/>
    <w:rsid w:val="006660C9"/>
    <w:rsid w:val="0066618D"/>
    <w:rsid w:val="006661D0"/>
    <w:rsid w:val="006661F9"/>
    <w:rsid w:val="006666B0"/>
    <w:rsid w:val="00666777"/>
    <w:rsid w:val="00667563"/>
    <w:rsid w:val="0067004F"/>
    <w:rsid w:val="006709A2"/>
    <w:rsid w:val="00670E86"/>
    <w:rsid w:val="00671565"/>
    <w:rsid w:val="00671720"/>
    <w:rsid w:val="00671E1A"/>
    <w:rsid w:val="00671F31"/>
    <w:rsid w:val="006721AB"/>
    <w:rsid w:val="006722CB"/>
    <w:rsid w:val="0067246A"/>
    <w:rsid w:val="0067266C"/>
    <w:rsid w:val="006729DA"/>
    <w:rsid w:val="00672B42"/>
    <w:rsid w:val="00672FDE"/>
    <w:rsid w:val="0067304A"/>
    <w:rsid w:val="00673280"/>
    <w:rsid w:val="006739C3"/>
    <w:rsid w:val="00673C07"/>
    <w:rsid w:val="006742CE"/>
    <w:rsid w:val="0067489E"/>
    <w:rsid w:val="006748DE"/>
    <w:rsid w:val="00674B2B"/>
    <w:rsid w:val="006750E0"/>
    <w:rsid w:val="00675AC6"/>
    <w:rsid w:val="00675D14"/>
    <w:rsid w:val="006761A2"/>
    <w:rsid w:val="006765BD"/>
    <w:rsid w:val="00676B30"/>
    <w:rsid w:val="00676B55"/>
    <w:rsid w:val="00676CC3"/>
    <w:rsid w:val="00676E4D"/>
    <w:rsid w:val="00676E51"/>
    <w:rsid w:val="006771B0"/>
    <w:rsid w:val="006778FE"/>
    <w:rsid w:val="00677C73"/>
    <w:rsid w:val="00677C75"/>
    <w:rsid w:val="00677D5D"/>
    <w:rsid w:val="00677DAE"/>
    <w:rsid w:val="00677EF4"/>
    <w:rsid w:val="00680310"/>
    <w:rsid w:val="00680394"/>
    <w:rsid w:val="006803AB"/>
    <w:rsid w:val="006806B0"/>
    <w:rsid w:val="006806D6"/>
    <w:rsid w:val="006808FF"/>
    <w:rsid w:val="0068120E"/>
    <w:rsid w:val="006812AA"/>
    <w:rsid w:val="006812F9"/>
    <w:rsid w:val="006815CF"/>
    <w:rsid w:val="00681E8F"/>
    <w:rsid w:val="00681F04"/>
    <w:rsid w:val="006820C6"/>
    <w:rsid w:val="0068229F"/>
    <w:rsid w:val="00682D63"/>
    <w:rsid w:val="00683085"/>
    <w:rsid w:val="006830AA"/>
    <w:rsid w:val="006835E4"/>
    <w:rsid w:val="00683605"/>
    <w:rsid w:val="0068362B"/>
    <w:rsid w:val="00683991"/>
    <w:rsid w:val="00683C84"/>
    <w:rsid w:val="00683EF6"/>
    <w:rsid w:val="0068486B"/>
    <w:rsid w:val="00684FB8"/>
    <w:rsid w:val="0068509C"/>
    <w:rsid w:val="00685A2C"/>
    <w:rsid w:val="00685B01"/>
    <w:rsid w:val="00685C38"/>
    <w:rsid w:val="00685D81"/>
    <w:rsid w:val="00685E5A"/>
    <w:rsid w:val="00686AA8"/>
    <w:rsid w:val="00686B27"/>
    <w:rsid w:val="00686D8D"/>
    <w:rsid w:val="00686DE4"/>
    <w:rsid w:val="00686F86"/>
    <w:rsid w:val="006870D2"/>
    <w:rsid w:val="006871B6"/>
    <w:rsid w:val="006871BB"/>
    <w:rsid w:val="00687569"/>
    <w:rsid w:val="00687639"/>
    <w:rsid w:val="006876BB"/>
    <w:rsid w:val="00687743"/>
    <w:rsid w:val="006877E8"/>
    <w:rsid w:val="00687C26"/>
    <w:rsid w:val="00687DB3"/>
    <w:rsid w:val="00687EA1"/>
    <w:rsid w:val="00687EBC"/>
    <w:rsid w:val="00687FBC"/>
    <w:rsid w:val="006900D3"/>
    <w:rsid w:val="00690573"/>
    <w:rsid w:val="0069090D"/>
    <w:rsid w:val="00690D93"/>
    <w:rsid w:val="00690FFB"/>
    <w:rsid w:val="00691283"/>
    <w:rsid w:val="00691385"/>
    <w:rsid w:val="006918A9"/>
    <w:rsid w:val="00691A7C"/>
    <w:rsid w:val="00691A87"/>
    <w:rsid w:val="00691CE9"/>
    <w:rsid w:val="00691F77"/>
    <w:rsid w:val="00692407"/>
    <w:rsid w:val="00692737"/>
    <w:rsid w:val="00692F86"/>
    <w:rsid w:val="006937A3"/>
    <w:rsid w:val="00693972"/>
    <w:rsid w:val="00693B9E"/>
    <w:rsid w:val="00693CC0"/>
    <w:rsid w:val="00693DD5"/>
    <w:rsid w:val="00694290"/>
    <w:rsid w:val="00694973"/>
    <w:rsid w:val="006949A4"/>
    <w:rsid w:val="00694C02"/>
    <w:rsid w:val="00694D9B"/>
    <w:rsid w:val="00694EAD"/>
    <w:rsid w:val="006951D2"/>
    <w:rsid w:val="00695506"/>
    <w:rsid w:val="0069590A"/>
    <w:rsid w:val="006959B1"/>
    <w:rsid w:val="00695BDA"/>
    <w:rsid w:val="00695DFB"/>
    <w:rsid w:val="00695FA4"/>
    <w:rsid w:val="006960B3"/>
    <w:rsid w:val="0069617A"/>
    <w:rsid w:val="00696DA7"/>
    <w:rsid w:val="00696F38"/>
    <w:rsid w:val="00697F28"/>
    <w:rsid w:val="006A0113"/>
    <w:rsid w:val="006A01B9"/>
    <w:rsid w:val="006A047B"/>
    <w:rsid w:val="006A0488"/>
    <w:rsid w:val="006A05A6"/>
    <w:rsid w:val="006A11B1"/>
    <w:rsid w:val="006A144A"/>
    <w:rsid w:val="006A1981"/>
    <w:rsid w:val="006A19C8"/>
    <w:rsid w:val="006A1E02"/>
    <w:rsid w:val="006A26B8"/>
    <w:rsid w:val="006A26B9"/>
    <w:rsid w:val="006A26D5"/>
    <w:rsid w:val="006A282F"/>
    <w:rsid w:val="006A28BE"/>
    <w:rsid w:val="006A2AD9"/>
    <w:rsid w:val="006A2C3D"/>
    <w:rsid w:val="006A2CBA"/>
    <w:rsid w:val="006A315D"/>
    <w:rsid w:val="006A32E6"/>
    <w:rsid w:val="006A43C0"/>
    <w:rsid w:val="006A4869"/>
    <w:rsid w:val="006A4BAC"/>
    <w:rsid w:val="006A4DFA"/>
    <w:rsid w:val="006A4F8A"/>
    <w:rsid w:val="006A5074"/>
    <w:rsid w:val="006A52A7"/>
    <w:rsid w:val="006A5316"/>
    <w:rsid w:val="006A5A23"/>
    <w:rsid w:val="006A5D25"/>
    <w:rsid w:val="006A5DFE"/>
    <w:rsid w:val="006A6447"/>
    <w:rsid w:val="006A65DF"/>
    <w:rsid w:val="006A65FE"/>
    <w:rsid w:val="006A6619"/>
    <w:rsid w:val="006A6622"/>
    <w:rsid w:val="006A66EE"/>
    <w:rsid w:val="006A6740"/>
    <w:rsid w:val="006A6779"/>
    <w:rsid w:val="006A69F8"/>
    <w:rsid w:val="006A6BB1"/>
    <w:rsid w:val="006A6C80"/>
    <w:rsid w:val="006A731B"/>
    <w:rsid w:val="006A79D0"/>
    <w:rsid w:val="006A79F6"/>
    <w:rsid w:val="006B01EC"/>
    <w:rsid w:val="006B025C"/>
    <w:rsid w:val="006B05D2"/>
    <w:rsid w:val="006B09C1"/>
    <w:rsid w:val="006B0F11"/>
    <w:rsid w:val="006B0FE3"/>
    <w:rsid w:val="006B10B4"/>
    <w:rsid w:val="006B11F3"/>
    <w:rsid w:val="006B1307"/>
    <w:rsid w:val="006B149E"/>
    <w:rsid w:val="006B15A1"/>
    <w:rsid w:val="006B1712"/>
    <w:rsid w:val="006B1962"/>
    <w:rsid w:val="006B1C1C"/>
    <w:rsid w:val="006B1CF1"/>
    <w:rsid w:val="006B2289"/>
    <w:rsid w:val="006B28E1"/>
    <w:rsid w:val="006B2909"/>
    <w:rsid w:val="006B2A80"/>
    <w:rsid w:val="006B313E"/>
    <w:rsid w:val="006B34BA"/>
    <w:rsid w:val="006B393A"/>
    <w:rsid w:val="006B3B7D"/>
    <w:rsid w:val="006B40FB"/>
    <w:rsid w:val="006B4226"/>
    <w:rsid w:val="006B42F3"/>
    <w:rsid w:val="006B4555"/>
    <w:rsid w:val="006B461E"/>
    <w:rsid w:val="006B4888"/>
    <w:rsid w:val="006B489E"/>
    <w:rsid w:val="006B4A6D"/>
    <w:rsid w:val="006B5071"/>
    <w:rsid w:val="006B5498"/>
    <w:rsid w:val="006B554D"/>
    <w:rsid w:val="006B5C9B"/>
    <w:rsid w:val="006B5EC8"/>
    <w:rsid w:val="006B63AD"/>
    <w:rsid w:val="006B6A2D"/>
    <w:rsid w:val="006B6D20"/>
    <w:rsid w:val="006B6D93"/>
    <w:rsid w:val="006B6F78"/>
    <w:rsid w:val="006B752C"/>
    <w:rsid w:val="006B78C0"/>
    <w:rsid w:val="006B7A13"/>
    <w:rsid w:val="006B7B76"/>
    <w:rsid w:val="006C0454"/>
    <w:rsid w:val="006C0815"/>
    <w:rsid w:val="006C0B4D"/>
    <w:rsid w:val="006C0F9B"/>
    <w:rsid w:val="006C10B2"/>
    <w:rsid w:val="006C10FA"/>
    <w:rsid w:val="006C120B"/>
    <w:rsid w:val="006C1285"/>
    <w:rsid w:val="006C12CE"/>
    <w:rsid w:val="006C1896"/>
    <w:rsid w:val="006C1E03"/>
    <w:rsid w:val="006C22E0"/>
    <w:rsid w:val="006C2340"/>
    <w:rsid w:val="006C25D9"/>
    <w:rsid w:val="006C2818"/>
    <w:rsid w:val="006C290E"/>
    <w:rsid w:val="006C299E"/>
    <w:rsid w:val="006C2C55"/>
    <w:rsid w:val="006C2E05"/>
    <w:rsid w:val="006C2F09"/>
    <w:rsid w:val="006C319F"/>
    <w:rsid w:val="006C3DC9"/>
    <w:rsid w:val="006C4025"/>
    <w:rsid w:val="006C405D"/>
    <w:rsid w:val="006C4615"/>
    <w:rsid w:val="006C4621"/>
    <w:rsid w:val="006C48D2"/>
    <w:rsid w:val="006C4F91"/>
    <w:rsid w:val="006C5455"/>
    <w:rsid w:val="006C5580"/>
    <w:rsid w:val="006C56E3"/>
    <w:rsid w:val="006C5815"/>
    <w:rsid w:val="006C595B"/>
    <w:rsid w:val="006C5973"/>
    <w:rsid w:val="006C5B2D"/>
    <w:rsid w:val="006C5D46"/>
    <w:rsid w:val="006C6455"/>
    <w:rsid w:val="006C66AC"/>
    <w:rsid w:val="006C6949"/>
    <w:rsid w:val="006C698A"/>
    <w:rsid w:val="006C6AA3"/>
    <w:rsid w:val="006C7598"/>
    <w:rsid w:val="006C77E5"/>
    <w:rsid w:val="006C7DD6"/>
    <w:rsid w:val="006D01D3"/>
    <w:rsid w:val="006D02CB"/>
    <w:rsid w:val="006D0757"/>
    <w:rsid w:val="006D084F"/>
    <w:rsid w:val="006D0950"/>
    <w:rsid w:val="006D09F7"/>
    <w:rsid w:val="006D0A22"/>
    <w:rsid w:val="006D0DB3"/>
    <w:rsid w:val="006D102F"/>
    <w:rsid w:val="006D1069"/>
    <w:rsid w:val="006D11E9"/>
    <w:rsid w:val="006D1467"/>
    <w:rsid w:val="006D1551"/>
    <w:rsid w:val="006D1E76"/>
    <w:rsid w:val="006D20BD"/>
    <w:rsid w:val="006D2A1F"/>
    <w:rsid w:val="006D36AB"/>
    <w:rsid w:val="006D3946"/>
    <w:rsid w:val="006D40DF"/>
    <w:rsid w:val="006D430D"/>
    <w:rsid w:val="006D4357"/>
    <w:rsid w:val="006D5094"/>
    <w:rsid w:val="006D5348"/>
    <w:rsid w:val="006D55EC"/>
    <w:rsid w:val="006D5766"/>
    <w:rsid w:val="006D6477"/>
    <w:rsid w:val="006D64BD"/>
    <w:rsid w:val="006D651A"/>
    <w:rsid w:val="006D6934"/>
    <w:rsid w:val="006D6B1F"/>
    <w:rsid w:val="006D6C6E"/>
    <w:rsid w:val="006D6E05"/>
    <w:rsid w:val="006D7368"/>
    <w:rsid w:val="006E0094"/>
    <w:rsid w:val="006E0B21"/>
    <w:rsid w:val="006E0C95"/>
    <w:rsid w:val="006E0DE5"/>
    <w:rsid w:val="006E0F16"/>
    <w:rsid w:val="006E1349"/>
    <w:rsid w:val="006E19B3"/>
    <w:rsid w:val="006E250C"/>
    <w:rsid w:val="006E268E"/>
    <w:rsid w:val="006E2766"/>
    <w:rsid w:val="006E2A76"/>
    <w:rsid w:val="006E2AB5"/>
    <w:rsid w:val="006E2C89"/>
    <w:rsid w:val="006E305E"/>
    <w:rsid w:val="006E369C"/>
    <w:rsid w:val="006E36B4"/>
    <w:rsid w:val="006E39E3"/>
    <w:rsid w:val="006E3A56"/>
    <w:rsid w:val="006E3D0A"/>
    <w:rsid w:val="006E3F06"/>
    <w:rsid w:val="006E3FC2"/>
    <w:rsid w:val="006E425B"/>
    <w:rsid w:val="006E4A3B"/>
    <w:rsid w:val="006E4AA5"/>
    <w:rsid w:val="006E5412"/>
    <w:rsid w:val="006E571E"/>
    <w:rsid w:val="006E5786"/>
    <w:rsid w:val="006E5D32"/>
    <w:rsid w:val="006E5FF1"/>
    <w:rsid w:val="006E6766"/>
    <w:rsid w:val="006E68F7"/>
    <w:rsid w:val="006E6E1B"/>
    <w:rsid w:val="006E6F14"/>
    <w:rsid w:val="006E6F74"/>
    <w:rsid w:val="006E73D3"/>
    <w:rsid w:val="006E74C7"/>
    <w:rsid w:val="006E74EF"/>
    <w:rsid w:val="006E7596"/>
    <w:rsid w:val="006E768E"/>
    <w:rsid w:val="006E7694"/>
    <w:rsid w:val="006E76B4"/>
    <w:rsid w:val="006E7C7A"/>
    <w:rsid w:val="006E7E22"/>
    <w:rsid w:val="006E7F7B"/>
    <w:rsid w:val="006F029C"/>
    <w:rsid w:val="006F0880"/>
    <w:rsid w:val="006F0D44"/>
    <w:rsid w:val="006F0EA9"/>
    <w:rsid w:val="006F10B9"/>
    <w:rsid w:val="006F1181"/>
    <w:rsid w:val="006F139E"/>
    <w:rsid w:val="006F1BE9"/>
    <w:rsid w:val="006F1D33"/>
    <w:rsid w:val="006F1FE1"/>
    <w:rsid w:val="006F2290"/>
    <w:rsid w:val="006F23AF"/>
    <w:rsid w:val="006F24B0"/>
    <w:rsid w:val="006F297D"/>
    <w:rsid w:val="006F29B5"/>
    <w:rsid w:val="006F2B03"/>
    <w:rsid w:val="006F2B5E"/>
    <w:rsid w:val="006F2E08"/>
    <w:rsid w:val="006F35D4"/>
    <w:rsid w:val="006F364E"/>
    <w:rsid w:val="006F39D5"/>
    <w:rsid w:val="006F3C81"/>
    <w:rsid w:val="006F44C9"/>
    <w:rsid w:val="006F4634"/>
    <w:rsid w:val="006F480E"/>
    <w:rsid w:val="006F48CB"/>
    <w:rsid w:val="006F4A73"/>
    <w:rsid w:val="006F55CC"/>
    <w:rsid w:val="006F5685"/>
    <w:rsid w:val="006F56A1"/>
    <w:rsid w:val="006F5AE0"/>
    <w:rsid w:val="006F5D61"/>
    <w:rsid w:val="006F62BE"/>
    <w:rsid w:val="006F63A7"/>
    <w:rsid w:val="006F6572"/>
    <w:rsid w:val="006F6DA4"/>
    <w:rsid w:val="006F7062"/>
    <w:rsid w:val="006F7141"/>
    <w:rsid w:val="006F774F"/>
    <w:rsid w:val="006F7AC5"/>
    <w:rsid w:val="006F7B8C"/>
    <w:rsid w:val="006F7D60"/>
    <w:rsid w:val="0070004F"/>
    <w:rsid w:val="00700296"/>
    <w:rsid w:val="00700394"/>
    <w:rsid w:val="0070078D"/>
    <w:rsid w:val="00700A54"/>
    <w:rsid w:val="00700CA5"/>
    <w:rsid w:val="0070103B"/>
    <w:rsid w:val="0070135B"/>
    <w:rsid w:val="0070139E"/>
    <w:rsid w:val="007014EC"/>
    <w:rsid w:val="0070166C"/>
    <w:rsid w:val="00701CA4"/>
    <w:rsid w:val="00701FF7"/>
    <w:rsid w:val="00702127"/>
    <w:rsid w:val="00702387"/>
    <w:rsid w:val="0070293C"/>
    <w:rsid w:val="0070296C"/>
    <w:rsid w:val="00702A50"/>
    <w:rsid w:val="007034D8"/>
    <w:rsid w:val="007036CB"/>
    <w:rsid w:val="00703BAC"/>
    <w:rsid w:val="00703C10"/>
    <w:rsid w:val="00703DF4"/>
    <w:rsid w:val="0070439D"/>
    <w:rsid w:val="007043AE"/>
    <w:rsid w:val="00704444"/>
    <w:rsid w:val="00704447"/>
    <w:rsid w:val="0070452E"/>
    <w:rsid w:val="00704870"/>
    <w:rsid w:val="00705106"/>
    <w:rsid w:val="00705378"/>
    <w:rsid w:val="007055FE"/>
    <w:rsid w:val="00705783"/>
    <w:rsid w:val="007058FD"/>
    <w:rsid w:val="00705A10"/>
    <w:rsid w:val="00705BFE"/>
    <w:rsid w:val="00705C2C"/>
    <w:rsid w:val="00705E7E"/>
    <w:rsid w:val="007067ED"/>
    <w:rsid w:val="00706899"/>
    <w:rsid w:val="00706C63"/>
    <w:rsid w:val="00706C76"/>
    <w:rsid w:val="00706CB5"/>
    <w:rsid w:val="00706CE6"/>
    <w:rsid w:val="00706F65"/>
    <w:rsid w:val="00707082"/>
    <w:rsid w:val="0070726F"/>
    <w:rsid w:val="00707309"/>
    <w:rsid w:val="007078F2"/>
    <w:rsid w:val="00707D48"/>
    <w:rsid w:val="00707E34"/>
    <w:rsid w:val="007102A7"/>
    <w:rsid w:val="007104B5"/>
    <w:rsid w:val="007108C6"/>
    <w:rsid w:val="00710A6A"/>
    <w:rsid w:val="00710ECE"/>
    <w:rsid w:val="00710F52"/>
    <w:rsid w:val="0071111E"/>
    <w:rsid w:val="0071130A"/>
    <w:rsid w:val="00711725"/>
    <w:rsid w:val="00712030"/>
    <w:rsid w:val="00712227"/>
    <w:rsid w:val="00712525"/>
    <w:rsid w:val="00712943"/>
    <w:rsid w:val="00712A0C"/>
    <w:rsid w:val="00712E51"/>
    <w:rsid w:val="00713504"/>
    <w:rsid w:val="0071364B"/>
    <w:rsid w:val="00713D30"/>
    <w:rsid w:val="00714098"/>
    <w:rsid w:val="007142A3"/>
    <w:rsid w:val="00714323"/>
    <w:rsid w:val="00714B6E"/>
    <w:rsid w:val="00714D36"/>
    <w:rsid w:val="0071504C"/>
    <w:rsid w:val="0071518B"/>
    <w:rsid w:val="00715305"/>
    <w:rsid w:val="00715570"/>
    <w:rsid w:val="00715BB9"/>
    <w:rsid w:val="00715F00"/>
    <w:rsid w:val="00715FF5"/>
    <w:rsid w:val="007160A0"/>
    <w:rsid w:val="00716280"/>
    <w:rsid w:val="00716640"/>
    <w:rsid w:val="0071689A"/>
    <w:rsid w:val="007169B7"/>
    <w:rsid w:val="00716CF2"/>
    <w:rsid w:val="007173C3"/>
    <w:rsid w:val="0071764D"/>
    <w:rsid w:val="007178AF"/>
    <w:rsid w:val="007178B5"/>
    <w:rsid w:val="00717D82"/>
    <w:rsid w:val="00717E80"/>
    <w:rsid w:val="007202D1"/>
    <w:rsid w:val="00720340"/>
    <w:rsid w:val="00720DA6"/>
    <w:rsid w:val="007218AC"/>
    <w:rsid w:val="00721B0B"/>
    <w:rsid w:val="00721D65"/>
    <w:rsid w:val="0072219F"/>
    <w:rsid w:val="00722A8D"/>
    <w:rsid w:val="00722E60"/>
    <w:rsid w:val="007236A3"/>
    <w:rsid w:val="00723725"/>
    <w:rsid w:val="00723834"/>
    <w:rsid w:val="00723AC2"/>
    <w:rsid w:val="00723D2B"/>
    <w:rsid w:val="00724396"/>
    <w:rsid w:val="00724A6C"/>
    <w:rsid w:val="007255C1"/>
    <w:rsid w:val="00725644"/>
    <w:rsid w:val="00725755"/>
    <w:rsid w:val="00726061"/>
    <w:rsid w:val="0072639D"/>
    <w:rsid w:val="00726452"/>
    <w:rsid w:val="0072672C"/>
    <w:rsid w:val="00726CDC"/>
    <w:rsid w:val="00726E7B"/>
    <w:rsid w:val="0072714B"/>
    <w:rsid w:val="0072775A"/>
    <w:rsid w:val="007278E1"/>
    <w:rsid w:val="007278E3"/>
    <w:rsid w:val="00730261"/>
    <w:rsid w:val="007313B3"/>
    <w:rsid w:val="007313FB"/>
    <w:rsid w:val="007318A0"/>
    <w:rsid w:val="0073193B"/>
    <w:rsid w:val="00731B43"/>
    <w:rsid w:val="00732011"/>
    <w:rsid w:val="007320EA"/>
    <w:rsid w:val="007326FA"/>
    <w:rsid w:val="00732811"/>
    <w:rsid w:val="0073282E"/>
    <w:rsid w:val="00732C7A"/>
    <w:rsid w:val="007337A8"/>
    <w:rsid w:val="007337AC"/>
    <w:rsid w:val="00734351"/>
    <w:rsid w:val="007343E9"/>
    <w:rsid w:val="0073452E"/>
    <w:rsid w:val="00734685"/>
    <w:rsid w:val="007347C0"/>
    <w:rsid w:val="007349B1"/>
    <w:rsid w:val="00734E0F"/>
    <w:rsid w:val="00735049"/>
    <w:rsid w:val="00735297"/>
    <w:rsid w:val="007352D6"/>
    <w:rsid w:val="00735489"/>
    <w:rsid w:val="007355A5"/>
    <w:rsid w:val="007363AA"/>
    <w:rsid w:val="00736632"/>
    <w:rsid w:val="007369B1"/>
    <w:rsid w:val="00736D7B"/>
    <w:rsid w:val="00736D96"/>
    <w:rsid w:val="007370BF"/>
    <w:rsid w:val="0073743A"/>
    <w:rsid w:val="00737736"/>
    <w:rsid w:val="00737984"/>
    <w:rsid w:val="00737A81"/>
    <w:rsid w:val="00737F60"/>
    <w:rsid w:val="00737FD2"/>
    <w:rsid w:val="00737FEA"/>
    <w:rsid w:val="00740388"/>
    <w:rsid w:val="00740541"/>
    <w:rsid w:val="00740943"/>
    <w:rsid w:val="00740A10"/>
    <w:rsid w:val="00740C07"/>
    <w:rsid w:val="00741638"/>
    <w:rsid w:val="00741C7B"/>
    <w:rsid w:val="00741F3B"/>
    <w:rsid w:val="0074237E"/>
    <w:rsid w:val="00743127"/>
    <w:rsid w:val="0074340A"/>
    <w:rsid w:val="00743FD1"/>
    <w:rsid w:val="00743FF5"/>
    <w:rsid w:val="00744D66"/>
    <w:rsid w:val="00744E28"/>
    <w:rsid w:val="007458A8"/>
    <w:rsid w:val="00745CFB"/>
    <w:rsid w:val="00745D23"/>
    <w:rsid w:val="00746069"/>
    <w:rsid w:val="0074621D"/>
    <w:rsid w:val="0074632C"/>
    <w:rsid w:val="007465E5"/>
    <w:rsid w:val="00746A6E"/>
    <w:rsid w:val="00746D47"/>
    <w:rsid w:val="007472A7"/>
    <w:rsid w:val="00747393"/>
    <w:rsid w:val="0074752B"/>
    <w:rsid w:val="00747922"/>
    <w:rsid w:val="00747992"/>
    <w:rsid w:val="00747F74"/>
    <w:rsid w:val="0075081F"/>
    <w:rsid w:val="00750A43"/>
    <w:rsid w:val="00750C09"/>
    <w:rsid w:val="00751187"/>
    <w:rsid w:val="00751445"/>
    <w:rsid w:val="00751A60"/>
    <w:rsid w:val="00751A64"/>
    <w:rsid w:val="00751B47"/>
    <w:rsid w:val="00751CA6"/>
    <w:rsid w:val="00751D39"/>
    <w:rsid w:val="007522A9"/>
    <w:rsid w:val="00752921"/>
    <w:rsid w:val="00752A36"/>
    <w:rsid w:val="007530DE"/>
    <w:rsid w:val="0075312F"/>
    <w:rsid w:val="007537E9"/>
    <w:rsid w:val="00753A0C"/>
    <w:rsid w:val="00753F61"/>
    <w:rsid w:val="007543EA"/>
    <w:rsid w:val="00754638"/>
    <w:rsid w:val="00754C24"/>
    <w:rsid w:val="007556DA"/>
    <w:rsid w:val="007557BA"/>
    <w:rsid w:val="00755B64"/>
    <w:rsid w:val="00755FD2"/>
    <w:rsid w:val="00756121"/>
    <w:rsid w:val="00756145"/>
    <w:rsid w:val="007561CF"/>
    <w:rsid w:val="0075662E"/>
    <w:rsid w:val="00756698"/>
    <w:rsid w:val="00756C17"/>
    <w:rsid w:val="0075726D"/>
    <w:rsid w:val="007574F9"/>
    <w:rsid w:val="00757D02"/>
    <w:rsid w:val="00757D30"/>
    <w:rsid w:val="00757D6A"/>
    <w:rsid w:val="007601AE"/>
    <w:rsid w:val="0076040F"/>
    <w:rsid w:val="007605C6"/>
    <w:rsid w:val="007608CE"/>
    <w:rsid w:val="00760C59"/>
    <w:rsid w:val="00760E14"/>
    <w:rsid w:val="00760E7C"/>
    <w:rsid w:val="0076114E"/>
    <w:rsid w:val="00761525"/>
    <w:rsid w:val="00761560"/>
    <w:rsid w:val="00761577"/>
    <w:rsid w:val="007621E2"/>
    <w:rsid w:val="00762533"/>
    <w:rsid w:val="007626B9"/>
    <w:rsid w:val="0076273C"/>
    <w:rsid w:val="00762942"/>
    <w:rsid w:val="00762B66"/>
    <w:rsid w:val="00762C8D"/>
    <w:rsid w:val="00763256"/>
    <w:rsid w:val="007632BE"/>
    <w:rsid w:val="0076330A"/>
    <w:rsid w:val="00763370"/>
    <w:rsid w:val="007634FE"/>
    <w:rsid w:val="007636C3"/>
    <w:rsid w:val="00763C12"/>
    <w:rsid w:val="007647A8"/>
    <w:rsid w:val="0076496E"/>
    <w:rsid w:val="00764B26"/>
    <w:rsid w:val="0076507A"/>
    <w:rsid w:val="007653F4"/>
    <w:rsid w:val="0076543E"/>
    <w:rsid w:val="0076544E"/>
    <w:rsid w:val="007655FF"/>
    <w:rsid w:val="00765760"/>
    <w:rsid w:val="00765B35"/>
    <w:rsid w:val="00765B5E"/>
    <w:rsid w:val="00766027"/>
    <w:rsid w:val="007660A2"/>
    <w:rsid w:val="00766320"/>
    <w:rsid w:val="0076633F"/>
    <w:rsid w:val="00766D76"/>
    <w:rsid w:val="00766EFC"/>
    <w:rsid w:val="00766F17"/>
    <w:rsid w:val="007672B6"/>
    <w:rsid w:val="007678C1"/>
    <w:rsid w:val="007678C8"/>
    <w:rsid w:val="00767BA4"/>
    <w:rsid w:val="00767D7E"/>
    <w:rsid w:val="00767F02"/>
    <w:rsid w:val="007704F5"/>
    <w:rsid w:val="0077087F"/>
    <w:rsid w:val="00770C85"/>
    <w:rsid w:val="00770E95"/>
    <w:rsid w:val="0077121F"/>
    <w:rsid w:val="00771D6E"/>
    <w:rsid w:val="00772567"/>
    <w:rsid w:val="0077293E"/>
    <w:rsid w:val="00772A46"/>
    <w:rsid w:val="00772C48"/>
    <w:rsid w:val="007736EE"/>
    <w:rsid w:val="0077376D"/>
    <w:rsid w:val="0077381D"/>
    <w:rsid w:val="00773B0E"/>
    <w:rsid w:val="007740A5"/>
    <w:rsid w:val="00774150"/>
    <w:rsid w:val="0077464C"/>
    <w:rsid w:val="007747A4"/>
    <w:rsid w:val="00774FF4"/>
    <w:rsid w:val="00775202"/>
    <w:rsid w:val="0077546D"/>
    <w:rsid w:val="00775567"/>
    <w:rsid w:val="00775823"/>
    <w:rsid w:val="00775AA2"/>
    <w:rsid w:val="0077619D"/>
    <w:rsid w:val="0077683B"/>
    <w:rsid w:val="00776DB8"/>
    <w:rsid w:val="0077720E"/>
    <w:rsid w:val="0077732C"/>
    <w:rsid w:val="00777EBA"/>
    <w:rsid w:val="00777F84"/>
    <w:rsid w:val="00780052"/>
    <w:rsid w:val="0078005D"/>
    <w:rsid w:val="007804BF"/>
    <w:rsid w:val="0078061C"/>
    <w:rsid w:val="00780AE4"/>
    <w:rsid w:val="00780D40"/>
    <w:rsid w:val="00780E5B"/>
    <w:rsid w:val="00781252"/>
    <w:rsid w:val="007812C4"/>
    <w:rsid w:val="007819F5"/>
    <w:rsid w:val="00781AD9"/>
    <w:rsid w:val="00782182"/>
    <w:rsid w:val="00782C18"/>
    <w:rsid w:val="00782F19"/>
    <w:rsid w:val="007834A7"/>
    <w:rsid w:val="0078358E"/>
    <w:rsid w:val="00783933"/>
    <w:rsid w:val="00783A98"/>
    <w:rsid w:val="00783DEB"/>
    <w:rsid w:val="0078417E"/>
    <w:rsid w:val="00784337"/>
    <w:rsid w:val="007844F8"/>
    <w:rsid w:val="00784AFE"/>
    <w:rsid w:val="00785008"/>
    <w:rsid w:val="007854DB"/>
    <w:rsid w:val="007854E3"/>
    <w:rsid w:val="0078550D"/>
    <w:rsid w:val="007857AA"/>
    <w:rsid w:val="00785A93"/>
    <w:rsid w:val="007862AC"/>
    <w:rsid w:val="007862CD"/>
    <w:rsid w:val="00786646"/>
    <w:rsid w:val="00786B63"/>
    <w:rsid w:val="00786CDF"/>
    <w:rsid w:val="00786E6C"/>
    <w:rsid w:val="00787218"/>
    <w:rsid w:val="00787423"/>
    <w:rsid w:val="00787576"/>
    <w:rsid w:val="0078759E"/>
    <w:rsid w:val="00787822"/>
    <w:rsid w:val="00787865"/>
    <w:rsid w:val="00787C38"/>
    <w:rsid w:val="007900B5"/>
    <w:rsid w:val="007902C9"/>
    <w:rsid w:val="00790932"/>
    <w:rsid w:val="007909D8"/>
    <w:rsid w:val="0079139B"/>
    <w:rsid w:val="00791CD5"/>
    <w:rsid w:val="00791D47"/>
    <w:rsid w:val="00791E49"/>
    <w:rsid w:val="007923E9"/>
    <w:rsid w:val="0079270F"/>
    <w:rsid w:val="00792CC8"/>
    <w:rsid w:val="00792D66"/>
    <w:rsid w:val="0079309A"/>
    <w:rsid w:val="0079309E"/>
    <w:rsid w:val="00793507"/>
    <w:rsid w:val="00793C0E"/>
    <w:rsid w:val="00793CDB"/>
    <w:rsid w:val="00793DA0"/>
    <w:rsid w:val="00794034"/>
    <w:rsid w:val="00794B70"/>
    <w:rsid w:val="00794BE0"/>
    <w:rsid w:val="00794D2E"/>
    <w:rsid w:val="00794E45"/>
    <w:rsid w:val="0079529F"/>
    <w:rsid w:val="00795731"/>
    <w:rsid w:val="00795A8D"/>
    <w:rsid w:val="00795DC3"/>
    <w:rsid w:val="00795F70"/>
    <w:rsid w:val="0079651F"/>
    <w:rsid w:val="0079655B"/>
    <w:rsid w:val="007966F2"/>
    <w:rsid w:val="00796E96"/>
    <w:rsid w:val="00796EE4"/>
    <w:rsid w:val="0079708F"/>
    <w:rsid w:val="0079795D"/>
    <w:rsid w:val="00797CF2"/>
    <w:rsid w:val="00797E0E"/>
    <w:rsid w:val="007A0175"/>
    <w:rsid w:val="007A09C5"/>
    <w:rsid w:val="007A1168"/>
    <w:rsid w:val="007A1566"/>
    <w:rsid w:val="007A15DC"/>
    <w:rsid w:val="007A1FFB"/>
    <w:rsid w:val="007A27D9"/>
    <w:rsid w:val="007A2A89"/>
    <w:rsid w:val="007A2F37"/>
    <w:rsid w:val="007A37E8"/>
    <w:rsid w:val="007A4055"/>
    <w:rsid w:val="007A44BC"/>
    <w:rsid w:val="007A4E3F"/>
    <w:rsid w:val="007A4E5B"/>
    <w:rsid w:val="007A510C"/>
    <w:rsid w:val="007A5168"/>
    <w:rsid w:val="007A5834"/>
    <w:rsid w:val="007A591F"/>
    <w:rsid w:val="007A5E31"/>
    <w:rsid w:val="007A6C1E"/>
    <w:rsid w:val="007A7107"/>
    <w:rsid w:val="007A749F"/>
    <w:rsid w:val="007A765F"/>
    <w:rsid w:val="007A7C02"/>
    <w:rsid w:val="007A7EA3"/>
    <w:rsid w:val="007A7F52"/>
    <w:rsid w:val="007B0195"/>
    <w:rsid w:val="007B03DD"/>
    <w:rsid w:val="007B04C1"/>
    <w:rsid w:val="007B15A2"/>
    <w:rsid w:val="007B1C08"/>
    <w:rsid w:val="007B1EEB"/>
    <w:rsid w:val="007B252A"/>
    <w:rsid w:val="007B2551"/>
    <w:rsid w:val="007B25E3"/>
    <w:rsid w:val="007B2700"/>
    <w:rsid w:val="007B2787"/>
    <w:rsid w:val="007B2865"/>
    <w:rsid w:val="007B293B"/>
    <w:rsid w:val="007B2977"/>
    <w:rsid w:val="007B2BEA"/>
    <w:rsid w:val="007B3492"/>
    <w:rsid w:val="007B34C1"/>
    <w:rsid w:val="007B3BE3"/>
    <w:rsid w:val="007B407E"/>
    <w:rsid w:val="007B43D7"/>
    <w:rsid w:val="007B46BD"/>
    <w:rsid w:val="007B4D4E"/>
    <w:rsid w:val="007B4E9D"/>
    <w:rsid w:val="007B54DE"/>
    <w:rsid w:val="007B5532"/>
    <w:rsid w:val="007B56E1"/>
    <w:rsid w:val="007B572B"/>
    <w:rsid w:val="007B5867"/>
    <w:rsid w:val="007B5F07"/>
    <w:rsid w:val="007B6570"/>
    <w:rsid w:val="007B66FA"/>
    <w:rsid w:val="007B6EF2"/>
    <w:rsid w:val="007B7369"/>
    <w:rsid w:val="007B740C"/>
    <w:rsid w:val="007B7466"/>
    <w:rsid w:val="007B771E"/>
    <w:rsid w:val="007B7B89"/>
    <w:rsid w:val="007B7D47"/>
    <w:rsid w:val="007C0169"/>
    <w:rsid w:val="007C0177"/>
    <w:rsid w:val="007C0187"/>
    <w:rsid w:val="007C073E"/>
    <w:rsid w:val="007C0D46"/>
    <w:rsid w:val="007C1D6E"/>
    <w:rsid w:val="007C1E17"/>
    <w:rsid w:val="007C20CE"/>
    <w:rsid w:val="007C21A7"/>
    <w:rsid w:val="007C2381"/>
    <w:rsid w:val="007C23D4"/>
    <w:rsid w:val="007C2659"/>
    <w:rsid w:val="007C265C"/>
    <w:rsid w:val="007C2BF8"/>
    <w:rsid w:val="007C2F01"/>
    <w:rsid w:val="007C2F05"/>
    <w:rsid w:val="007C3C34"/>
    <w:rsid w:val="007C3C77"/>
    <w:rsid w:val="007C41F5"/>
    <w:rsid w:val="007C441F"/>
    <w:rsid w:val="007C49B7"/>
    <w:rsid w:val="007C4F2D"/>
    <w:rsid w:val="007C4F3A"/>
    <w:rsid w:val="007C51EA"/>
    <w:rsid w:val="007C53B8"/>
    <w:rsid w:val="007C53BF"/>
    <w:rsid w:val="007C53C4"/>
    <w:rsid w:val="007C5443"/>
    <w:rsid w:val="007C5598"/>
    <w:rsid w:val="007C598F"/>
    <w:rsid w:val="007C5FCF"/>
    <w:rsid w:val="007C637B"/>
    <w:rsid w:val="007C6808"/>
    <w:rsid w:val="007C711A"/>
    <w:rsid w:val="007C73FB"/>
    <w:rsid w:val="007C7DA9"/>
    <w:rsid w:val="007C7FF9"/>
    <w:rsid w:val="007D053A"/>
    <w:rsid w:val="007D05F3"/>
    <w:rsid w:val="007D069E"/>
    <w:rsid w:val="007D0FC3"/>
    <w:rsid w:val="007D10CE"/>
    <w:rsid w:val="007D11FB"/>
    <w:rsid w:val="007D1297"/>
    <w:rsid w:val="007D1FDA"/>
    <w:rsid w:val="007D22A9"/>
    <w:rsid w:val="007D22B4"/>
    <w:rsid w:val="007D25D5"/>
    <w:rsid w:val="007D26E0"/>
    <w:rsid w:val="007D3E3F"/>
    <w:rsid w:val="007D4406"/>
    <w:rsid w:val="007D48C2"/>
    <w:rsid w:val="007D50CB"/>
    <w:rsid w:val="007D514A"/>
    <w:rsid w:val="007D51D1"/>
    <w:rsid w:val="007D531C"/>
    <w:rsid w:val="007D582D"/>
    <w:rsid w:val="007D5864"/>
    <w:rsid w:val="007D58FE"/>
    <w:rsid w:val="007D596A"/>
    <w:rsid w:val="007D5A57"/>
    <w:rsid w:val="007D5D20"/>
    <w:rsid w:val="007D6163"/>
    <w:rsid w:val="007D6361"/>
    <w:rsid w:val="007D65EC"/>
    <w:rsid w:val="007D680F"/>
    <w:rsid w:val="007D6AA7"/>
    <w:rsid w:val="007D7154"/>
    <w:rsid w:val="007D7C7D"/>
    <w:rsid w:val="007D7CB0"/>
    <w:rsid w:val="007E0555"/>
    <w:rsid w:val="007E065A"/>
    <w:rsid w:val="007E09A5"/>
    <w:rsid w:val="007E0CC7"/>
    <w:rsid w:val="007E0E1F"/>
    <w:rsid w:val="007E116E"/>
    <w:rsid w:val="007E1278"/>
    <w:rsid w:val="007E12D1"/>
    <w:rsid w:val="007E135E"/>
    <w:rsid w:val="007E1559"/>
    <w:rsid w:val="007E15FF"/>
    <w:rsid w:val="007E16DD"/>
    <w:rsid w:val="007E17C8"/>
    <w:rsid w:val="007E1BA2"/>
    <w:rsid w:val="007E1C0F"/>
    <w:rsid w:val="007E2387"/>
    <w:rsid w:val="007E24D2"/>
    <w:rsid w:val="007E264D"/>
    <w:rsid w:val="007E27E6"/>
    <w:rsid w:val="007E288D"/>
    <w:rsid w:val="007E2A6E"/>
    <w:rsid w:val="007E2BA4"/>
    <w:rsid w:val="007E35CB"/>
    <w:rsid w:val="007E3692"/>
    <w:rsid w:val="007E3890"/>
    <w:rsid w:val="007E3CF7"/>
    <w:rsid w:val="007E3FA1"/>
    <w:rsid w:val="007E3FA6"/>
    <w:rsid w:val="007E3FAD"/>
    <w:rsid w:val="007E428E"/>
    <w:rsid w:val="007E43F4"/>
    <w:rsid w:val="007E4706"/>
    <w:rsid w:val="007E4E66"/>
    <w:rsid w:val="007E5368"/>
    <w:rsid w:val="007E5421"/>
    <w:rsid w:val="007E58D0"/>
    <w:rsid w:val="007E5A1B"/>
    <w:rsid w:val="007E5CF2"/>
    <w:rsid w:val="007E62A7"/>
    <w:rsid w:val="007E66D0"/>
    <w:rsid w:val="007E6D96"/>
    <w:rsid w:val="007E6D9F"/>
    <w:rsid w:val="007E6E33"/>
    <w:rsid w:val="007E7877"/>
    <w:rsid w:val="007E7A6D"/>
    <w:rsid w:val="007E7A8C"/>
    <w:rsid w:val="007E7BB1"/>
    <w:rsid w:val="007E7DC4"/>
    <w:rsid w:val="007E7E6F"/>
    <w:rsid w:val="007E7F05"/>
    <w:rsid w:val="007F0D9E"/>
    <w:rsid w:val="007F0EE5"/>
    <w:rsid w:val="007F1016"/>
    <w:rsid w:val="007F1407"/>
    <w:rsid w:val="007F161E"/>
    <w:rsid w:val="007F1BF6"/>
    <w:rsid w:val="007F1D50"/>
    <w:rsid w:val="007F2035"/>
    <w:rsid w:val="007F2071"/>
    <w:rsid w:val="007F2DF4"/>
    <w:rsid w:val="007F310A"/>
    <w:rsid w:val="007F32C5"/>
    <w:rsid w:val="007F33B1"/>
    <w:rsid w:val="007F376A"/>
    <w:rsid w:val="007F39C7"/>
    <w:rsid w:val="007F3A87"/>
    <w:rsid w:val="007F3C38"/>
    <w:rsid w:val="007F3ECA"/>
    <w:rsid w:val="007F46F1"/>
    <w:rsid w:val="007F4794"/>
    <w:rsid w:val="007F493D"/>
    <w:rsid w:val="007F4C15"/>
    <w:rsid w:val="007F58F3"/>
    <w:rsid w:val="007F5CBF"/>
    <w:rsid w:val="007F5EE7"/>
    <w:rsid w:val="007F61AC"/>
    <w:rsid w:val="007F653C"/>
    <w:rsid w:val="007F675A"/>
    <w:rsid w:val="007F6F60"/>
    <w:rsid w:val="007F726F"/>
    <w:rsid w:val="007F734E"/>
    <w:rsid w:val="007F7407"/>
    <w:rsid w:val="007F748E"/>
    <w:rsid w:val="007F764E"/>
    <w:rsid w:val="007F793B"/>
    <w:rsid w:val="007F794B"/>
    <w:rsid w:val="007F7BE5"/>
    <w:rsid w:val="008006C3"/>
    <w:rsid w:val="00800ACB"/>
    <w:rsid w:val="00800AE2"/>
    <w:rsid w:val="00800D40"/>
    <w:rsid w:val="00801890"/>
    <w:rsid w:val="00801AAC"/>
    <w:rsid w:val="00802597"/>
    <w:rsid w:val="00802BF2"/>
    <w:rsid w:val="00802FF2"/>
    <w:rsid w:val="0080363E"/>
    <w:rsid w:val="0080370C"/>
    <w:rsid w:val="00803782"/>
    <w:rsid w:val="008039F2"/>
    <w:rsid w:val="00803CA4"/>
    <w:rsid w:val="00803EF9"/>
    <w:rsid w:val="00804E99"/>
    <w:rsid w:val="00805205"/>
    <w:rsid w:val="00805620"/>
    <w:rsid w:val="008058F3"/>
    <w:rsid w:val="00805E11"/>
    <w:rsid w:val="00805E61"/>
    <w:rsid w:val="00805EAE"/>
    <w:rsid w:val="0080608A"/>
    <w:rsid w:val="0080683D"/>
    <w:rsid w:val="00806AFD"/>
    <w:rsid w:val="00807615"/>
    <w:rsid w:val="008078E1"/>
    <w:rsid w:val="00807B31"/>
    <w:rsid w:val="00807F2D"/>
    <w:rsid w:val="00807FB9"/>
    <w:rsid w:val="008100C0"/>
    <w:rsid w:val="0081047E"/>
    <w:rsid w:val="00810BAC"/>
    <w:rsid w:val="00810D5E"/>
    <w:rsid w:val="00810F05"/>
    <w:rsid w:val="00811077"/>
    <w:rsid w:val="008113A2"/>
    <w:rsid w:val="0081149D"/>
    <w:rsid w:val="00811BD3"/>
    <w:rsid w:val="00811C56"/>
    <w:rsid w:val="00811D5F"/>
    <w:rsid w:val="00811E69"/>
    <w:rsid w:val="00811F25"/>
    <w:rsid w:val="00811FC8"/>
    <w:rsid w:val="0081204A"/>
    <w:rsid w:val="008120B7"/>
    <w:rsid w:val="008120F1"/>
    <w:rsid w:val="008121CE"/>
    <w:rsid w:val="0081222E"/>
    <w:rsid w:val="00812504"/>
    <w:rsid w:val="00812571"/>
    <w:rsid w:val="0081289A"/>
    <w:rsid w:val="00812941"/>
    <w:rsid w:val="00812D04"/>
    <w:rsid w:val="00812F46"/>
    <w:rsid w:val="00813114"/>
    <w:rsid w:val="0081364E"/>
    <w:rsid w:val="00813B14"/>
    <w:rsid w:val="0081447C"/>
    <w:rsid w:val="00814840"/>
    <w:rsid w:val="00814989"/>
    <w:rsid w:val="00814BEE"/>
    <w:rsid w:val="00814C42"/>
    <w:rsid w:val="00815507"/>
    <w:rsid w:val="008155BE"/>
    <w:rsid w:val="008156FA"/>
    <w:rsid w:val="00815C90"/>
    <w:rsid w:val="00815E0D"/>
    <w:rsid w:val="00815F0B"/>
    <w:rsid w:val="00815F82"/>
    <w:rsid w:val="00816702"/>
    <w:rsid w:val="00816785"/>
    <w:rsid w:val="00816BB1"/>
    <w:rsid w:val="00816E39"/>
    <w:rsid w:val="008171B7"/>
    <w:rsid w:val="0081735B"/>
    <w:rsid w:val="0081756D"/>
    <w:rsid w:val="00817750"/>
    <w:rsid w:val="008179CD"/>
    <w:rsid w:val="00817B2A"/>
    <w:rsid w:val="00817BAC"/>
    <w:rsid w:val="00817C38"/>
    <w:rsid w:val="00820021"/>
    <w:rsid w:val="008202E6"/>
    <w:rsid w:val="0082039E"/>
    <w:rsid w:val="008207CE"/>
    <w:rsid w:val="008209C5"/>
    <w:rsid w:val="00820D60"/>
    <w:rsid w:val="00820FE7"/>
    <w:rsid w:val="008211DF"/>
    <w:rsid w:val="008213E5"/>
    <w:rsid w:val="00821AF3"/>
    <w:rsid w:val="00821E15"/>
    <w:rsid w:val="00821ED7"/>
    <w:rsid w:val="00822059"/>
    <w:rsid w:val="00822110"/>
    <w:rsid w:val="00822429"/>
    <w:rsid w:val="00822431"/>
    <w:rsid w:val="008225EA"/>
    <w:rsid w:val="00822774"/>
    <w:rsid w:val="008227A2"/>
    <w:rsid w:val="00822836"/>
    <w:rsid w:val="0082290F"/>
    <w:rsid w:val="00822A16"/>
    <w:rsid w:val="00822A7F"/>
    <w:rsid w:val="00822BC0"/>
    <w:rsid w:val="00823120"/>
    <w:rsid w:val="00823AC5"/>
    <w:rsid w:val="00823C2B"/>
    <w:rsid w:val="008242ED"/>
    <w:rsid w:val="0082447C"/>
    <w:rsid w:val="0082491E"/>
    <w:rsid w:val="008251DD"/>
    <w:rsid w:val="008257DC"/>
    <w:rsid w:val="00825BCA"/>
    <w:rsid w:val="00825EE9"/>
    <w:rsid w:val="0082602B"/>
    <w:rsid w:val="0082636A"/>
    <w:rsid w:val="00826624"/>
    <w:rsid w:val="008269C2"/>
    <w:rsid w:val="00826C0D"/>
    <w:rsid w:val="0082704F"/>
    <w:rsid w:val="008277F1"/>
    <w:rsid w:val="00827991"/>
    <w:rsid w:val="00827F36"/>
    <w:rsid w:val="00827F66"/>
    <w:rsid w:val="00830257"/>
    <w:rsid w:val="00830358"/>
    <w:rsid w:val="0083071E"/>
    <w:rsid w:val="00830873"/>
    <w:rsid w:val="00830AD4"/>
    <w:rsid w:val="00830B15"/>
    <w:rsid w:val="0083139C"/>
    <w:rsid w:val="00831578"/>
    <w:rsid w:val="00831622"/>
    <w:rsid w:val="008316C1"/>
    <w:rsid w:val="00831802"/>
    <w:rsid w:val="00831F50"/>
    <w:rsid w:val="00832173"/>
    <w:rsid w:val="00832494"/>
    <w:rsid w:val="00832ACB"/>
    <w:rsid w:val="00832B57"/>
    <w:rsid w:val="00832B8B"/>
    <w:rsid w:val="00832D94"/>
    <w:rsid w:val="00832E7C"/>
    <w:rsid w:val="008335CE"/>
    <w:rsid w:val="0083361C"/>
    <w:rsid w:val="00833B53"/>
    <w:rsid w:val="00833FF4"/>
    <w:rsid w:val="008344FF"/>
    <w:rsid w:val="00834938"/>
    <w:rsid w:val="008350FF"/>
    <w:rsid w:val="0083552C"/>
    <w:rsid w:val="008355AA"/>
    <w:rsid w:val="008356A7"/>
    <w:rsid w:val="00835880"/>
    <w:rsid w:val="008358FB"/>
    <w:rsid w:val="00835AE9"/>
    <w:rsid w:val="00835C2E"/>
    <w:rsid w:val="00835EF0"/>
    <w:rsid w:val="008365B8"/>
    <w:rsid w:val="008365FB"/>
    <w:rsid w:val="0083730B"/>
    <w:rsid w:val="00837342"/>
    <w:rsid w:val="008375C6"/>
    <w:rsid w:val="008375FC"/>
    <w:rsid w:val="00837A54"/>
    <w:rsid w:val="00837BB2"/>
    <w:rsid w:val="00837C79"/>
    <w:rsid w:val="0084021E"/>
    <w:rsid w:val="0084074E"/>
    <w:rsid w:val="008408FE"/>
    <w:rsid w:val="00840EE7"/>
    <w:rsid w:val="00840FC3"/>
    <w:rsid w:val="008414CA"/>
    <w:rsid w:val="00841545"/>
    <w:rsid w:val="00841621"/>
    <w:rsid w:val="0084180E"/>
    <w:rsid w:val="00841CF0"/>
    <w:rsid w:val="008427E1"/>
    <w:rsid w:val="00842A66"/>
    <w:rsid w:val="00842E4E"/>
    <w:rsid w:val="008433A2"/>
    <w:rsid w:val="00843821"/>
    <w:rsid w:val="00843A14"/>
    <w:rsid w:val="00843D84"/>
    <w:rsid w:val="0084412E"/>
    <w:rsid w:val="0084478F"/>
    <w:rsid w:val="00844815"/>
    <w:rsid w:val="00844895"/>
    <w:rsid w:val="0084490D"/>
    <w:rsid w:val="00845696"/>
    <w:rsid w:val="008456C2"/>
    <w:rsid w:val="008459DC"/>
    <w:rsid w:val="00845A2A"/>
    <w:rsid w:val="00845D34"/>
    <w:rsid w:val="00845F6F"/>
    <w:rsid w:val="00845F78"/>
    <w:rsid w:val="008469E2"/>
    <w:rsid w:val="00846C47"/>
    <w:rsid w:val="008474FE"/>
    <w:rsid w:val="00847719"/>
    <w:rsid w:val="00847AA6"/>
    <w:rsid w:val="00847BF7"/>
    <w:rsid w:val="00850051"/>
    <w:rsid w:val="008501A2"/>
    <w:rsid w:val="00851012"/>
    <w:rsid w:val="008511F9"/>
    <w:rsid w:val="00851719"/>
    <w:rsid w:val="008517F3"/>
    <w:rsid w:val="00851919"/>
    <w:rsid w:val="00851A7C"/>
    <w:rsid w:val="00851C31"/>
    <w:rsid w:val="00852013"/>
    <w:rsid w:val="00852223"/>
    <w:rsid w:val="0085228F"/>
    <w:rsid w:val="00852383"/>
    <w:rsid w:val="008524F4"/>
    <w:rsid w:val="008527EA"/>
    <w:rsid w:val="008529E3"/>
    <w:rsid w:val="00852EE0"/>
    <w:rsid w:val="00852EF9"/>
    <w:rsid w:val="00853378"/>
    <w:rsid w:val="008533E1"/>
    <w:rsid w:val="0085346E"/>
    <w:rsid w:val="00853526"/>
    <w:rsid w:val="00853538"/>
    <w:rsid w:val="0085434C"/>
    <w:rsid w:val="008544BA"/>
    <w:rsid w:val="008548AC"/>
    <w:rsid w:val="00854D29"/>
    <w:rsid w:val="0085510C"/>
    <w:rsid w:val="00855229"/>
    <w:rsid w:val="00855339"/>
    <w:rsid w:val="0085536C"/>
    <w:rsid w:val="00855584"/>
    <w:rsid w:val="00855927"/>
    <w:rsid w:val="008565C8"/>
    <w:rsid w:val="008567AB"/>
    <w:rsid w:val="00856C88"/>
    <w:rsid w:val="00857136"/>
    <w:rsid w:val="00857166"/>
    <w:rsid w:val="00857689"/>
    <w:rsid w:val="00857938"/>
    <w:rsid w:val="00857D5B"/>
    <w:rsid w:val="008602C0"/>
    <w:rsid w:val="0086060E"/>
    <w:rsid w:val="008608DD"/>
    <w:rsid w:val="00860B39"/>
    <w:rsid w:val="00860BE7"/>
    <w:rsid w:val="00861041"/>
    <w:rsid w:val="00861534"/>
    <w:rsid w:val="00861570"/>
    <w:rsid w:val="00861CE2"/>
    <w:rsid w:val="00861D1D"/>
    <w:rsid w:val="008625DB"/>
    <w:rsid w:val="00862672"/>
    <w:rsid w:val="00862932"/>
    <w:rsid w:val="008639AF"/>
    <w:rsid w:val="00863BC5"/>
    <w:rsid w:val="00863C2F"/>
    <w:rsid w:val="00863DA1"/>
    <w:rsid w:val="0086403E"/>
    <w:rsid w:val="00864568"/>
    <w:rsid w:val="00864F82"/>
    <w:rsid w:val="0086517D"/>
    <w:rsid w:val="0086596B"/>
    <w:rsid w:val="00865F40"/>
    <w:rsid w:val="0086693B"/>
    <w:rsid w:val="00866F95"/>
    <w:rsid w:val="00867167"/>
    <w:rsid w:val="00867586"/>
    <w:rsid w:val="0086758E"/>
    <w:rsid w:val="00867F96"/>
    <w:rsid w:val="00870249"/>
    <w:rsid w:val="00870874"/>
    <w:rsid w:val="00870B75"/>
    <w:rsid w:val="00870C96"/>
    <w:rsid w:val="00870D27"/>
    <w:rsid w:val="00870F8C"/>
    <w:rsid w:val="008710FC"/>
    <w:rsid w:val="00871543"/>
    <w:rsid w:val="008715D5"/>
    <w:rsid w:val="00871B26"/>
    <w:rsid w:val="00871B3A"/>
    <w:rsid w:val="00872EDA"/>
    <w:rsid w:val="00872EDD"/>
    <w:rsid w:val="008731BE"/>
    <w:rsid w:val="00873250"/>
    <w:rsid w:val="0087335F"/>
    <w:rsid w:val="0087375E"/>
    <w:rsid w:val="0087380B"/>
    <w:rsid w:val="00873986"/>
    <w:rsid w:val="00874203"/>
    <w:rsid w:val="0087432C"/>
    <w:rsid w:val="00874349"/>
    <w:rsid w:val="008745F9"/>
    <w:rsid w:val="0087485A"/>
    <w:rsid w:val="00874BDF"/>
    <w:rsid w:val="00874C73"/>
    <w:rsid w:val="00874E67"/>
    <w:rsid w:val="00874FB7"/>
    <w:rsid w:val="0087525D"/>
    <w:rsid w:val="008752F8"/>
    <w:rsid w:val="0087551B"/>
    <w:rsid w:val="008765AB"/>
    <w:rsid w:val="00876A50"/>
    <w:rsid w:val="00876EE0"/>
    <w:rsid w:val="00876F69"/>
    <w:rsid w:val="00877246"/>
    <w:rsid w:val="00877585"/>
    <w:rsid w:val="008777A6"/>
    <w:rsid w:val="00877924"/>
    <w:rsid w:val="008803AB"/>
    <w:rsid w:val="008804CC"/>
    <w:rsid w:val="00880877"/>
    <w:rsid w:val="00880AB4"/>
    <w:rsid w:val="008810A8"/>
    <w:rsid w:val="00881182"/>
    <w:rsid w:val="0088160B"/>
    <w:rsid w:val="00881ADC"/>
    <w:rsid w:val="00881FD5"/>
    <w:rsid w:val="00882197"/>
    <w:rsid w:val="00882309"/>
    <w:rsid w:val="008823DB"/>
    <w:rsid w:val="00882BA8"/>
    <w:rsid w:val="00883258"/>
    <w:rsid w:val="008833A4"/>
    <w:rsid w:val="00883697"/>
    <w:rsid w:val="00883712"/>
    <w:rsid w:val="00883920"/>
    <w:rsid w:val="00883A3C"/>
    <w:rsid w:val="008841EF"/>
    <w:rsid w:val="00884359"/>
    <w:rsid w:val="008848B8"/>
    <w:rsid w:val="00884AAD"/>
    <w:rsid w:val="00884ABF"/>
    <w:rsid w:val="00885A05"/>
    <w:rsid w:val="00885A60"/>
    <w:rsid w:val="008860C8"/>
    <w:rsid w:val="008861E9"/>
    <w:rsid w:val="00886643"/>
    <w:rsid w:val="00886AB8"/>
    <w:rsid w:val="00886D9C"/>
    <w:rsid w:val="00886FB1"/>
    <w:rsid w:val="008875F3"/>
    <w:rsid w:val="00887CAD"/>
    <w:rsid w:val="00887CEB"/>
    <w:rsid w:val="00887D25"/>
    <w:rsid w:val="00890710"/>
    <w:rsid w:val="00890A79"/>
    <w:rsid w:val="00890A9D"/>
    <w:rsid w:val="00890AB1"/>
    <w:rsid w:val="00890B2D"/>
    <w:rsid w:val="00890E7E"/>
    <w:rsid w:val="00890F8F"/>
    <w:rsid w:val="00890FAA"/>
    <w:rsid w:val="00891050"/>
    <w:rsid w:val="008910AF"/>
    <w:rsid w:val="0089120F"/>
    <w:rsid w:val="00891C96"/>
    <w:rsid w:val="00891D0A"/>
    <w:rsid w:val="00892380"/>
    <w:rsid w:val="00892B74"/>
    <w:rsid w:val="00892E5A"/>
    <w:rsid w:val="00893121"/>
    <w:rsid w:val="00893491"/>
    <w:rsid w:val="00893FEE"/>
    <w:rsid w:val="00894134"/>
    <w:rsid w:val="008943EE"/>
    <w:rsid w:val="00894458"/>
    <w:rsid w:val="008949D8"/>
    <w:rsid w:val="00894B69"/>
    <w:rsid w:val="00894BC3"/>
    <w:rsid w:val="00895204"/>
    <w:rsid w:val="00895A2E"/>
    <w:rsid w:val="00895AC1"/>
    <w:rsid w:val="00895B1A"/>
    <w:rsid w:val="00895B52"/>
    <w:rsid w:val="00895DF3"/>
    <w:rsid w:val="008961FD"/>
    <w:rsid w:val="00896450"/>
    <w:rsid w:val="00896571"/>
    <w:rsid w:val="00896966"/>
    <w:rsid w:val="00896B4B"/>
    <w:rsid w:val="00896BB7"/>
    <w:rsid w:val="00896D8A"/>
    <w:rsid w:val="0089719C"/>
    <w:rsid w:val="008A0610"/>
    <w:rsid w:val="008A0B72"/>
    <w:rsid w:val="008A0EF9"/>
    <w:rsid w:val="008A14AA"/>
    <w:rsid w:val="008A14FE"/>
    <w:rsid w:val="008A1AD8"/>
    <w:rsid w:val="008A1BA8"/>
    <w:rsid w:val="008A2831"/>
    <w:rsid w:val="008A33B5"/>
    <w:rsid w:val="008A346A"/>
    <w:rsid w:val="008A3906"/>
    <w:rsid w:val="008A4013"/>
    <w:rsid w:val="008A4321"/>
    <w:rsid w:val="008A47E3"/>
    <w:rsid w:val="008A4958"/>
    <w:rsid w:val="008A4986"/>
    <w:rsid w:val="008A4BC2"/>
    <w:rsid w:val="008A5290"/>
    <w:rsid w:val="008A567B"/>
    <w:rsid w:val="008A577E"/>
    <w:rsid w:val="008A5834"/>
    <w:rsid w:val="008A5AFF"/>
    <w:rsid w:val="008A5B75"/>
    <w:rsid w:val="008A5E72"/>
    <w:rsid w:val="008A5E80"/>
    <w:rsid w:val="008A6015"/>
    <w:rsid w:val="008A6159"/>
    <w:rsid w:val="008A68CA"/>
    <w:rsid w:val="008A6A43"/>
    <w:rsid w:val="008A7080"/>
    <w:rsid w:val="008A7595"/>
    <w:rsid w:val="008A7CAA"/>
    <w:rsid w:val="008A7D8C"/>
    <w:rsid w:val="008A7EFF"/>
    <w:rsid w:val="008B0504"/>
    <w:rsid w:val="008B08A0"/>
    <w:rsid w:val="008B0D69"/>
    <w:rsid w:val="008B0FBB"/>
    <w:rsid w:val="008B1012"/>
    <w:rsid w:val="008B13AB"/>
    <w:rsid w:val="008B1CCE"/>
    <w:rsid w:val="008B2B13"/>
    <w:rsid w:val="008B2CA8"/>
    <w:rsid w:val="008B4698"/>
    <w:rsid w:val="008B5552"/>
    <w:rsid w:val="008B55E4"/>
    <w:rsid w:val="008B58CB"/>
    <w:rsid w:val="008B5AC2"/>
    <w:rsid w:val="008B6246"/>
    <w:rsid w:val="008B64AD"/>
    <w:rsid w:val="008B67DE"/>
    <w:rsid w:val="008B6DB0"/>
    <w:rsid w:val="008B72F5"/>
    <w:rsid w:val="008B738E"/>
    <w:rsid w:val="008C0428"/>
    <w:rsid w:val="008C0DD9"/>
    <w:rsid w:val="008C0E02"/>
    <w:rsid w:val="008C0EE4"/>
    <w:rsid w:val="008C0F5E"/>
    <w:rsid w:val="008C1728"/>
    <w:rsid w:val="008C1D53"/>
    <w:rsid w:val="008C1EFE"/>
    <w:rsid w:val="008C1F05"/>
    <w:rsid w:val="008C2192"/>
    <w:rsid w:val="008C226D"/>
    <w:rsid w:val="008C2A08"/>
    <w:rsid w:val="008C2EAB"/>
    <w:rsid w:val="008C331F"/>
    <w:rsid w:val="008C35E3"/>
    <w:rsid w:val="008C3974"/>
    <w:rsid w:val="008C39D5"/>
    <w:rsid w:val="008C3AB1"/>
    <w:rsid w:val="008C4008"/>
    <w:rsid w:val="008C4F70"/>
    <w:rsid w:val="008C50E3"/>
    <w:rsid w:val="008C5494"/>
    <w:rsid w:val="008C5B14"/>
    <w:rsid w:val="008C5F7A"/>
    <w:rsid w:val="008C6651"/>
    <w:rsid w:val="008C6BD2"/>
    <w:rsid w:val="008C6D45"/>
    <w:rsid w:val="008C6DE0"/>
    <w:rsid w:val="008C6FB7"/>
    <w:rsid w:val="008C776C"/>
    <w:rsid w:val="008C7A8F"/>
    <w:rsid w:val="008D0382"/>
    <w:rsid w:val="008D0738"/>
    <w:rsid w:val="008D1479"/>
    <w:rsid w:val="008D1968"/>
    <w:rsid w:val="008D1A3A"/>
    <w:rsid w:val="008D1B93"/>
    <w:rsid w:val="008D1E33"/>
    <w:rsid w:val="008D22A2"/>
    <w:rsid w:val="008D238B"/>
    <w:rsid w:val="008D2873"/>
    <w:rsid w:val="008D308C"/>
    <w:rsid w:val="008D311A"/>
    <w:rsid w:val="008D31C3"/>
    <w:rsid w:val="008D3321"/>
    <w:rsid w:val="008D3526"/>
    <w:rsid w:val="008D365D"/>
    <w:rsid w:val="008D372B"/>
    <w:rsid w:val="008D3EB4"/>
    <w:rsid w:val="008D4500"/>
    <w:rsid w:val="008D4DB8"/>
    <w:rsid w:val="008D4FEA"/>
    <w:rsid w:val="008D5E22"/>
    <w:rsid w:val="008D60DF"/>
    <w:rsid w:val="008D6129"/>
    <w:rsid w:val="008D61C5"/>
    <w:rsid w:val="008D63FE"/>
    <w:rsid w:val="008D646B"/>
    <w:rsid w:val="008D6911"/>
    <w:rsid w:val="008D6955"/>
    <w:rsid w:val="008D6CA9"/>
    <w:rsid w:val="008D6F41"/>
    <w:rsid w:val="008D779D"/>
    <w:rsid w:val="008D79DA"/>
    <w:rsid w:val="008D7C0E"/>
    <w:rsid w:val="008D7C36"/>
    <w:rsid w:val="008D7DFD"/>
    <w:rsid w:val="008E03A6"/>
    <w:rsid w:val="008E08EC"/>
    <w:rsid w:val="008E0B5D"/>
    <w:rsid w:val="008E122F"/>
    <w:rsid w:val="008E183A"/>
    <w:rsid w:val="008E1AAB"/>
    <w:rsid w:val="008E1EB2"/>
    <w:rsid w:val="008E288B"/>
    <w:rsid w:val="008E2908"/>
    <w:rsid w:val="008E29C4"/>
    <w:rsid w:val="008E2A81"/>
    <w:rsid w:val="008E2D77"/>
    <w:rsid w:val="008E2E3B"/>
    <w:rsid w:val="008E36BA"/>
    <w:rsid w:val="008E3CC3"/>
    <w:rsid w:val="008E43A0"/>
    <w:rsid w:val="008E4C7A"/>
    <w:rsid w:val="008E4DC5"/>
    <w:rsid w:val="008E4FC4"/>
    <w:rsid w:val="008E52A7"/>
    <w:rsid w:val="008E5402"/>
    <w:rsid w:val="008E5596"/>
    <w:rsid w:val="008E57FE"/>
    <w:rsid w:val="008E5B1E"/>
    <w:rsid w:val="008E5D06"/>
    <w:rsid w:val="008E677E"/>
    <w:rsid w:val="008E6835"/>
    <w:rsid w:val="008E687A"/>
    <w:rsid w:val="008E6F09"/>
    <w:rsid w:val="008E73D4"/>
    <w:rsid w:val="008E78EC"/>
    <w:rsid w:val="008E7A57"/>
    <w:rsid w:val="008E7C83"/>
    <w:rsid w:val="008F018C"/>
    <w:rsid w:val="008F0989"/>
    <w:rsid w:val="008F0B7C"/>
    <w:rsid w:val="008F0C61"/>
    <w:rsid w:val="008F16A3"/>
    <w:rsid w:val="008F19F9"/>
    <w:rsid w:val="008F2489"/>
    <w:rsid w:val="008F2BC2"/>
    <w:rsid w:val="008F301B"/>
    <w:rsid w:val="008F3902"/>
    <w:rsid w:val="008F3E43"/>
    <w:rsid w:val="008F4141"/>
    <w:rsid w:val="008F45F4"/>
    <w:rsid w:val="008F47DF"/>
    <w:rsid w:val="008F4A3C"/>
    <w:rsid w:val="008F4C30"/>
    <w:rsid w:val="008F5143"/>
    <w:rsid w:val="008F5314"/>
    <w:rsid w:val="008F571C"/>
    <w:rsid w:val="008F5807"/>
    <w:rsid w:val="008F59F5"/>
    <w:rsid w:val="008F59FB"/>
    <w:rsid w:val="008F5CFA"/>
    <w:rsid w:val="008F5D51"/>
    <w:rsid w:val="008F631E"/>
    <w:rsid w:val="008F667C"/>
    <w:rsid w:val="008F67F6"/>
    <w:rsid w:val="008F69C7"/>
    <w:rsid w:val="008F6F83"/>
    <w:rsid w:val="008F7635"/>
    <w:rsid w:val="008F7771"/>
    <w:rsid w:val="008F7F1B"/>
    <w:rsid w:val="008F7FA4"/>
    <w:rsid w:val="00900367"/>
    <w:rsid w:val="00901690"/>
    <w:rsid w:val="009017F6"/>
    <w:rsid w:val="00901ED5"/>
    <w:rsid w:val="00901FB5"/>
    <w:rsid w:val="00902011"/>
    <w:rsid w:val="00902784"/>
    <w:rsid w:val="0090280D"/>
    <w:rsid w:val="00902CBB"/>
    <w:rsid w:val="0090336B"/>
    <w:rsid w:val="009036E2"/>
    <w:rsid w:val="0090399A"/>
    <w:rsid w:val="00903D41"/>
    <w:rsid w:val="00903EB5"/>
    <w:rsid w:val="009043C7"/>
    <w:rsid w:val="009043CC"/>
    <w:rsid w:val="00904448"/>
    <w:rsid w:val="00904D0B"/>
    <w:rsid w:val="00904DE7"/>
    <w:rsid w:val="00904ECB"/>
    <w:rsid w:val="009053C6"/>
    <w:rsid w:val="0090558F"/>
    <w:rsid w:val="00905799"/>
    <w:rsid w:val="0090599E"/>
    <w:rsid w:val="00905DBA"/>
    <w:rsid w:val="00905FEF"/>
    <w:rsid w:val="009065A3"/>
    <w:rsid w:val="009072E2"/>
    <w:rsid w:val="0090740C"/>
    <w:rsid w:val="00907A93"/>
    <w:rsid w:val="00907C8F"/>
    <w:rsid w:val="00907D8A"/>
    <w:rsid w:val="009102DD"/>
    <w:rsid w:val="009104EC"/>
    <w:rsid w:val="0091071A"/>
    <w:rsid w:val="00910E5C"/>
    <w:rsid w:val="00910FB7"/>
    <w:rsid w:val="009111B4"/>
    <w:rsid w:val="009111B8"/>
    <w:rsid w:val="0091184F"/>
    <w:rsid w:val="00911871"/>
    <w:rsid w:val="00911D34"/>
    <w:rsid w:val="00911D56"/>
    <w:rsid w:val="00912838"/>
    <w:rsid w:val="00912A31"/>
    <w:rsid w:val="00912C01"/>
    <w:rsid w:val="00912CFB"/>
    <w:rsid w:val="0091343B"/>
    <w:rsid w:val="0091347D"/>
    <w:rsid w:val="009137A6"/>
    <w:rsid w:val="0091440C"/>
    <w:rsid w:val="00914690"/>
    <w:rsid w:val="009148D8"/>
    <w:rsid w:val="00914B78"/>
    <w:rsid w:val="00914D84"/>
    <w:rsid w:val="00915505"/>
    <w:rsid w:val="00915F4E"/>
    <w:rsid w:val="009160AD"/>
    <w:rsid w:val="0091635A"/>
    <w:rsid w:val="00916795"/>
    <w:rsid w:val="00916A3A"/>
    <w:rsid w:val="0091713C"/>
    <w:rsid w:val="009174D3"/>
    <w:rsid w:val="00917D99"/>
    <w:rsid w:val="0092081A"/>
    <w:rsid w:val="009209D9"/>
    <w:rsid w:val="00920C3C"/>
    <w:rsid w:val="00920F1A"/>
    <w:rsid w:val="009211DD"/>
    <w:rsid w:val="009215B9"/>
    <w:rsid w:val="0092186C"/>
    <w:rsid w:val="0092195E"/>
    <w:rsid w:val="00921CD8"/>
    <w:rsid w:val="00922068"/>
    <w:rsid w:val="00922198"/>
    <w:rsid w:val="009221D1"/>
    <w:rsid w:val="009222E2"/>
    <w:rsid w:val="00922643"/>
    <w:rsid w:val="0092271D"/>
    <w:rsid w:val="00923493"/>
    <w:rsid w:val="009234A1"/>
    <w:rsid w:val="00923531"/>
    <w:rsid w:val="0092353C"/>
    <w:rsid w:val="0092372D"/>
    <w:rsid w:val="0092379B"/>
    <w:rsid w:val="0092392B"/>
    <w:rsid w:val="00923AF7"/>
    <w:rsid w:val="00923CDF"/>
    <w:rsid w:val="00923EE8"/>
    <w:rsid w:val="00924CEF"/>
    <w:rsid w:val="00925FF3"/>
    <w:rsid w:val="0092643B"/>
    <w:rsid w:val="0092661C"/>
    <w:rsid w:val="00926AA8"/>
    <w:rsid w:val="00926FE0"/>
    <w:rsid w:val="009278DD"/>
    <w:rsid w:val="00927C7E"/>
    <w:rsid w:val="009302F3"/>
    <w:rsid w:val="00930433"/>
    <w:rsid w:val="009305EA"/>
    <w:rsid w:val="00930935"/>
    <w:rsid w:val="0093181C"/>
    <w:rsid w:val="00931F08"/>
    <w:rsid w:val="009321A1"/>
    <w:rsid w:val="00932207"/>
    <w:rsid w:val="009323FB"/>
    <w:rsid w:val="00932491"/>
    <w:rsid w:val="0093250C"/>
    <w:rsid w:val="0093255A"/>
    <w:rsid w:val="0093267C"/>
    <w:rsid w:val="009329DB"/>
    <w:rsid w:val="0093316B"/>
    <w:rsid w:val="0093339B"/>
    <w:rsid w:val="00933451"/>
    <w:rsid w:val="00933613"/>
    <w:rsid w:val="00933B79"/>
    <w:rsid w:val="00933BDE"/>
    <w:rsid w:val="009341D5"/>
    <w:rsid w:val="00934662"/>
    <w:rsid w:val="00934C05"/>
    <w:rsid w:val="00934D51"/>
    <w:rsid w:val="00934E58"/>
    <w:rsid w:val="00935052"/>
    <w:rsid w:val="009353D9"/>
    <w:rsid w:val="009353EB"/>
    <w:rsid w:val="009355C5"/>
    <w:rsid w:val="00935C44"/>
    <w:rsid w:val="00935E7E"/>
    <w:rsid w:val="009364BB"/>
    <w:rsid w:val="00936508"/>
    <w:rsid w:val="00936A05"/>
    <w:rsid w:val="00936BE5"/>
    <w:rsid w:val="00936C2A"/>
    <w:rsid w:val="00936D86"/>
    <w:rsid w:val="00936F44"/>
    <w:rsid w:val="00936F5B"/>
    <w:rsid w:val="009370EA"/>
    <w:rsid w:val="009370EF"/>
    <w:rsid w:val="009374D6"/>
    <w:rsid w:val="00937C51"/>
    <w:rsid w:val="00940019"/>
    <w:rsid w:val="00940245"/>
    <w:rsid w:val="009404FC"/>
    <w:rsid w:val="00940597"/>
    <w:rsid w:val="0094099F"/>
    <w:rsid w:val="00940A2F"/>
    <w:rsid w:val="00940B07"/>
    <w:rsid w:val="00941180"/>
    <w:rsid w:val="0094120B"/>
    <w:rsid w:val="009416F5"/>
    <w:rsid w:val="0094192B"/>
    <w:rsid w:val="00941AFF"/>
    <w:rsid w:val="00941DE9"/>
    <w:rsid w:val="00941FB7"/>
    <w:rsid w:val="00942CFF"/>
    <w:rsid w:val="009430EC"/>
    <w:rsid w:val="009433F8"/>
    <w:rsid w:val="0094383C"/>
    <w:rsid w:val="00943AD4"/>
    <w:rsid w:val="00943AEB"/>
    <w:rsid w:val="00943C7E"/>
    <w:rsid w:val="00943E61"/>
    <w:rsid w:val="00943FF9"/>
    <w:rsid w:val="00944917"/>
    <w:rsid w:val="00944ADA"/>
    <w:rsid w:val="00945624"/>
    <w:rsid w:val="00945FBA"/>
    <w:rsid w:val="00945FD8"/>
    <w:rsid w:val="009461BA"/>
    <w:rsid w:val="0094621F"/>
    <w:rsid w:val="00946700"/>
    <w:rsid w:val="0094685A"/>
    <w:rsid w:val="00946C18"/>
    <w:rsid w:val="00946EFF"/>
    <w:rsid w:val="00947014"/>
    <w:rsid w:val="00947A25"/>
    <w:rsid w:val="00947C97"/>
    <w:rsid w:val="00947CB1"/>
    <w:rsid w:val="009501A6"/>
    <w:rsid w:val="00950485"/>
    <w:rsid w:val="009505CA"/>
    <w:rsid w:val="00950645"/>
    <w:rsid w:val="00950719"/>
    <w:rsid w:val="00950CC0"/>
    <w:rsid w:val="00950DAD"/>
    <w:rsid w:val="00950EF4"/>
    <w:rsid w:val="00951127"/>
    <w:rsid w:val="009513A6"/>
    <w:rsid w:val="00951AD1"/>
    <w:rsid w:val="00951B68"/>
    <w:rsid w:val="00951C21"/>
    <w:rsid w:val="0095225C"/>
    <w:rsid w:val="00952439"/>
    <w:rsid w:val="00952546"/>
    <w:rsid w:val="00952ACA"/>
    <w:rsid w:val="00952C6D"/>
    <w:rsid w:val="00952D4A"/>
    <w:rsid w:val="00954117"/>
    <w:rsid w:val="009546C8"/>
    <w:rsid w:val="0095482F"/>
    <w:rsid w:val="00954EB4"/>
    <w:rsid w:val="00954F96"/>
    <w:rsid w:val="009552CF"/>
    <w:rsid w:val="0095540E"/>
    <w:rsid w:val="00955479"/>
    <w:rsid w:val="009554EC"/>
    <w:rsid w:val="009556F7"/>
    <w:rsid w:val="0095587B"/>
    <w:rsid w:val="00955E9E"/>
    <w:rsid w:val="00956111"/>
    <w:rsid w:val="0095651A"/>
    <w:rsid w:val="009566C4"/>
    <w:rsid w:val="00956D3E"/>
    <w:rsid w:val="00956D55"/>
    <w:rsid w:val="00956EAF"/>
    <w:rsid w:val="00956F9B"/>
    <w:rsid w:val="0095706D"/>
    <w:rsid w:val="00957382"/>
    <w:rsid w:val="00957759"/>
    <w:rsid w:val="00957E80"/>
    <w:rsid w:val="00960387"/>
    <w:rsid w:val="009605B0"/>
    <w:rsid w:val="0096068D"/>
    <w:rsid w:val="00960B70"/>
    <w:rsid w:val="009610B8"/>
    <w:rsid w:val="00961378"/>
    <w:rsid w:val="009616DB"/>
    <w:rsid w:val="00961F71"/>
    <w:rsid w:val="00962680"/>
    <w:rsid w:val="009626FF"/>
    <w:rsid w:val="00962D1D"/>
    <w:rsid w:val="00962E69"/>
    <w:rsid w:val="00962E73"/>
    <w:rsid w:val="00963617"/>
    <w:rsid w:val="00963659"/>
    <w:rsid w:val="009636EA"/>
    <w:rsid w:val="00963E58"/>
    <w:rsid w:val="0096456C"/>
    <w:rsid w:val="009648A7"/>
    <w:rsid w:val="00964952"/>
    <w:rsid w:val="00964DFE"/>
    <w:rsid w:val="00964EB7"/>
    <w:rsid w:val="00965044"/>
    <w:rsid w:val="009651D5"/>
    <w:rsid w:val="009655CC"/>
    <w:rsid w:val="009657B4"/>
    <w:rsid w:val="00965B38"/>
    <w:rsid w:val="00966046"/>
    <w:rsid w:val="00966314"/>
    <w:rsid w:val="0096631B"/>
    <w:rsid w:val="009668BB"/>
    <w:rsid w:val="00966A0B"/>
    <w:rsid w:val="00966C40"/>
    <w:rsid w:val="00966C89"/>
    <w:rsid w:val="00966DF9"/>
    <w:rsid w:val="00966EF8"/>
    <w:rsid w:val="00967397"/>
    <w:rsid w:val="009676FD"/>
    <w:rsid w:val="00967927"/>
    <w:rsid w:val="00967EF8"/>
    <w:rsid w:val="00967F1F"/>
    <w:rsid w:val="009700B0"/>
    <w:rsid w:val="00970191"/>
    <w:rsid w:val="009705C5"/>
    <w:rsid w:val="00970906"/>
    <w:rsid w:val="00970A00"/>
    <w:rsid w:val="00970BC6"/>
    <w:rsid w:val="00970EEC"/>
    <w:rsid w:val="009713D9"/>
    <w:rsid w:val="009716BE"/>
    <w:rsid w:val="00971745"/>
    <w:rsid w:val="00971D2C"/>
    <w:rsid w:val="00971FB5"/>
    <w:rsid w:val="00972375"/>
    <w:rsid w:val="00972489"/>
    <w:rsid w:val="00972552"/>
    <w:rsid w:val="009729AF"/>
    <w:rsid w:val="00972B9E"/>
    <w:rsid w:val="00972D82"/>
    <w:rsid w:val="00972F1E"/>
    <w:rsid w:val="00972F8C"/>
    <w:rsid w:val="00973470"/>
    <w:rsid w:val="00973C24"/>
    <w:rsid w:val="00973DAF"/>
    <w:rsid w:val="00974235"/>
    <w:rsid w:val="009746DD"/>
    <w:rsid w:val="009749F6"/>
    <w:rsid w:val="00974BA8"/>
    <w:rsid w:val="00974F32"/>
    <w:rsid w:val="00975518"/>
    <w:rsid w:val="009756B4"/>
    <w:rsid w:val="0097588E"/>
    <w:rsid w:val="00975BC2"/>
    <w:rsid w:val="009764F4"/>
    <w:rsid w:val="00976C72"/>
    <w:rsid w:val="00976D93"/>
    <w:rsid w:val="00976E59"/>
    <w:rsid w:val="0097704E"/>
    <w:rsid w:val="00977496"/>
    <w:rsid w:val="00977AB3"/>
    <w:rsid w:val="0098005C"/>
    <w:rsid w:val="009801C3"/>
    <w:rsid w:val="009812C9"/>
    <w:rsid w:val="009812EB"/>
    <w:rsid w:val="00981CBF"/>
    <w:rsid w:val="0098248C"/>
    <w:rsid w:val="00982769"/>
    <w:rsid w:val="009827F0"/>
    <w:rsid w:val="0098293A"/>
    <w:rsid w:val="00982EEC"/>
    <w:rsid w:val="0098323F"/>
    <w:rsid w:val="00983292"/>
    <w:rsid w:val="00983588"/>
    <w:rsid w:val="009836F6"/>
    <w:rsid w:val="00983710"/>
    <w:rsid w:val="00983AD8"/>
    <w:rsid w:val="00983FF6"/>
    <w:rsid w:val="00984020"/>
    <w:rsid w:val="009842B7"/>
    <w:rsid w:val="0098443D"/>
    <w:rsid w:val="00984449"/>
    <w:rsid w:val="00984562"/>
    <w:rsid w:val="009850D1"/>
    <w:rsid w:val="009851C5"/>
    <w:rsid w:val="00985476"/>
    <w:rsid w:val="00985C7B"/>
    <w:rsid w:val="009864BE"/>
    <w:rsid w:val="00986540"/>
    <w:rsid w:val="009868D3"/>
    <w:rsid w:val="0098707A"/>
    <w:rsid w:val="009872E3"/>
    <w:rsid w:val="0098732B"/>
    <w:rsid w:val="009873CC"/>
    <w:rsid w:val="009874EA"/>
    <w:rsid w:val="0098763D"/>
    <w:rsid w:val="00987783"/>
    <w:rsid w:val="0098785A"/>
    <w:rsid w:val="00987C30"/>
    <w:rsid w:val="00987C8C"/>
    <w:rsid w:val="00987D12"/>
    <w:rsid w:val="00990041"/>
    <w:rsid w:val="009908CB"/>
    <w:rsid w:val="00990B45"/>
    <w:rsid w:val="00990C43"/>
    <w:rsid w:val="009916FB"/>
    <w:rsid w:val="00991F70"/>
    <w:rsid w:val="00992748"/>
    <w:rsid w:val="00992808"/>
    <w:rsid w:val="00992C9E"/>
    <w:rsid w:val="00992F10"/>
    <w:rsid w:val="00992F6C"/>
    <w:rsid w:val="009930F9"/>
    <w:rsid w:val="00993331"/>
    <w:rsid w:val="009937BE"/>
    <w:rsid w:val="009939F6"/>
    <w:rsid w:val="00993DC0"/>
    <w:rsid w:val="009945FD"/>
    <w:rsid w:val="0099481D"/>
    <w:rsid w:val="00994892"/>
    <w:rsid w:val="00994B60"/>
    <w:rsid w:val="009950A6"/>
    <w:rsid w:val="00995338"/>
    <w:rsid w:val="009956F7"/>
    <w:rsid w:val="00995B10"/>
    <w:rsid w:val="00995BB7"/>
    <w:rsid w:val="00995C4D"/>
    <w:rsid w:val="00995E0B"/>
    <w:rsid w:val="0099607C"/>
    <w:rsid w:val="00996151"/>
    <w:rsid w:val="00996704"/>
    <w:rsid w:val="00996A65"/>
    <w:rsid w:val="00996B22"/>
    <w:rsid w:val="00996D4E"/>
    <w:rsid w:val="00997258"/>
    <w:rsid w:val="009972B5"/>
    <w:rsid w:val="00997709"/>
    <w:rsid w:val="00997F83"/>
    <w:rsid w:val="009A0001"/>
    <w:rsid w:val="009A0371"/>
    <w:rsid w:val="009A0B26"/>
    <w:rsid w:val="009A1358"/>
    <w:rsid w:val="009A186D"/>
    <w:rsid w:val="009A1959"/>
    <w:rsid w:val="009A19F1"/>
    <w:rsid w:val="009A23DA"/>
    <w:rsid w:val="009A2618"/>
    <w:rsid w:val="009A2D94"/>
    <w:rsid w:val="009A306F"/>
    <w:rsid w:val="009A33F1"/>
    <w:rsid w:val="009A34B4"/>
    <w:rsid w:val="009A354B"/>
    <w:rsid w:val="009A35C2"/>
    <w:rsid w:val="009A3A05"/>
    <w:rsid w:val="009A3AA0"/>
    <w:rsid w:val="009A3BC7"/>
    <w:rsid w:val="009A407B"/>
    <w:rsid w:val="009A4260"/>
    <w:rsid w:val="009A455C"/>
    <w:rsid w:val="009A4BDC"/>
    <w:rsid w:val="009A5B88"/>
    <w:rsid w:val="009A5F55"/>
    <w:rsid w:val="009A6355"/>
    <w:rsid w:val="009A6554"/>
    <w:rsid w:val="009A6EF2"/>
    <w:rsid w:val="009A702F"/>
    <w:rsid w:val="009A717F"/>
    <w:rsid w:val="009A7894"/>
    <w:rsid w:val="009A7921"/>
    <w:rsid w:val="009A7A97"/>
    <w:rsid w:val="009A7BD6"/>
    <w:rsid w:val="009A7D8C"/>
    <w:rsid w:val="009A7D96"/>
    <w:rsid w:val="009B01A1"/>
    <w:rsid w:val="009B0441"/>
    <w:rsid w:val="009B04C5"/>
    <w:rsid w:val="009B059D"/>
    <w:rsid w:val="009B0D5F"/>
    <w:rsid w:val="009B0F4E"/>
    <w:rsid w:val="009B111A"/>
    <w:rsid w:val="009B1629"/>
    <w:rsid w:val="009B16F4"/>
    <w:rsid w:val="009B1832"/>
    <w:rsid w:val="009B1918"/>
    <w:rsid w:val="009B1D89"/>
    <w:rsid w:val="009B1E5F"/>
    <w:rsid w:val="009B28F5"/>
    <w:rsid w:val="009B290D"/>
    <w:rsid w:val="009B2C66"/>
    <w:rsid w:val="009B313B"/>
    <w:rsid w:val="009B36E1"/>
    <w:rsid w:val="009B3746"/>
    <w:rsid w:val="009B393A"/>
    <w:rsid w:val="009B3A5C"/>
    <w:rsid w:val="009B3B35"/>
    <w:rsid w:val="009B3E96"/>
    <w:rsid w:val="009B403A"/>
    <w:rsid w:val="009B4154"/>
    <w:rsid w:val="009B41ED"/>
    <w:rsid w:val="009B4227"/>
    <w:rsid w:val="009B4392"/>
    <w:rsid w:val="009B43C3"/>
    <w:rsid w:val="009B49A1"/>
    <w:rsid w:val="009B4CA7"/>
    <w:rsid w:val="009B4CC1"/>
    <w:rsid w:val="009B4DD2"/>
    <w:rsid w:val="009B51F0"/>
    <w:rsid w:val="009B52BF"/>
    <w:rsid w:val="009B5791"/>
    <w:rsid w:val="009B5ABF"/>
    <w:rsid w:val="009B5CAC"/>
    <w:rsid w:val="009B5DA4"/>
    <w:rsid w:val="009B61DF"/>
    <w:rsid w:val="009B669A"/>
    <w:rsid w:val="009B717F"/>
    <w:rsid w:val="009B76E3"/>
    <w:rsid w:val="009B770B"/>
    <w:rsid w:val="009B7A71"/>
    <w:rsid w:val="009B7A8E"/>
    <w:rsid w:val="009B7E63"/>
    <w:rsid w:val="009B7EA9"/>
    <w:rsid w:val="009C00FB"/>
    <w:rsid w:val="009C032D"/>
    <w:rsid w:val="009C0385"/>
    <w:rsid w:val="009C060A"/>
    <w:rsid w:val="009C0636"/>
    <w:rsid w:val="009C10D1"/>
    <w:rsid w:val="009C1843"/>
    <w:rsid w:val="009C1E5E"/>
    <w:rsid w:val="009C2329"/>
    <w:rsid w:val="009C27A4"/>
    <w:rsid w:val="009C2B0C"/>
    <w:rsid w:val="009C31E7"/>
    <w:rsid w:val="009C3251"/>
    <w:rsid w:val="009C3C99"/>
    <w:rsid w:val="009C404C"/>
    <w:rsid w:val="009C417D"/>
    <w:rsid w:val="009C42E6"/>
    <w:rsid w:val="009C4441"/>
    <w:rsid w:val="009C4924"/>
    <w:rsid w:val="009C4971"/>
    <w:rsid w:val="009C49F4"/>
    <w:rsid w:val="009C4B3C"/>
    <w:rsid w:val="009C5183"/>
    <w:rsid w:val="009C5280"/>
    <w:rsid w:val="009C52EA"/>
    <w:rsid w:val="009C5C2A"/>
    <w:rsid w:val="009C6100"/>
    <w:rsid w:val="009C66DE"/>
    <w:rsid w:val="009C67C6"/>
    <w:rsid w:val="009C6826"/>
    <w:rsid w:val="009C6FA7"/>
    <w:rsid w:val="009C7E35"/>
    <w:rsid w:val="009C7FAA"/>
    <w:rsid w:val="009D0709"/>
    <w:rsid w:val="009D078E"/>
    <w:rsid w:val="009D0BA7"/>
    <w:rsid w:val="009D0D9D"/>
    <w:rsid w:val="009D0F00"/>
    <w:rsid w:val="009D0FEA"/>
    <w:rsid w:val="009D1425"/>
    <w:rsid w:val="009D1568"/>
    <w:rsid w:val="009D161B"/>
    <w:rsid w:val="009D16CC"/>
    <w:rsid w:val="009D177D"/>
    <w:rsid w:val="009D187C"/>
    <w:rsid w:val="009D1903"/>
    <w:rsid w:val="009D1BEF"/>
    <w:rsid w:val="009D1CD6"/>
    <w:rsid w:val="009D1DF6"/>
    <w:rsid w:val="009D20C3"/>
    <w:rsid w:val="009D23C3"/>
    <w:rsid w:val="009D23EB"/>
    <w:rsid w:val="009D26FF"/>
    <w:rsid w:val="009D27BB"/>
    <w:rsid w:val="009D293A"/>
    <w:rsid w:val="009D2A4B"/>
    <w:rsid w:val="009D33E4"/>
    <w:rsid w:val="009D33F1"/>
    <w:rsid w:val="009D35D9"/>
    <w:rsid w:val="009D3739"/>
    <w:rsid w:val="009D3AF7"/>
    <w:rsid w:val="009D3CFB"/>
    <w:rsid w:val="009D3F14"/>
    <w:rsid w:val="009D3FFC"/>
    <w:rsid w:val="009D4721"/>
    <w:rsid w:val="009D47EA"/>
    <w:rsid w:val="009D49C9"/>
    <w:rsid w:val="009D551C"/>
    <w:rsid w:val="009D559B"/>
    <w:rsid w:val="009D5794"/>
    <w:rsid w:val="009D5AF1"/>
    <w:rsid w:val="009D60D5"/>
    <w:rsid w:val="009D6677"/>
    <w:rsid w:val="009D6964"/>
    <w:rsid w:val="009D6C9C"/>
    <w:rsid w:val="009D6D57"/>
    <w:rsid w:val="009D6D69"/>
    <w:rsid w:val="009D6E70"/>
    <w:rsid w:val="009D757B"/>
    <w:rsid w:val="009D7851"/>
    <w:rsid w:val="009D7D5B"/>
    <w:rsid w:val="009E01D9"/>
    <w:rsid w:val="009E06CD"/>
    <w:rsid w:val="009E06D3"/>
    <w:rsid w:val="009E0883"/>
    <w:rsid w:val="009E0B71"/>
    <w:rsid w:val="009E0BFE"/>
    <w:rsid w:val="009E0E4D"/>
    <w:rsid w:val="009E129A"/>
    <w:rsid w:val="009E12F8"/>
    <w:rsid w:val="009E1366"/>
    <w:rsid w:val="009E1997"/>
    <w:rsid w:val="009E1B27"/>
    <w:rsid w:val="009E1BEE"/>
    <w:rsid w:val="009E1EF0"/>
    <w:rsid w:val="009E216C"/>
    <w:rsid w:val="009E21FC"/>
    <w:rsid w:val="009E22F3"/>
    <w:rsid w:val="009E233F"/>
    <w:rsid w:val="009E23AF"/>
    <w:rsid w:val="009E2672"/>
    <w:rsid w:val="009E289F"/>
    <w:rsid w:val="009E2D2F"/>
    <w:rsid w:val="009E2F02"/>
    <w:rsid w:val="009E3050"/>
    <w:rsid w:val="009E332E"/>
    <w:rsid w:val="009E3338"/>
    <w:rsid w:val="009E33E9"/>
    <w:rsid w:val="009E3796"/>
    <w:rsid w:val="009E3A86"/>
    <w:rsid w:val="009E3CC3"/>
    <w:rsid w:val="009E3FC6"/>
    <w:rsid w:val="009E4735"/>
    <w:rsid w:val="009E483A"/>
    <w:rsid w:val="009E4E02"/>
    <w:rsid w:val="009E51A5"/>
    <w:rsid w:val="009E552D"/>
    <w:rsid w:val="009E5664"/>
    <w:rsid w:val="009E571F"/>
    <w:rsid w:val="009E58A5"/>
    <w:rsid w:val="009E5F97"/>
    <w:rsid w:val="009E6192"/>
    <w:rsid w:val="009E6542"/>
    <w:rsid w:val="009E6A90"/>
    <w:rsid w:val="009E70B9"/>
    <w:rsid w:val="009E73DD"/>
    <w:rsid w:val="009E7465"/>
    <w:rsid w:val="009E767C"/>
    <w:rsid w:val="009E7BB1"/>
    <w:rsid w:val="009E7DFD"/>
    <w:rsid w:val="009F014D"/>
    <w:rsid w:val="009F0423"/>
    <w:rsid w:val="009F04A8"/>
    <w:rsid w:val="009F04B0"/>
    <w:rsid w:val="009F06A5"/>
    <w:rsid w:val="009F08EC"/>
    <w:rsid w:val="009F0A41"/>
    <w:rsid w:val="009F0FDB"/>
    <w:rsid w:val="009F1304"/>
    <w:rsid w:val="009F130E"/>
    <w:rsid w:val="009F145C"/>
    <w:rsid w:val="009F148E"/>
    <w:rsid w:val="009F16B0"/>
    <w:rsid w:val="009F1A92"/>
    <w:rsid w:val="009F1C7D"/>
    <w:rsid w:val="009F1D51"/>
    <w:rsid w:val="009F2815"/>
    <w:rsid w:val="009F29F9"/>
    <w:rsid w:val="009F2AEA"/>
    <w:rsid w:val="009F2DAA"/>
    <w:rsid w:val="009F396A"/>
    <w:rsid w:val="009F39BA"/>
    <w:rsid w:val="009F3BBD"/>
    <w:rsid w:val="009F4341"/>
    <w:rsid w:val="009F4447"/>
    <w:rsid w:val="009F45A4"/>
    <w:rsid w:val="009F50D8"/>
    <w:rsid w:val="009F5A98"/>
    <w:rsid w:val="009F5ED8"/>
    <w:rsid w:val="009F5F79"/>
    <w:rsid w:val="009F6F3F"/>
    <w:rsid w:val="009F7A29"/>
    <w:rsid w:val="00A002D3"/>
    <w:rsid w:val="00A00339"/>
    <w:rsid w:val="00A00913"/>
    <w:rsid w:val="00A0095B"/>
    <w:rsid w:val="00A00D0C"/>
    <w:rsid w:val="00A00F71"/>
    <w:rsid w:val="00A00FAF"/>
    <w:rsid w:val="00A017FD"/>
    <w:rsid w:val="00A018CC"/>
    <w:rsid w:val="00A01F21"/>
    <w:rsid w:val="00A01FCC"/>
    <w:rsid w:val="00A021FE"/>
    <w:rsid w:val="00A050C6"/>
    <w:rsid w:val="00A051A7"/>
    <w:rsid w:val="00A05335"/>
    <w:rsid w:val="00A054AD"/>
    <w:rsid w:val="00A0559F"/>
    <w:rsid w:val="00A05606"/>
    <w:rsid w:val="00A05B8C"/>
    <w:rsid w:val="00A05CFA"/>
    <w:rsid w:val="00A06039"/>
    <w:rsid w:val="00A061F5"/>
    <w:rsid w:val="00A063AD"/>
    <w:rsid w:val="00A063B9"/>
    <w:rsid w:val="00A06B37"/>
    <w:rsid w:val="00A06BF8"/>
    <w:rsid w:val="00A06E7A"/>
    <w:rsid w:val="00A07488"/>
    <w:rsid w:val="00A0796A"/>
    <w:rsid w:val="00A07BE9"/>
    <w:rsid w:val="00A10106"/>
    <w:rsid w:val="00A10403"/>
    <w:rsid w:val="00A10569"/>
    <w:rsid w:val="00A1068F"/>
    <w:rsid w:val="00A1079E"/>
    <w:rsid w:val="00A10DA2"/>
    <w:rsid w:val="00A10DE0"/>
    <w:rsid w:val="00A10E2B"/>
    <w:rsid w:val="00A10F87"/>
    <w:rsid w:val="00A11080"/>
    <w:rsid w:val="00A110C3"/>
    <w:rsid w:val="00A11236"/>
    <w:rsid w:val="00A11326"/>
    <w:rsid w:val="00A118B0"/>
    <w:rsid w:val="00A11CB5"/>
    <w:rsid w:val="00A11E34"/>
    <w:rsid w:val="00A12692"/>
    <w:rsid w:val="00A12867"/>
    <w:rsid w:val="00A12C51"/>
    <w:rsid w:val="00A12F8F"/>
    <w:rsid w:val="00A13092"/>
    <w:rsid w:val="00A130EE"/>
    <w:rsid w:val="00A133BA"/>
    <w:rsid w:val="00A13B73"/>
    <w:rsid w:val="00A13CFD"/>
    <w:rsid w:val="00A13D27"/>
    <w:rsid w:val="00A13F66"/>
    <w:rsid w:val="00A140B1"/>
    <w:rsid w:val="00A141CE"/>
    <w:rsid w:val="00A1423F"/>
    <w:rsid w:val="00A145D5"/>
    <w:rsid w:val="00A145EA"/>
    <w:rsid w:val="00A14DA8"/>
    <w:rsid w:val="00A1551B"/>
    <w:rsid w:val="00A15B94"/>
    <w:rsid w:val="00A15BB8"/>
    <w:rsid w:val="00A16292"/>
    <w:rsid w:val="00A162BE"/>
    <w:rsid w:val="00A166E4"/>
    <w:rsid w:val="00A168E4"/>
    <w:rsid w:val="00A16DA2"/>
    <w:rsid w:val="00A1710B"/>
    <w:rsid w:val="00A17465"/>
    <w:rsid w:val="00A17937"/>
    <w:rsid w:val="00A17B9D"/>
    <w:rsid w:val="00A20150"/>
    <w:rsid w:val="00A206A1"/>
    <w:rsid w:val="00A20F1B"/>
    <w:rsid w:val="00A21122"/>
    <w:rsid w:val="00A213F1"/>
    <w:rsid w:val="00A218B2"/>
    <w:rsid w:val="00A21B2A"/>
    <w:rsid w:val="00A21D87"/>
    <w:rsid w:val="00A21FCF"/>
    <w:rsid w:val="00A2234A"/>
    <w:rsid w:val="00A22539"/>
    <w:rsid w:val="00A233D9"/>
    <w:rsid w:val="00A238A9"/>
    <w:rsid w:val="00A23939"/>
    <w:rsid w:val="00A241E6"/>
    <w:rsid w:val="00A24577"/>
    <w:rsid w:val="00A2463D"/>
    <w:rsid w:val="00A24720"/>
    <w:rsid w:val="00A248D5"/>
    <w:rsid w:val="00A24A50"/>
    <w:rsid w:val="00A24F0D"/>
    <w:rsid w:val="00A2533F"/>
    <w:rsid w:val="00A253CD"/>
    <w:rsid w:val="00A2584F"/>
    <w:rsid w:val="00A25B44"/>
    <w:rsid w:val="00A25EC5"/>
    <w:rsid w:val="00A26337"/>
    <w:rsid w:val="00A26EBE"/>
    <w:rsid w:val="00A2746B"/>
    <w:rsid w:val="00A27525"/>
    <w:rsid w:val="00A2774B"/>
    <w:rsid w:val="00A27B6B"/>
    <w:rsid w:val="00A27BA0"/>
    <w:rsid w:val="00A27FED"/>
    <w:rsid w:val="00A30035"/>
    <w:rsid w:val="00A3022D"/>
    <w:rsid w:val="00A30E12"/>
    <w:rsid w:val="00A31260"/>
    <w:rsid w:val="00A3152E"/>
    <w:rsid w:val="00A316C1"/>
    <w:rsid w:val="00A321B2"/>
    <w:rsid w:val="00A321CE"/>
    <w:rsid w:val="00A326CA"/>
    <w:rsid w:val="00A3294C"/>
    <w:rsid w:val="00A32C42"/>
    <w:rsid w:val="00A32F89"/>
    <w:rsid w:val="00A33886"/>
    <w:rsid w:val="00A3402F"/>
    <w:rsid w:val="00A340F8"/>
    <w:rsid w:val="00A342AE"/>
    <w:rsid w:val="00A347C1"/>
    <w:rsid w:val="00A34A61"/>
    <w:rsid w:val="00A34CE8"/>
    <w:rsid w:val="00A34D5F"/>
    <w:rsid w:val="00A34DA4"/>
    <w:rsid w:val="00A36129"/>
    <w:rsid w:val="00A36143"/>
    <w:rsid w:val="00A36CE6"/>
    <w:rsid w:val="00A37372"/>
    <w:rsid w:val="00A37658"/>
    <w:rsid w:val="00A37CBF"/>
    <w:rsid w:val="00A40398"/>
    <w:rsid w:val="00A40660"/>
    <w:rsid w:val="00A40695"/>
    <w:rsid w:val="00A407B7"/>
    <w:rsid w:val="00A40A61"/>
    <w:rsid w:val="00A40C04"/>
    <w:rsid w:val="00A41546"/>
    <w:rsid w:val="00A41CB1"/>
    <w:rsid w:val="00A41F76"/>
    <w:rsid w:val="00A420F4"/>
    <w:rsid w:val="00A4211A"/>
    <w:rsid w:val="00A42211"/>
    <w:rsid w:val="00A4259B"/>
    <w:rsid w:val="00A427E8"/>
    <w:rsid w:val="00A42932"/>
    <w:rsid w:val="00A42BF0"/>
    <w:rsid w:val="00A42D76"/>
    <w:rsid w:val="00A43B3B"/>
    <w:rsid w:val="00A43BB0"/>
    <w:rsid w:val="00A443E2"/>
    <w:rsid w:val="00A444EF"/>
    <w:rsid w:val="00A4490D"/>
    <w:rsid w:val="00A44A87"/>
    <w:rsid w:val="00A44CA2"/>
    <w:rsid w:val="00A44DE4"/>
    <w:rsid w:val="00A4547C"/>
    <w:rsid w:val="00A454E1"/>
    <w:rsid w:val="00A45A7D"/>
    <w:rsid w:val="00A45CB5"/>
    <w:rsid w:val="00A45DF1"/>
    <w:rsid w:val="00A45E91"/>
    <w:rsid w:val="00A45F40"/>
    <w:rsid w:val="00A4647B"/>
    <w:rsid w:val="00A46AA7"/>
    <w:rsid w:val="00A46C9D"/>
    <w:rsid w:val="00A5044E"/>
    <w:rsid w:val="00A50652"/>
    <w:rsid w:val="00A50833"/>
    <w:rsid w:val="00A509CE"/>
    <w:rsid w:val="00A50AD2"/>
    <w:rsid w:val="00A50E7B"/>
    <w:rsid w:val="00A50EFF"/>
    <w:rsid w:val="00A512B4"/>
    <w:rsid w:val="00A513C1"/>
    <w:rsid w:val="00A51998"/>
    <w:rsid w:val="00A5248A"/>
    <w:rsid w:val="00A52687"/>
    <w:rsid w:val="00A52772"/>
    <w:rsid w:val="00A529BB"/>
    <w:rsid w:val="00A52A69"/>
    <w:rsid w:val="00A52C21"/>
    <w:rsid w:val="00A52D70"/>
    <w:rsid w:val="00A52D9A"/>
    <w:rsid w:val="00A52FE2"/>
    <w:rsid w:val="00A535C0"/>
    <w:rsid w:val="00A537A2"/>
    <w:rsid w:val="00A53B7A"/>
    <w:rsid w:val="00A53DC6"/>
    <w:rsid w:val="00A548A0"/>
    <w:rsid w:val="00A549E1"/>
    <w:rsid w:val="00A54D0A"/>
    <w:rsid w:val="00A54D70"/>
    <w:rsid w:val="00A55452"/>
    <w:rsid w:val="00A56944"/>
    <w:rsid w:val="00A56C77"/>
    <w:rsid w:val="00A56C9B"/>
    <w:rsid w:val="00A56CC0"/>
    <w:rsid w:val="00A57408"/>
    <w:rsid w:val="00A57D1C"/>
    <w:rsid w:val="00A57D4F"/>
    <w:rsid w:val="00A607C8"/>
    <w:rsid w:val="00A6094B"/>
    <w:rsid w:val="00A60FCC"/>
    <w:rsid w:val="00A61038"/>
    <w:rsid w:val="00A61DD0"/>
    <w:rsid w:val="00A620F1"/>
    <w:rsid w:val="00A6247E"/>
    <w:rsid w:val="00A6269A"/>
    <w:rsid w:val="00A62C37"/>
    <w:rsid w:val="00A63376"/>
    <w:rsid w:val="00A6371A"/>
    <w:rsid w:val="00A63D8A"/>
    <w:rsid w:val="00A63E85"/>
    <w:rsid w:val="00A63F1A"/>
    <w:rsid w:val="00A64050"/>
    <w:rsid w:val="00A645C3"/>
    <w:rsid w:val="00A64932"/>
    <w:rsid w:val="00A64EDD"/>
    <w:rsid w:val="00A6500D"/>
    <w:rsid w:val="00A6519B"/>
    <w:rsid w:val="00A655F2"/>
    <w:rsid w:val="00A6580E"/>
    <w:rsid w:val="00A658E0"/>
    <w:rsid w:val="00A6591D"/>
    <w:rsid w:val="00A65BCE"/>
    <w:rsid w:val="00A6637D"/>
    <w:rsid w:val="00A6653D"/>
    <w:rsid w:val="00A6663C"/>
    <w:rsid w:val="00A66B6E"/>
    <w:rsid w:val="00A67B04"/>
    <w:rsid w:val="00A67EB2"/>
    <w:rsid w:val="00A7039C"/>
    <w:rsid w:val="00A708CD"/>
    <w:rsid w:val="00A70B45"/>
    <w:rsid w:val="00A71028"/>
    <w:rsid w:val="00A718F1"/>
    <w:rsid w:val="00A719C3"/>
    <w:rsid w:val="00A71E9B"/>
    <w:rsid w:val="00A71F88"/>
    <w:rsid w:val="00A73053"/>
    <w:rsid w:val="00A73102"/>
    <w:rsid w:val="00A73159"/>
    <w:rsid w:val="00A73365"/>
    <w:rsid w:val="00A737BB"/>
    <w:rsid w:val="00A73968"/>
    <w:rsid w:val="00A74034"/>
    <w:rsid w:val="00A74155"/>
    <w:rsid w:val="00A7434A"/>
    <w:rsid w:val="00A75A77"/>
    <w:rsid w:val="00A76018"/>
    <w:rsid w:val="00A760F3"/>
    <w:rsid w:val="00A761A8"/>
    <w:rsid w:val="00A7653B"/>
    <w:rsid w:val="00A765B9"/>
    <w:rsid w:val="00A765C3"/>
    <w:rsid w:val="00A76977"/>
    <w:rsid w:val="00A76DCA"/>
    <w:rsid w:val="00A770B6"/>
    <w:rsid w:val="00A771C9"/>
    <w:rsid w:val="00A774EE"/>
    <w:rsid w:val="00A77564"/>
    <w:rsid w:val="00A77A50"/>
    <w:rsid w:val="00A77C1B"/>
    <w:rsid w:val="00A80340"/>
    <w:rsid w:val="00A80487"/>
    <w:rsid w:val="00A80922"/>
    <w:rsid w:val="00A81360"/>
    <w:rsid w:val="00A817DD"/>
    <w:rsid w:val="00A818CA"/>
    <w:rsid w:val="00A82A41"/>
    <w:rsid w:val="00A832AD"/>
    <w:rsid w:val="00A83483"/>
    <w:rsid w:val="00A834FE"/>
    <w:rsid w:val="00A83D25"/>
    <w:rsid w:val="00A83DBB"/>
    <w:rsid w:val="00A83ECD"/>
    <w:rsid w:val="00A83F24"/>
    <w:rsid w:val="00A84088"/>
    <w:rsid w:val="00A84788"/>
    <w:rsid w:val="00A855A1"/>
    <w:rsid w:val="00A85869"/>
    <w:rsid w:val="00A85D16"/>
    <w:rsid w:val="00A86028"/>
    <w:rsid w:val="00A86397"/>
    <w:rsid w:val="00A863A5"/>
    <w:rsid w:val="00A8646C"/>
    <w:rsid w:val="00A864E1"/>
    <w:rsid w:val="00A86629"/>
    <w:rsid w:val="00A86659"/>
    <w:rsid w:val="00A86937"/>
    <w:rsid w:val="00A870AB"/>
    <w:rsid w:val="00A870AD"/>
    <w:rsid w:val="00A8725B"/>
    <w:rsid w:val="00A87301"/>
    <w:rsid w:val="00A8771B"/>
    <w:rsid w:val="00A87772"/>
    <w:rsid w:val="00A879B3"/>
    <w:rsid w:val="00A87A2F"/>
    <w:rsid w:val="00A87AA1"/>
    <w:rsid w:val="00A87B44"/>
    <w:rsid w:val="00A87B88"/>
    <w:rsid w:val="00A87DF8"/>
    <w:rsid w:val="00A90281"/>
    <w:rsid w:val="00A905E4"/>
    <w:rsid w:val="00A909A0"/>
    <w:rsid w:val="00A90F43"/>
    <w:rsid w:val="00A9108D"/>
    <w:rsid w:val="00A912F0"/>
    <w:rsid w:val="00A917C1"/>
    <w:rsid w:val="00A91A47"/>
    <w:rsid w:val="00A91AF1"/>
    <w:rsid w:val="00A91BEE"/>
    <w:rsid w:val="00A91F62"/>
    <w:rsid w:val="00A92041"/>
    <w:rsid w:val="00A9222C"/>
    <w:rsid w:val="00A923F3"/>
    <w:rsid w:val="00A9251D"/>
    <w:rsid w:val="00A92587"/>
    <w:rsid w:val="00A929AD"/>
    <w:rsid w:val="00A92A17"/>
    <w:rsid w:val="00A92B95"/>
    <w:rsid w:val="00A92BCF"/>
    <w:rsid w:val="00A92C9F"/>
    <w:rsid w:val="00A93398"/>
    <w:rsid w:val="00A944B2"/>
    <w:rsid w:val="00A94B9A"/>
    <w:rsid w:val="00A94CEE"/>
    <w:rsid w:val="00A94DED"/>
    <w:rsid w:val="00A952ED"/>
    <w:rsid w:val="00A95575"/>
    <w:rsid w:val="00A9572F"/>
    <w:rsid w:val="00A95A09"/>
    <w:rsid w:val="00A95C75"/>
    <w:rsid w:val="00A960AD"/>
    <w:rsid w:val="00A96D0D"/>
    <w:rsid w:val="00A96D90"/>
    <w:rsid w:val="00A96E80"/>
    <w:rsid w:val="00A96EAF"/>
    <w:rsid w:val="00A9711A"/>
    <w:rsid w:val="00A97A60"/>
    <w:rsid w:val="00AA012A"/>
    <w:rsid w:val="00AA01FC"/>
    <w:rsid w:val="00AA09DF"/>
    <w:rsid w:val="00AA0A85"/>
    <w:rsid w:val="00AA0BB7"/>
    <w:rsid w:val="00AA0E9C"/>
    <w:rsid w:val="00AA12FF"/>
    <w:rsid w:val="00AA173D"/>
    <w:rsid w:val="00AA1B46"/>
    <w:rsid w:val="00AA218D"/>
    <w:rsid w:val="00AA248C"/>
    <w:rsid w:val="00AA25F3"/>
    <w:rsid w:val="00AA2682"/>
    <w:rsid w:val="00AA27A6"/>
    <w:rsid w:val="00AA27C7"/>
    <w:rsid w:val="00AA281F"/>
    <w:rsid w:val="00AA297A"/>
    <w:rsid w:val="00AA2CAF"/>
    <w:rsid w:val="00AA2DF4"/>
    <w:rsid w:val="00AA3125"/>
    <w:rsid w:val="00AA3507"/>
    <w:rsid w:val="00AA3799"/>
    <w:rsid w:val="00AA3B90"/>
    <w:rsid w:val="00AA3E8F"/>
    <w:rsid w:val="00AA3F23"/>
    <w:rsid w:val="00AA43A9"/>
    <w:rsid w:val="00AA4681"/>
    <w:rsid w:val="00AA4BAD"/>
    <w:rsid w:val="00AA5117"/>
    <w:rsid w:val="00AA52F0"/>
    <w:rsid w:val="00AA593E"/>
    <w:rsid w:val="00AA5FDF"/>
    <w:rsid w:val="00AA6341"/>
    <w:rsid w:val="00AA63A8"/>
    <w:rsid w:val="00AA66EB"/>
    <w:rsid w:val="00AA6775"/>
    <w:rsid w:val="00AA6841"/>
    <w:rsid w:val="00AA69CE"/>
    <w:rsid w:val="00AA6A1D"/>
    <w:rsid w:val="00AA6B4F"/>
    <w:rsid w:val="00AA6F4C"/>
    <w:rsid w:val="00AA6FF6"/>
    <w:rsid w:val="00AA710E"/>
    <w:rsid w:val="00AA737F"/>
    <w:rsid w:val="00AA758E"/>
    <w:rsid w:val="00AA77F2"/>
    <w:rsid w:val="00AA7A9C"/>
    <w:rsid w:val="00AA7E0F"/>
    <w:rsid w:val="00AA7FC0"/>
    <w:rsid w:val="00AB0783"/>
    <w:rsid w:val="00AB1A49"/>
    <w:rsid w:val="00AB1D89"/>
    <w:rsid w:val="00AB1D95"/>
    <w:rsid w:val="00AB2055"/>
    <w:rsid w:val="00AB2680"/>
    <w:rsid w:val="00AB26A4"/>
    <w:rsid w:val="00AB2B4E"/>
    <w:rsid w:val="00AB2BE2"/>
    <w:rsid w:val="00AB31FB"/>
    <w:rsid w:val="00AB321A"/>
    <w:rsid w:val="00AB331F"/>
    <w:rsid w:val="00AB3B7B"/>
    <w:rsid w:val="00AB3C24"/>
    <w:rsid w:val="00AB5348"/>
    <w:rsid w:val="00AB5642"/>
    <w:rsid w:val="00AB5793"/>
    <w:rsid w:val="00AB5C39"/>
    <w:rsid w:val="00AB5D1C"/>
    <w:rsid w:val="00AB5DA2"/>
    <w:rsid w:val="00AB674A"/>
    <w:rsid w:val="00AB6890"/>
    <w:rsid w:val="00AB68E1"/>
    <w:rsid w:val="00AB6958"/>
    <w:rsid w:val="00AB6F1D"/>
    <w:rsid w:val="00AB7039"/>
    <w:rsid w:val="00AB725B"/>
    <w:rsid w:val="00AB7602"/>
    <w:rsid w:val="00AB78F2"/>
    <w:rsid w:val="00AC0290"/>
    <w:rsid w:val="00AC0FC0"/>
    <w:rsid w:val="00AC0FF3"/>
    <w:rsid w:val="00AC1248"/>
    <w:rsid w:val="00AC185A"/>
    <w:rsid w:val="00AC1C03"/>
    <w:rsid w:val="00AC1C59"/>
    <w:rsid w:val="00AC1DDC"/>
    <w:rsid w:val="00AC2B56"/>
    <w:rsid w:val="00AC32B2"/>
    <w:rsid w:val="00AC3373"/>
    <w:rsid w:val="00AC34DB"/>
    <w:rsid w:val="00AC3763"/>
    <w:rsid w:val="00AC376A"/>
    <w:rsid w:val="00AC37A4"/>
    <w:rsid w:val="00AC3AC7"/>
    <w:rsid w:val="00AC3EA3"/>
    <w:rsid w:val="00AC4565"/>
    <w:rsid w:val="00AC4803"/>
    <w:rsid w:val="00AC49EC"/>
    <w:rsid w:val="00AC5509"/>
    <w:rsid w:val="00AC559C"/>
    <w:rsid w:val="00AC56E0"/>
    <w:rsid w:val="00AC5BF8"/>
    <w:rsid w:val="00AC5E51"/>
    <w:rsid w:val="00AC5E64"/>
    <w:rsid w:val="00AC6294"/>
    <w:rsid w:val="00AC6DC2"/>
    <w:rsid w:val="00AC7641"/>
    <w:rsid w:val="00AC7731"/>
    <w:rsid w:val="00AC7E42"/>
    <w:rsid w:val="00AD0578"/>
    <w:rsid w:val="00AD0975"/>
    <w:rsid w:val="00AD0BFB"/>
    <w:rsid w:val="00AD1E38"/>
    <w:rsid w:val="00AD28E4"/>
    <w:rsid w:val="00AD29FE"/>
    <w:rsid w:val="00AD2C07"/>
    <w:rsid w:val="00AD3079"/>
    <w:rsid w:val="00AD323C"/>
    <w:rsid w:val="00AD37D5"/>
    <w:rsid w:val="00AD3AB5"/>
    <w:rsid w:val="00AD3E69"/>
    <w:rsid w:val="00AD4084"/>
    <w:rsid w:val="00AD452C"/>
    <w:rsid w:val="00AD45F8"/>
    <w:rsid w:val="00AD4B32"/>
    <w:rsid w:val="00AD50D9"/>
    <w:rsid w:val="00AD519D"/>
    <w:rsid w:val="00AD520D"/>
    <w:rsid w:val="00AD58A8"/>
    <w:rsid w:val="00AD58CE"/>
    <w:rsid w:val="00AD5B48"/>
    <w:rsid w:val="00AD5BF6"/>
    <w:rsid w:val="00AD5C55"/>
    <w:rsid w:val="00AD690D"/>
    <w:rsid w:val="00AD6934"/>
    <w:rsid w:val="00AD6EDB"/>
    <w:rsid w:val="00AD711D"/>
    <w:rsid w:val="00AD7388"/>
    <w:rsid w:val="00AD746F"/>
    <w:rsid w:val="00AD7480"/>
    <w:rsid w:val="00AD7714"/>
    <w:rsid w:val="00AD790C"/>
    <w:rsid w:val="00AE005F"/>
    <w:rsid w:val="00AE03C0"/>
    <w:rsid w:val="00AE03D3"/>
    <w:rsid w:val="00AE0644"/>
    <w:rsid w:val="00AE0FFD"/>
    <w:rsid w:val="00AE11E9"/>
    <w:rsid w:val="00AE17C8"/>
    <w:rsid w:val="00AE1822"/>
    <w:rsid w:val="00AE1A8E"/>
    <w:rsid w:val="00AE1E64"/>
    <w:rsid w:val="00AE2740"/>
    <w:rsid w:val="00AE2AAA"/>
    <w:rsid w:val="00AE2FFF"/>
    <w:rsid w:val="00AE3A60"/>
    <w:rsid w:val="00AE3FD9"/>
    <w:rsid w:val="00AE4094"/>
    <w:rsid w:val="00AE40B5"/>
    <w:rsid w:val="00AE462B"/>
    <w:rsid w:val="00AE467B"/>
    <w:rsid w:val="00AE4744"/>
    <w:rsid w:val="00AE4750"/>
    <w:rsid w:val="00AE48F9"/>
    <w:rsid w:val="00AE4D8E"/>
    <w:rsid w:val="00AE50C4"/>
    <w:rsid w:val="00AE50FC"/>
    <w:rsid w:val="00AE511D"/>
    <w:rsid w:val="00AE58A9"/>
    <w:rsid w:val="00AE5A87"/>
    <w:rsid w:val="00AE61AA"/>
    <w:rsid w:val="00AE6201"/>
    <w:rsid w:val="00AE6461"/>
    <w:rsid w:val="00AE6AC9"/>
    <w:rsid w:val="00AE6BD3"/>
    <w:rsid w:val="00AE7031"/>
    <w:rsid w:val="00AE7050"/>
    <w:rsid w:val="00AE72F5"/>
    <w:rsid w:val="00AE7348"/>
    <w:rsid w:val="00AE787D"/>
    <w:rsid w:val="00AE79DB"/>
    <w:rsid w:val="00AE7EF1"/>
    <w:rsid w:val="00AE7F98"/>
    <w:rsid w:val="00AF00B5"/>
    <w:rsid w:val="00AF0167"/>
    <w:rsid w:val="00AF0310"/>
    <w:rsid w:val="00AF0E3F"/>
    <w:rsid w:val="00AF1049"/>
    <w:rsid w:val="00AF1769"/>
    <w:rsid w:val="00AF1899"/>
    <w:rsid w:val="00AF1905"/>
    <w:rsid w:val="00AF1B7B"/>
    <w:rsid w:val="00AF1BA8"/>
    <w:rsid w:val="00AF1D47"/>
    <w:rsid w:val="00AF20F4"/>
    <w:rsid w:val="00AF2419"/>
    <w:rsid w:val="00AF28AB"/>
    <w:rsid w:val="00AF28D6"/>
    <w:rsid w:val="00AF2925"/>
    <w:rsid w:val="00AF2DFB"/>
    <w:rsid w:val="00AF2E5D"/>
    <w:rsid w:val="00AF2F65"/>
    <w:rsid w:val="00AF3033"/>
    <w:rsid w:val="00AF380D"/>
    <w:rsid w:val="00AF3D4D"/>
    <w:rsid w:val="00AF3EC7"/>
    <w:rsid w:val="00AF45CE"/>
    <w:rsid w:val="00AF496C"/>
    <w:rsid w:val="00AF4A86"/>
    <w:rsid w:val="00AF4E63"/>
    <w:rsid w:val="00AF4E72"/>
    <w:rsid w:val="00AF5252"/>
    <w:rsid w:val="00AF5322"/>
    <w:rsid w:val="00AF5645"/>
    <w:rsid w:val="00AF56D6"/>
    <w:rsid w:val="00AF582B"/>
    <w:rsid w:val="00AF588F"/>
    <w:rsid w:val="00AF5E96"/>
    <w:rsid w:val="00AF5FA9"/>
    <w:rsid w:val="00AF6244"/>
    <w:rsid w:val="00AF647B"/>
    <w:rsid w:val="00AF687A"/>
    <w:rsid w:val="00AF6E5A"/>
    <w:rsid w:val="00AF7376"/>
    <w:rsid w:val="00AF76C2"/>
    <w:rsid w:val="00AF779F"/>
    <w:rsid w:val="00AF7BE7"/>
    <w:rsid w:val="00AF7D01"/>
    <w:rsid w:val="00AF7DDF"/>
    <w:rsid w:val="00AF7E79"/>
    <w:rsid w:val="00AF7E7A"/>
    <w:rsid w:val="00AF7EE5"/>
    <w:rsid w:val="00AF7F84"/>
    <w:rsid w:val="00B00373"/>
    <w:rsid w:val="00B004BA"/>
    <w:rsid w:val="00B006E2"/>
    <w:rsid w:val="00B00AFC"/>
    <w:rsid w:val="00B0183D"/>
    <w:rsid w:val="00B01AB9"/>
    <w:rsid w:val="00B01DAF"/>
    <w:rsid w:val="00B022E9"/>
    <w:rsid w:val="00B0230E"/>
    <w:rsid w:val="00B02F63"/>
    <w:rsid w:val="00B03351"/>
    <w:rsid w:val="00B0382A"/>
    <w:rsid w:val="00B039CB"/>
    <w:rsid w:val="00B03A19"/>
    <w:rsid w:val="00B03C68"/>
    <w:rsid w:val="00B03EF0"/>
    <w:rsid w:val="00B04BA2"/>
    <w:rsid w:val="00B04F9D"/>
    <w:rsid w:val="00B0515D"/>
    <w:rsid w:val="00B0518D"/>
    <w:rsid w:val="00B05355"/>
    <w:rsid w:val="00B058E9"/>
    <w:rsid w:val="00B05D6D"/>
    <w:rsid w:val="00B05E1A"/>
    <w:rsid w:val="00B05F91"/>
    <w:rsid w:val="00B06867"/>
    <w:rsid w:val="00B06BEC"/>
    <w:rsid w:val="00B06C0A"/>
    <w:rsid w:val="00B0762B"/>
    <w:rsid w:val="00B0774F"/>
    <w:rsid w:val="00B07C94"/>
    <w:rsid w:val="00B07D0E"/>
    <w:rsid w:val="00B07E35"/>
    <w:rsid w:val="00B100EE"/>
    <w:rsid w:val="00B10125"/>
    <w:rsid w:val="00B10140"/>
    <w:rsid w:val="00B1023A"/>
    <w:rsid w:val="00B10564"/>
    <w:rsid w:val="00B10770"/>
    <w:rsid w:val="00B10791"/>
    <w:rsid w:val="00B10A3D"/>
    <w:rsid w:val="00B10D69"/>
    <w:rsid w:val="00B11081"/>
    <w:rsid w:val="00B1130B"/>
    <w:rsid w:val="00B1133C"/>
    <w:rsid w:val="00B11585"/>
    <w:rsid w:val="00B118BC"/>
    <w:rsid w:val="00B11B57"/>
    <w:rsid w:val="00B11BA5"/>
    <w:rsid w:val="00B1257D"/>
    <w:rsid w:val="00B12959"/>
    <w:rsid w:val="00B13102"/>
    <w:rsid w:val="00B132F9"/>
    <w:rsid w:val="00B13351"/>
    <w:rsid w:val="00B135E8"/>
    <w:rsid w:val="00B137BC"/>
    <w:rsid w:val="00B13F58"/>
    <w:rsid w:val="00B15154"/>
    <w:rsid w:val="00B1526D"/>
    <w:rsid w:val="00B15618"/>
    <w:rsid w:val="00B15916"/>
    <w:rsid w:val="00B15B2A"/>
    <w:rsid w:val="00B163F0"/>
    <w:rsid w:val="00B1653F"/>
    <w:rsid w:val="00B16581"/>
    <w:rsid w:val="00B16B28"/>
    <w:rsid w:val="00B1709A"/>
    <w:rsid w:val="00B177E7"/>
    <w:rsid w:val="00B17C7A"/>
    <w:rsid w:val="00B17D44"/>
    <w:rsid w:val="00B17F45"/>
    <w:rsid w:val="00B20001"/>
    <w:rsid w:val="00B203F2"/>
    <w:rsid w:val="00B208AF"/>
    <w:rsid w:val="00B20AE8"/>
    <w:rsid w:val="00B20BD4"/>
    <w:rsid w:val="00B20E7D"/>
    <w:rsid w:val="00B20FAB"/>
    <w:rsid w:val="00B210A6"/>
    <w:rsid w:val="00B21258"/>
    <w:rsid w:val="00B2145A"/>
    <w:rsid w:val="00B214D9"/>
    <w:rsid w:val="00B214EA"/>
    <w:rsid w:val="00B21605"/>
    <w:rsid w:val="00B21856"/>
    <w:rsid w:val="00B21CD9"/>
    <w:rsid w:val="00B21E8D"/>
    <w:rsid w:val="00B221EC"/>
    <w:rsid w:val="00B2220F"/>
    <w:rsid w:val="00B22244"/>
    <w:rsid w:val="00B22406"/>
    <w:rsid w:val="00B225CD"/>
    <w:rsid w:val="00B2269C"/>
    <w:rsid w:val="00B229CA"/>
    <w:rsid w:val="00B22B80"/>
    <w:rsid w:val="00B22B82"/>
    <w:rsid w:val="00B22F06"/>
    <w:rsid w:val="00B22FC8"/>
    <w:rsid w:val="00B23433"/>
    <w:rsid w:val="00B237C3"/>
    <w:rsid w:val="00B23AF2"/>
    <w:rsid w:val="00B23B52"/>
    <w:rsid w:val="00B2439B"/>
    <w:rsid w:val="00B244ED"/>
    <w:rsid w:val="00B24603"/>
    <w:rsid w:val="00B24663"/>
    <w:rsid w:val="00B2467E"/>
    <w:rsid w:val="00B24BE5"/>
    <w:rsid w:val="00B24BE9"/>
    <w:rsid w:val="00B24C63"/>
    <w:rsid w:val="00B24CA8"/>
    <w:rsid w:val="00B24E02"/>
    <w:rsid w:val="00B24E98"/>
    <w:rsid w:val="00B25133"/>
    <w:rsid w:val="00B255D7"/>
    <w:rsid w:val="00B2582B"/>
    <w:rsid w:val="00B25B66"/>
    <w:rsid w:val="00B25CCF"/>
    <w:rsid w:val="00B2600D"/>
    <w:rsid w:val="00B26233"/>
    <w:rsid w:val="00B266BE"/>
    <w:rsid w:val="00B26901"/>
    <w:rsid w:val="00B27E96"/>
    <w:rsid w:val="00B3084C"/>
    <w:rsid w:val="00B310CA"/>
    <w:rsid w:val="00B318C3"/>
    <w:rsid w:val="00B31AF7"/>
    <w:rsid w:val="00B31EBF"/>
    <w:rsid w:val="00B31F10"/>
    <w:rsid w:val="00B32713"/>
    <w:rsid w:val="00B32C43"/>
    <w:rsid w:val="00B339A8"/>
    <w:rsid w:val="00B339B0"/>
    <w:rsid w:val="00B3401D"/>
    <w:rsid w:val="00B34524"/>
    <w:rsid w:val="00B34871"/>
    <w:rsid w:val="00B349CB"/>
    <w:rsid w:val="00B34D9D"/>
    <w:rsid w:val="00B35084"/>
    <w:rsid w:val="00B354BA"/>
    <w:rsid w:val="00B354EC"/>
    <w:rsid w:val="00B35769"/>
    <w:rsid w:val="00B358FF"/>
    <w:rsid w:val="00B35E25"/>
    <w:rsid w:val="00B36300"/>
    <w:rsid w:val="00B36688"/>
    <w:rsid w:val="00B367F9"/>
    <w:rsid w:val="00B36B8D"/>
    <w:rsid w:val="00B36D03"/>
    <w:rsid w:val="00B371B5"/>
    <w:rsid w:val="00B376D7"/>
    <w:rsid w:val="00B37A26"/>
    <w:rsid w:val="00B37D73"/>
    <w:rsid w:val="00B403E6"/>
    <w:rsid w:val="00B407F4"/>
    <w:rsid w:val="00B40829"/>
    <w:rsid w:val="00B40AD9"/>
    <w:rsid w:val="00B41462"/>
    <w:rsid w:val="00B416F6"/>
    <w:rsid w:val="00B41867"/>
    <w:rsid w:val="00B41A6D"/>
    <w:rsid w:val="00B41CD5"/>
    <w:rsid w:val="00B4215C"/>
    <w:rsid w:val="00B42715"/>
    <w:rsid w:val="00B42B9A"/>
    <w:rsid w:val="00B42CC0"/>
    <w:rsid w:val="00B42F74"/>
    <w:rsid w:val="00B430E5"/>
    <w:rsid w:val="00B434DA"/>
    <w:rsid w:val="00B43A3F"/>
    <w:rsid w:val="00B4402B"/>
    <w:rsid w:val="00B44217"/>
    <w:rsid w:val="00B44221"/>
    <w:rsid w:val="00B4441F"/>
    <w:rsid w:val="00B4448B"/>
    <w:rsid w:val="00B445B9"/>
    <w:rsid w:val="00B4479C"/>
    <w:rsid w:val="00B44CC1"/>
    <w:rsid w:val="00B44D51"/>
    <w:rsid w:val="00B44EAD"/>
    <w:rsid w:val="00B44EBD"/>
    <w:rsid w:val="00B44F67"/>
    <w:rsid w:val="00B45133"/>
    <w:rsid w:val="00B452A9"/>
    <w:rsid w:val="00B454E5"/>
    <w:rsid w:val="00B457A7"/>
    <w:rsid w:val="00B45A10"/>
    <w:rsid w:val="00B45A9E"/>
    <w:rsid w:val="00B45B20"/>
    <w:rsid w:val="00B45BE7"/>
    <w:rsid w:val="00B45D40"/>
    <w:rsid w:val="00B45E6D"/>
    <w:rsid w:val="00B45EE1"/>
    <w:rsid w:val="00B46170"/>
    <w:rsid w:val="00B461A1"/>
    <w:rsid w:val="00B46635"/>
    <w:rsid w:val="00B467E8"/>
    <w:rsid w:val="00B46E2D"/>
    <w:rsid w:val="00B471BA"/>
    <w:rsid w:val="00B4735F"/>
    <w:rsid w:val="00B475E7"/>
    <w:rsid w:val="00B4766E"/>
    <w:rsid w:val="00B47748"/>
    <w:rsid w:val="00B477C2"/>
    <w:rsid w:val="00B47D9D"/>
    <w:rsid w:val="00B47E66"/>
    <w:rsid w:val="00B47F7D"/>
    <w:rsid w:val="00B505B2"/>
    <w:rsid w:val="00B50F16"/>
    <w:rsid w:val="00B50F60"/>
    <w:rsid w:val="00B5112F"/>
    <w:rsid w:val="00B51671"/>
    <w:rsid w:val="00B516C8"/>
    <w:rsid w:val="00B51825"/>
    <w:rsid w:val="00B51C6D"/>
    <w:rsid w:val="00B5260F"/>
    <w:rsid w:val="00B52665"/>
    <w:rsid w:val="00B52673"/>
    <w:rsid w:val="00B52EC9"/>
    <w:rsid w:val="00B533B8"/>
    <w:rsid w:val="00B536B0"/>
    <w:rsid w:val="00B53955"/>
    <w:rsid w:val="00B53C1B"/>
    <w:rsid w:val="00B53D77"/>
    <w:rsid w:val="00B54132"/>
    <w:rsid w:val="00B5440C"/>
    <w:rsid w:val="00B5465E"/>
    <w:rsid w:val="00B54C9A"/>
    <w:rsid w:val="00B54D89"/>
    <w:rsid w:val="00B54E87"/>
    <w:rsid w:val="00B55740"/>
    <w:rsid w:val="00B559F4"/>
    <w:rsid w:val="00B55C50"/>
    <w:rsid w:val="00B55C75"/>
    <w:rsid w:val="00B55C90"/>
    <w:rsid w:val="00B55CEC"/>
    <w:rsid w:val="00B55E49"/>
    <w:rsid w:val="00B56797"/>
    <w:rsid w:val="00B56A55"/>
    <w:rsid w:val="00B56B5B"/>
    <w:rsid w:val="00B5721F"/>
    <w:rsid w:val="00B572A7"/>
    <w:rsid w:val="00B5753B"/>
    <w:rsid w:val="00B576F3"/>
    <w:rsid w:val="00B57B72"/>
    <w:rsid w:val="00B57C29"/>
    <w:rsid w:val="00B60194"/>
    <w:rsid w:val="00B6028C"/>
    <w:rsid w:val="00B607F0"/>
    <w:rsid w:val="00B608D0"/>
    <w:rsid w:val="00B60AAB"/>
    <w:rsid w:val="00B612AB"/>
    <w:rsid w:val="00B61518"/>
    <w:rsid w:val="00B618AC"/>
    <w:rsid w:val="00B61A26"/>
    <w:rsid w:val="00B622B2"/>
    <w:rsid w:val="00B62508"/>
    <w:rsid w:val="00B62B9D"/>
    <w:rsid w:val="00B634AB"/>
    <w:rsid w:val="00B6376D"/>
    <w:rsid w:val="00B63CCC"/>
    <w:rsid w:val="00B63D5E"/>
    <w:rsid w:val="00B63E08"/>
    <w:rsid w:val="00B63E59"/>
    <w:rsid w:val="00B63F13"/>
    <w:rsid w:val="00B64D05"/>
    <w:rsid w:val="00B64E1A"/>
    <w:rsid w:val="00B64F9B"/>
    <w:rsid w:val="00B6527F"/>
    <w:rsid w:val="00B6543E"/>
    <w:rsid w:val="00B655A7"/>
    <w:rsid w:val="00B65711"/>
    <w:rsid w:val="00B65BFD"/>
    <w:rsid w:val="00B6709C"/>
    <w:rsid w:val="00B67475"/>
    <w:rsid w:val="00B67A53"/>
    <w:rsid w:val="00B7037D"/>
    <w:rsid w:val="00B70574"/>
    <w:rsid w:val="00B705D0"/>
    <w:rsid w:val="00B7060B"/>
    <w:rsid w:val="00B70862"/>
    <w:rsid w:val="00B70AAB"/>
    <w:rsid w:val="00B70C2B"/>
    <w:rsid w:val="00B70DDF"/>
    <w:rsid w:val="00B70F87"/>
    <w:rsid w:val="00B7110F"/>
    <w:rsid w:val="00B71C60"/>
    <w:rsid w:val="00B71D79"/>
    <w:rsid w:val="00B720D5"/>
    <w:rsid w:val="00B72536"/>
    <w:rsid w:val="00B72577"/>
    <w:rsid w:val="00B72705"/>
    <w:rsid w:val="00B72714"/>
    <w:rsid w:val="00B727FB"/>
    <w:rsid w:val="00B72943"/>
    <w:rsid w:val="00B72CA5"/>
    <w:rsid w:val="00B73274"/>
    <w:rsid w:val="00B73546"/>
    <w:rsid w:val="00B73A5B"/>
    <w:rsid w:val="00B741B3"/>
    <w:rsid w:val="00B74304"/>
    <w:rsid w:val="00B745A7"/>
    <w:rsid w:val="00B74BF9"/>
    <w:rsid w:val="00B74CDC"/>
    <w:rsid w:val="00B759AD"/>
    <w:rsid w:val="00B75A99"/>
    <w:rsid w:val="00B75B40"/>
    <w:rsid w:val="00B75E56"/>
    <w:rsid w:val="00B771DB"/>
    <w:rsid w:val="00B77929"/>
    <w:rsid w:val="00B77C35"/>
    <w:rsid w:val="00B77E2D"/>
    <w:rsid w:val="00B800AD"/>
    <w:rsid w:val="00B8033E"/>
    <w:rsid w:val="00B80708"/>
    <w:rsid w:val="00B80709"/>
    <w:rsid w:val="00B80A64"/>
    <w:rsid w:val="00B80D9A"/>
    <w:rsid w:val="00B81289"/>
    <w:rsid w:val="00B8139E"/>
    <w:rsid w:val="00B81498"/>
    <w:rsid w:val="00B81789"/>
    <w:rsid w:val="00B817A5"/>
    <w:rsid w:val="00B81A06"/>
    <w:rsid w:val="00B81AAC"/>
    <w:rsid w:val="00B81AF0"/>
    <w:rsid w:val="00B81D39"/>
    <w:rsid w:val="00B81D4C"/>
    <w:rsid w:val="00B81EB7"/>
    <w:rsid w:val="00B81F06"/>
    <w:rsid w:val="00B8280B"/>
    <w:rsid w:val="00B828BF"/>
    <w:rsid w:val="00B82D4C"/>
    <w:rsid w:val="00B82F05"/>
    <w:rsid w:val="00B8315D"/>
    <w:rsid w:val="00B832CC"/>
    <w:rsid w:val="00B83A78"/>
    <w:rsid w:val="00B83B85"/>
    <w:rsid w:val="00B83E82"/>
    <w:rsid w:val="00B83E9C"/>
    <w:rsid w:val="00B83FF7"/>
    <w:rsid w:val="00B84378"/>
    <w:rsid w:val="00B84B55"/>
    <w:rsid w:val="00B852F0"/>
    <w:rsid w:val="00B8545D"/>
    <w:rsid w:val="00B85A12"/>
    <w:rsid w:val="00B85D44"/>
    <w:rsid w:val="00B86200"/>
    <w:rsid w:val="00B86835"/>
    <w:rsid w:val="00B86AB6"/>
    <w:rsid w:val="00B86C33"/>
    <w:rsid w:val="00B86ED2"/>
    <w:rsid w:val="00B86F13"/>
    <w:rsid w:val="00B871A3"/>
    <w:rsid w:val="00B872B7"/>
    <w:rsid w:val="00B87881"/>
    <w:rsid w:val="00B87D8C"/>
    <w:rsid w:val="00B87E9E"/>
    <w:rsid w:val="00B87FE3"/>
    <w:rsid w:val="00B90206"/>
    <w:rsid w:val="00B90289"/>
    <w:rsid w:val="00B90376"/>
    <w:rsid w:val="00B9053A"/>
    <w:rsid w:val="00B90659"/>
    <w:rsid w:val="00B91468"/>
    <w:rsid w:val="00B91E95"/>
    <w:rsid w:val="00B92678"/>
    <w:rsid w:val="00B9267E"/>
    <w:rsid w:val="00B929F6"/>
    <w:rsid w:val="00B92B56"/>
    <w:rsid w:val="00B93343"/>
    <w:rsid w:val="00B93358"/>
    <w:rsid w:val="00B93524"/>
    <w:rsid w:val="00B937C3"/>
    <w:rsid w:val="00B93974"/>
    <w:rsid w:val="00B939AF"/>
    <w:rsid w:val="00B93A25"/>
    <w:rsid w:val="00B93AA5"/>
    <w:rsid w:val="00B93B67"/>
    <w:rsid w:val="00B94139"/>
    <w:rsid w:val="00B94577"/>
    <w:rsid w:val="00B94AC2"/>
    <w:rsid w:val="00B94B14"/>
    <w:rsid w:val="00B9509A"/>
    <w:rsid w:val="00B951E2"/>
    <w:rsid w:val="00B952B0"/>
    <w:rsid w:val="00B954B5"/>
    <w:rsid w:val="00B95530"/>
    <w:rsid w:val="00B956FE"/>
    <w:rsid w:val="00B9597D"/>
    <w:rsid w:val="00B95DC0"/>
    <w:rsid w:val="00B95EC4"/>
    <w:rsid w:val="00B9629B"/>
    <w:rsid w:val="00B964B6"/>
    <w:rsid w:val="00B966E4"/>
    <w:rsid w:val="00B96A45"/>
    <w:rsid w:val="00B96E6B"/>
    <w:rsid w:val="00B96FEE"/>
    <w:rsid w:val="00B9736A"/>
    <w:rsid w:val="00B97386"/>
    <w:rsid w:val="00B975FD"/>
    <w:rsid w:val="00B9775A"/>
    <w:rsid w:val="00B97B10"/>
    <w:rsid w:val="00BA0554"/>
    <w:rsid w:val="00BA0B7D"/>
    <w:rsid w:val="00BA0C4A"/>
    <w:rsid w:val="00BA0D5A"/>
    <w:rsid w:val="00BA0DDC"/>
    <w:rsid w:val="00BA0FEE"/>
    <w:rsid w:val="00BA1466"/>
    <w:rsid w:val="00BA155B"/>
    <w:rsid w:val="00BA160D"/>
    <w:rsid w:val="00BA187A"/>
    <w:rsid w:val="00BA1F2C"/>
    <w:rsid w:val="00BA21D7"/>
    <w:rsid w:val="00BA2700"/>
    <w:rsid w:val="00BA289D"/>
    <w:rsid w:val="00BA29B5"/>
    <w:rsid w:val="00BA2CEB"/>
    <w:rsid w:val="00BA2FC1"/>
    <w:rsid w:val="00BA3548"/>
    <w:rsid w:val="00BA3CDA"/>
    <w:rsid w:val="00BA3D13"/>
    <w:rsid w:val="00BA3E8C"/>
    <w:rsid w:val="00BA4B65"/>
    <w:rsid w:val="00BA5612"/>
    <w:rsid w:val="00BA57A2"/>
    <w:rsid w:val="00BA5C8D"/>
    <w:rsid w:val="00BA5C90"/>
    <w:rsid w:val="00BA5E01"/>
    <w:rsid w:val="00BA6508"/>
    <w:rsid w:val="00BA6910"/>
    <w:rsid w:val="00BA75F7"/>
    <w:rsid w:val="00BA7B9E"/>
    <w:rsid w:val="00BB00DD"/>
    <w:rsid w:val="00BB02E7"/>
    <w:rsid w:val="00BB031C"/>
    <w:rsid w:val="00BB0B5F"/>
    <w:rsid w:val="00BB1055"/>
    <w:rsid w:val="00BB126D"/>
    <w:rsid w:val="00BB137A"/>
    <w:rsid w:val="00BB1516"/>
    <w:rsid w:val="00BB1A46"/>
    <w:rsid w:val="00BB1C61"/>
    <w:rsid w:val="00BB1EB8"/>
    <w:rsid w:val="00BB2223"/>
    <w:rsid w:val="00BB225B"/>
    <w:rsid w:val="00BB248C"/>
    <w:rsid w:val="00BB26BB"/>
    <w:rsid w:val="00BB2A41"/>
    <w:rsid w:val="00BB303A"/>
    <w:rsid w:val="00BB30EF"/>
    <w:rsid w:val="00BB3200"/>
    <w:rsid w:val="00BB334F"/>
    <w:rsid w:val="00BB3819"/>
    <w:rsid w:val="00BB3998"/>
    <w:rsid w:val="00BB3EDF"/>
    <w:rsid w:val="00BB4597"/>
    <w:rsid w:val="00BB4E1D"/>
    <w:rsid w:val="00BB4F38"/>
    <w:rsid w:val="00BB4FFD"/>
    <w:rsid w:val="00BB53AF"/>
    <w:rsid w:val="00BB5667"/>
    <w:rsid w:val="00BB6103"/>
    <w:rsid w:val="00BB63E3"/>
    <w:rsid w:val="00BB69CE"/>
    <w:rsid w:val="00BB6B55"/>
    <w:rsid w:val="00BB6B87"/>
    <w:rsid w:val="00BB6C35"/>
    <w:rsid w:val="00BB6FA7"/>
    <w:rsid w:val="00BB70A8"/>
    <w:rsid w:val="00BB7414"/>
    <w:rsid w:val="00BB7533"/>
    <w:rsid w:val="00BB7671"/>
    <w:rsid w:val="00BB768F"/>
    <w:rsid w:val="00BB78E5"/>
    <w:rsid w:val="00BB7A88"/>
    <w:rsid w:val="00BB7BF0"/>
    <w:rsid w:val="00BB7D23"/>
    <w:rsid w:val="00BB7DF3"/>
    <w:rsid w:val="00BB7EF2"/>
    <w:rsid w:val="00BC06F6"/>
    <w:rsid w:val="00BC08E6"/>
    <w:rsid w:val="00BC0A82"/>
    <w:rsid w:val="00BC0B3D"/>
    <w:rsid w:val="00BC0C2A"/>
    <w:rsid w:val="00BC0F62"/>
    <w:rsid w:val="00BC0FF4"/>
    <w:rsid w:val="00BC17AB"/>
    <w:rsid w:val="00BC1A95"/>
    <w:rsid w:val="00BC1D18"/>
    <w:rsid w:val="00BC1D59"/>
    <w:rsid w:val="00BC2347"/>
    <w:rsid w:val="00BC249E"/>
    <w:rsid w:val="00BC2B4E"/>
    <w:rsid w:val="00BC2C92"/>
    <w:rsid w:val="00BC2CE3"/>
    <w:rsid w:val="00BC2E68"/>
    <w:rsid w:val="00BC36A6"/>
    <w:rsid w:val="00BC3B21"/>
    <w:rsid w:val="00BC3BF6"/>
    <w:rsid w:val="00BC41DC"/>
    <w:rsid w:val="00BC4C09"/>
    <w:rsid w:val="00BC4D7C"/>
    <w:rsid w:val="00BC524A"/>
    <w:rsid w:val="00BC6181"/>
    <w:rsid w:val="00BC66F0"/>
    <w:rsid w:val="00BC6AD2"/>
    <w:rsid w:val="00BC6EA8"/>
    <w:rsid w:val="00BC6F85"/>
    <w:rsid w:val="00BC7166"/>
    <w:rsid w:val="00BC73C1"/>
    <w:rsid w:val="00BC75D9"/>
    <w:rsid w:val="00BC7647"/>
    <w:rsid w:val="00BC785F"/>
    <w:rsid w:val="00BD00CE"/>
    <w:rsid w:val="00BD0164"/>
    <w:rsid w:val="00BD036E"/>
    <w:rsid w:val="00BD07D5"/>
    <w:rsid w:val="00BD0D9B"/>
    <w:rsid w:val="00BD1014"/>
    <w:rsid w:val="00BD110B"/>
    <w:rsid w:val="00BD118D"/>
    <w:rsid w:val="00BD1977"/>
    <w:rsid w:val="00BD1A7B"/>
    <w:rsid w:val="00BD200A"/>
    <w:rsid w:val="00BD20D8"/>
    <w:rsid w:val="00BD22AB"/>
    <w:rsid w:val="00BD23AB"/>
    <w:rsid w:val="00BD2B4A"/>
    <w:rsid w:val="00BD2D16"/>
    <w:rsid w:val="00BD31A3"/>
    <w:rsid w:val="00BD3310"/>
    <w:rsid w:val="00BD3332"/>
    <w:rsid w:val="00BD3711"/>
    <w:rsid w:val="00BD42CB"/>
    <w:rsid w:val="00BD45ED"/>
    <w:rsid w:val="00BD4609"/>
    <w:rsid w:val="00BD52BC"/>
    <w:rsid w:val="00BD56CB"/>
    <w:rsid w:val="00BD572C"/>
    <w:rsid w:val="00BD593C"/>
    <w:rsid w:val="00BD5B88"/>
    <w:rsid w:val="00BD5BB7"/>
    <w:rsid w:val="00BD5D31"/>
    <w:rsid w:val="00BD6EF2"/>
    <w:rsid w:val="00BD72CF"/>
    <w:rsid w:val="00BD740B"/>
    <w:rsid w:val="00BD744E"/>
    <w:rsid w:val="00BD771A"/>
    <w:rsid w:val="00BD7AA3"/>
    <w:rsid w:val="00BD7AD4"/>
    <w:rsid w:val="00BD7C24"/>
    <w:rsid w:val="00BD7D4A"/>
    <w:rsid w:val="00BD7DED"/>
    <w:rsid w:val="00BE00FE"/>
    <w:rsid w:val="00BE0724"/>
    <w:rsid w:val="00BE0E14"/>
    <w:rsid w:val="00BE0EB1"/>
    <w:rsid w:val="00BE0EE1"/>
    <w:rsid w:val="00BE102D"/>
    <w:rsid w:val="00BE102F"/>
    <w:rsid w:val="00BE10F1"/>
    <w:rsid w:val="00BE13DC"/>
    <w:rsid w:val="00BE145D"/>
    <w:rsid w:val="00BE1485"/>
    <w:rsid w:val="00BE1F6D"/>
    <w:rsid w:val="00BE1FAD"/>
    <w:rsid w:val="00BE232E"/>
    <w:rsid w:val="00BE24A4"/>
    <w:rsid w:val="00BE24E9"/>
    <w:rsid w:val="00BE2587"/>
    <w:rsid w:val="00BE27B0"/>
    <w:rsid w:val="00BE2B2E"/>
    <w:rsid w:val="00BE3090"/>
    <w:rsid w:val="00BE313B"/>
    <w:rsid w:val="00BE3601"/>
    <w:rsid w:val="00BE38B2"/>
    <w:rsid w:val="00BE3A08"/>
    <w:rsid w:val="00BE3ACC"/>
    <w:rsid w:val="00BE3B0E"/>
    <w:rsid w:val="00BE3ED7"/>
    <w:rsid w:val="00BE3F43"/>
    <w:rsid w:val="00BE42A7"/>
    <w:rsid w:val="00BE4A28"/>
    <w:rsid w:val="00BE4B80"/>
    <w:rsid w:val="00BE4C2B"/>
    <w:rsid w:val="00BE501F"/>
    <w:rsid w:val="00BE535F"/>
    <w:rsid w:val="00BE5C66"/>
    <w:rsid w:val="00BE5D51"/>
    <w:rsid w:val="00BE5E16"/>
    <w:rsid w:val="00BE6FC4"/>
    <w:rsid w:val="00BE7357"/>
    <w:rsid w:val="00BE743A"/>
    <w:rsid w:val="00BE7875"/>
    <w:rsid w:val="00BE7A7D"/>
    <w:rsid w:val="00BE7A83"/>
    <w:rsid w:val="00BE7B82"/>
    <w:rsid w:val="00BE7EE5"/>
    <w:rsid w:val="00BF0380"/>
    <w:rsid w:val="00BF0387"/>
    <w:rsid w:val="00BF059A"/>
    <w:rsid w:val="00BF05A0"/>
    <w:rsid w:val="00BF08FC"/>
    <w:rsid w:val="00BF0A91"/>
    <w:rsid w:val="00BF0AA7"/>
    <w:rsid w:val="00BF1096"/>
    <w:rsid w:val="00BF1450"/>
    <w:rsid w:val="00BF1496"/>
    <w:rsid w:val="00BF14FA"/>
    <w:rsid w:val="00BF15E3"/>
    <w:rsid w:val="00BF19F1"/>
    <w:rsid w:val="00BF1B72"/>
    <w:rsid w:val="00BF1E00"/>
    <w:rsid w:val="00BF1EF6"/>
    <w:rsid w:val="00BF2136"/>
    <w:rsid w:val="00BF2235"/>
    <w:rsid w:val="00BF23EC"/>
    <w:rsid w:val="00BF29E8"/>
    <w:rsid w:val="00BF2DD3"/>
    <w:rsid w:val="00BF2EF7"/>
    <w:rsid w:val="00BF30DF"/>
    <w:rsid w:val="00BF3120"/>
    <w:rsid w:val="00BF3295"/>
    <w:rsid w:val="00BF333B"/>
    <w:rsid w:val="00BF37B2"/>
    <w:rsid w:val="00BF3E4E"/>
    <w:rsid w:val="00BF451D"/>
    <w:rsid w:val="00BF4B70"/>
    <w:rsid w:val="00BF4E1D"/>
    <w:rsid w:val="00BF4E3A"/>
    <w:rsid w:val="00BF51A6"/>
    <w:rsid w:val="00BF592E"/>
    <w:rsid w:val="00BF5A73"/>
    <w:rsid w:val="00BF5A82"/>
    <w:rsid w:val="00BF5CD1"/>
    <w:rsid w:val="00BF61AF"/>
    <w:rsid w:val="00BF6300"/>
    <w:rsid w:val="00BF6499"/>
    <w:rsid w:val="00BF7139"/>
    <w:rsid w:val="00BF79FA"/>
    <w:rsid w:val="00BF7A1F"/>
    <w:rsid w:val="00BF7FCC"/>
    <w:rsid w:val="00C00235"/>
    <w:rsid w:val="00C003B3"/>
    <w:rsid w:val="00C0052A"/>
    <w:rsid w:val="00C007EA"/>
    <w:rsid w:val="00C008E0"/>
    <w:rsid w:val="00C00C22"/>
    <w:rsid w:val="00C01085"/>
    <w:rsid w:val="00C01102"/>
    <w:rsid w:val="00C0112D"/>
    <w:rsid w:val="00C01190"/>
    <w:rsid w:val="00C0157B"/>
    <w:rsid w:val="00C01692"/>
    <w:rsid w:val="00C01A3E"/>
    <w:rsid w:val="00C02342"/>
    <w:rsid w:val="00C02755"/>
    <w:rsid w:val="00C0288C"/>
    <w:rsid w:val="00C0319B"/>
    <w:rsid w:val="00C0378A"/>
    <w:rsid w:val="00C03A6D"/>
    <w:rsid w:val="00C03A82"/>
    <w:rsid w:val="00C03DC0"/>
    <w:rsid w:val="00C03F4A"/>
    <w:rsid w:val="00C0430F"/>
    <w:rsid w:val="00C043AF"/>
    <w:rsid w:val="00C04674"/>
    <w:rsid w:val="00C048CA"/>
    <w:rsid w:val="00C0491D"/>
    <w:rsid w:val="00C04FA3"/>
    <w:rsid w:val="00C050D3"/>
    <w:rsid w:val="00C0510E"/>
    <w:rsid w:val="00C051FB"/>
    <w:rsid w:val="00C052E5"/>
    <w:rsid w:val="00C05303"/>
    <w:rsid w:val="00C05746"/>
    <w:rsid w:val="00C057FD"/>
    <w:rsid w:val="00C059FC"/>
    <w:rsid w:val="00C05B7F"/>
    <w:rsid w:val="00C05C65"/>
    <w:rsid w:val="00C05D0D"/>
    <w:rsid w:val="00C05DB2"/>
    <w:rsid w:val="00C060C3"/>
    <w:rsid w:val="00C0628A"/>
    <w:rsid w:val="00C063EB"/>
    <w:rsid w:val="00C06CCE"/>
    <w:rsid w:val="00C06EA3"/>
    <w:rsid w:val="00C06F00"/>
    <w:rsid w:val="00C06F34"/>
    <w:rsid w:val="00C071F6"/>
    <w:rsid w:val="00C077C5"/>
    <w:rsid w:val="00C07DB3"/>
    <w:rsid w:val="00C07F44"/>
    <w:rsid w:val="00C10076"/>
    <w:rsid w:val="00C1035B"/>
    <w:rsid w:val="00C1051D"/>
    <w:rsid w:val="00C1082F"/>
    <w:rsid w:val="00C10AFC"/>
    <w:rsid w:val="00C10D0F"/>
    <w:rsid w:val="00C10D2B"/>
    <w:rsid w:val="00C112B4"/>
    <w:rsid w:val="00C1142B"/>
    <w:rsid w:val="00C1143A"/>
    <w:rsid w:val="00C11504"/>
    <w:rsid w:val="00C11597"/>
    <w:rsid w:val="00C119BC"/>
    <w:rsid w:val="00C11A19"/>
    <w:rsid w:val="00C1272D"/>
    <w:rsid w:val="00C12859"/>
    <w:rsid w:val="00C12F8E"/>
    <w:rsid w:val="00C13861"/>
    <w:rsid w:val="00C13C5E"/>
    <w:rsid w:val="00C13E45"/>
    <w:rsid w:val="00C1451A"/>
    <w:rsid w:val="00C146DB"/>
    <w:rsid w:val="00C14701"/>
    <w:rsid w:val="00C148AB"/>
    <w:rsid w:val="00C149B7"/>
    <w:rsid w:val="00C149EB"/>
    <w:rsid w:val="00C14D21"/>
    <w:rsid w:val="00C14F32"/>
    <w:rsid w:val="00C151AF"/>
    <w:rsid w:val="00C159FC"/>
    <w:rsid w:val="00C15C61"/>
    <w:rsid w:val="00C167B7"/>
    <w:rsid w:val="00C16A0D"/>
    <w:rsid w:val="00C16AEC"/>
    <w:rsid w:val="00C16EBF"/>
    <w:rsid w:val="00C1736A"/>
    <w:rsid w:val="00C1768C"/>
    <w:rsid w:val="00C1788A"/>
    <w:rsid w:val="00C17937"/>
    <w:rsid w:val="00C179A1"/>
    <w:rsid w:val="00C17CED"/>
    <w:rsid w:val="00C17FEF"/>
    <w:rsid w:val="00C2038A"/>
    <w:rsid w:val="00C2076F"/>
    <w:rsid w:val="00C20E1A"/>
    <w:rsid w:val="00C2125D"/>
    <w:rsid w:val="00C213B6"/>
    <w:rsid w:val="00C21629"/>
    <w:rsid w:val="00C21D1E"/>
    <w:rsid w:val="00C21D5F"/>
    <w:rsid w:val="00C21FD0"/>
    <w:rsid w:val="00C22163"/>
    <w:rsid w:val="00C22224"/>
    <w:rsid w:val="00C22876"/>
    <w:rsid w:val="00C2349C"/>
    <w:rsid w:val="00C2363A"/>
    <w:rsid w:val="00C23C40"/>
    <w:rsid w:val="00C23D4C"/>
    <w:rsid w:val="00C23F1C"/>
    <w:rsid w:val="00C24020"/>
    <w:rsid w:val="00C24183"/>
    <w:rsid w:val="00C24419"/>
    <w:rsid w:val="00C24B28"/>
    <w:rsid w:val="00C24BE8"/>
    <w:rsid w:val="00C24CC4"/>
    <w:rsid w:val="00C24F75"/>
    <w:rsid w:val="00C25242"/>
    <w:rsid w:val="00C25268"/>
    <w:rsid w:val="00C25B2B"/>
    <w:rsid w:val="00C25FA4"/>
    <w:rsid w:val="00C26115"/>
    <w:rsid w:val="00C26196"/>
    <w:rsid w:val="00C2689B"/>
    <w:rsid w:val="00C26ADE"/>
    <w:rsid w:val="00C270F4"/>
    <w:rsid w:val="00C27170"/>
    <w:rsid w:val="00C2729D"/>
    <w:rsid w:val="00C2734E"/>
    <w:rsid w:val="00C27355"/>
    <w:rsid w:val="00C27533"/>
    <w:rsid w:val="00C2766B"/>
    <w:rsid w:val="00C276B9"/>
    <w:rsid w:val="00C27B5F"/>
    <w:rsid w:val="00C27C97"/>
    <w:rsid w:val="00C30362"/>
    <w:rsid w:val="00C308C9"/>
    <w:rsid w:val="00C315C1"/>
    <w:rsid w:val="00C31D68"/>
    <w:rsid w:val="00C31E51"/>
    <w:rsid w:val="00C31FFE"/>
    <w:rsid w:val="00C32129"/>
    <w:rsid w:val="00C322B9"/>
    <w:rsid w:val="00C32909"/>
    <w:rsid w:val="00C33504"/>
    <w:rsid w:val="00C335FD"/>
    <w:rsid w:val="00C336EE"/>
    <w:rsid w:val="00C33CD5"/>
    <w:rsid w:val="00C33EF0"/>
    <w:rsid w:val="00C33F4F"/>
    <w:rsid w:val="00C33FF7"/>
    <w:rsid w:val="00C34298"/>
    <w:rsid w:val="00C34846"/>
    <w:rsid w:val="00C349E4"/>
    <w:rsid w:val="00C34CE4"/>
    <w:rsid w:val="00C35006"/>
    <w:rsid w:val="00C35338"/>
    <w:rsid w:val="00C3545C"/>
    <w:rsid w:val="00C359F2"/>
    <w:rsid w:val="00C35A52"/>
    <w:rsid w:val="00C36001"/>
    <w:rsid w:val="00C361AD"/>
    <w:rsid w:val="00C36266"/>
    <w:rsid w:val="00C36330"/>
    <w:rsid w:val="00C3649A"/>
    <w:rsid w:val="00C36736"/>
    <w:rsid w:val="00C36746"/>
    <w:rsid w:val="00C36E51"/>
    <w:rsid w:val="00C37204"/>
    <w:rsid w:val="00C37320"/>
    <w:rsid w:val="00C377FA"/>
    <w:rsid w:val="00C37819"/>
    <w:rsid w:val="00C37BF1"/>
    <w:rsid w:val="00C37FD8"/>
    <w:rsid w:val="00C4006E"/>
    <w:rsid w:val="00C40365"/>
    <w:rsid w:val="00C40585"/>
    <w:rsid w:val="00C40591"/>
    <w:rsid w:val="00C4086A"/>
    <w:rsid w:val="00C40C52"/>
    <w:rsid w:val="00C41395"/>
    <w:rsid w:val="00C413AB"/>
    <w:rsid w:val="00C4205B"/>
    <w:rsid w:val="00C421FC"/>
    <w:rsid w:val="00C424EE"/>
    <w:rsid w:val="00C428C7"/>
    <w:rsid w:val="00C42D81"/>
    <w:rsid w:val="00C4303D"/>
    <w:rsid w:val="00C431B2"/>
    <w:rsid w:val="00C4352E"/>
    <w:rsid w:val="00C4357F"/>
    <w:rsid w:val="00C43F12"/>
    <w:rsid w:val="00C44083"/>
    <w:rsid w:val="00C446B5"/>
    <w:rsid w:val="00C447A1"/>
    <w:rsid w:val="00C447A6"/>
    <w:rsid w:val="00C44EB8"/>
    <w:rsid w:val="00C4505C"/>
    <w:rsid w:val="00C4509D"/>
    <w:rsid w:val="00C45335"/>
    <w:rsid w:val="00C454A8"/>
    <w:rsid w:val="00C454AC"/>
    <w:rsid w:val="00C45581"/>
    <w:rsid w:val="00C45964"/>
    <w:rsid w:val="00C459E1"/>
    <w:rsid w:val="00C45A76"/>
    <w:rsid w:val="00C4617C"/>
    <w:rsid w:val="00C46314"/>
    <w:rsid w:val="00C4640A"/>
    <w:rsid w:val="00C46556"/>
    <w:rsid w:val="00C46A7C"/>
    <w:rsid w:val="00C46BE7"/>
    <w:rsid w:val="00C46EC4"/>
    <w:rsid w:val="00C4711E"/>
    <w:rsid w:val="00C477C1"/>
    <w:rsid w:val="00C47860"/>
    <w:rsid w:val="00C478BB"/>
    <w:rsid w:val="00C47BE9"/>
    <w:rsid w:val="00C47C8C"/>
    <w:rsid w:val="00C504DC"/>
    <w:rsid w:val="00C5085B"/>
    <w:rsid w:val="00C50A42"/>
    <w:rsid w:val="00C50ACA"/>
    <w:rsid w:val="00C50BA6"/>
    <w:rsid w:val="00C5108D"/>
    <w:rsid w:val="00C5135F"/>
    <w:rsid w:val="00C513BD"/>
    <w:rsid w:val="00C5169C"/>
    <w:rsid w:val="00C518D9"/>
    <w:rsid w:val="00C51A3A"/>
    <w:rsid w:val="00C51BD9"/>
    <w:rsid w:val="00C52288"/>
    <w:rsid w:val="00C52448"/>
    <w:rsid w:val="00C52650"/>
    <w:rsid w:val="00C52EEB"/>
    <w:rsid w:val="00C5338A"/>
    <w:rsid w:val="00C538A1"/>
    <w:rsid w:val="00C53976"/>
    <w:rsid w:val="00C5412E"/>
    <w:rsid w:val="00C54412"/>
    <w:rsid w:val="00C54EB2"/>
    <w:rsid w:val="00C54EC0"/>
    <w:rsid w:val="00C54FE6"/>
    <w:rsid w:val="00C553ED"/>
    <w:rsid w:val="00C55BBE"/>
    <w:rsid w:val="00C55CCC"/>
    <w:rsid w:val="00C5644A"/>
    <w:rsid w:val="00C565F3"/>
    <w:rsid w:val="00C56647"/>
    <w:rsid w:val="00C5683F"/>
    <w:rsid w:val="00C56873"/>
    <w:rsid w:val="00C56D43"/>
    <w:rsid w:val="00C56FFA"/>
    <w:rsid w:val="00C572D7"/>
    <w:rsid w:val="00C5734C"/>
    <w:rsid w:val="00C57588"/>
    <w:rsid w:val="00C57894"/>
    <w:rsid w:val="00C57E60"/>
    <w:rsid w:val="00C603EA"/>
    <w:rsid w:val="00C6058F"/>
    <w:rsid w:val="00C60597"/>
    <w:rsid w:val="00C607D3"/>
    <w:rsid w:val="00C60923"/>
    <w:rsid w:val="00C609E7"/>
    <w:rsid w:val="00C60BA3"/>
    <w:rsid w:val="00C60DF6"/>
    <w:rsid w:val="00C61478"/>
    <w:rsid w:val="00C619AF"/>
    <w:rsid w:val="00C61A46"/>
    <w:rsid w:val="00C61C38"/>
    <w:rsid w:val="00C61CBF"/>
    <w:rsid w:val="00C61E46"/>
    <w:rsid w:val="00C61E67"/>
    <w:rsid w:val="00C61FD6"/>
    <w:rsid w:val="00C623CF"/>
    <w:rsid w:val="00C62959"/>
    <w:rsid w:val="00C62F22"/>
    <w:rsid w:val="00C62F43"/>
    <w:rsid w:val="00C62F6D"/>
    <w:rsid w:val="00C63023"/>
    <w:rsid w:val="00C63370"/>
    <w:rsid w:val="00C6347D"/>
    <w:rsid w:val="00C637BD"/>
    <w:rsid w:val="00C63AB7"/>
    <w:rsid w:val="00C63D34"/>
    <w:rsid w:val="00C63EE6"/>
    <w:rsid w:val="00C64588"/>
    <w:rsid w:val="00C64E08"/>
    <w:rsid w:val="00C65616"/>
    <w:rsid w:val="00C659AB"/>
    <w:rsid w:val="00C65C02"/>
    <w:rsid w:val="00C65D74"/>
    <w:rsid w:val="00C66113"/>
    <w:rsid w:val="00C66290"/>
    <w:rsid w:val="00C662B6"/>
    <w:rsid w:val="00C664C7"/>
    <w:rsid w:val="00C667A8"/>
    <w:rsid w:val="00C66878"/>
    <w:rsid w:val="00C66926"/>
    <w:rsid w:val="00C66BEF"/>
    <w:rsid w:val="00C66D3A"/>
    <w:rsid w:val="00C67412"/>
    <w:rsid w:val="00C67C79"/>
    <w:rsid w:val="00C704B1"/>
    <w:rsid w:val="00C70950"/>
    <w:rsid w:val="00C70962"/>
    <w:rsid w:val="00C70D44"/>
    <w:rsid w:val="00C70F69"/>
    <w:rsid w:val="00C713B5"/>
    <w:rsid w:val="00C71454"/>
    <w:rsid w:val="00C71502"/>
    <w:rsid w:val="00C71A68"/>
    <w:rsid w:val="00C72A82"/>
    <w:rsid w:val="00C73370"/>
    <w:rsid w:val="00C73678"/>
    <w:rsid w:val="00C73EA4"/>
    <w:rsid w:val="00C74A31"/>
    <w:rsid w:val="00C74C06"/>
    <w:rsid w:val="00C74D9E"/>
    <w:rsid w:val="00C74E42"/>
    <w:rsid w:val="00C74F62"/>
    <w:rsid w:val="00C752FE"/>
    <w:rsid w:val="00C7538C"/>
    <w:rsid w:val="00C753C1"/>
    <w:rsid w:val="00C7548E"/>
    <w:rsid w:val="00C755CF"/>
    <w:rsid w:val="00C756E8"/>
    <w:rsid w:val="00C75E2E"/>
    <w:rsid w:val="00C76261"/>
    <w:rsid w:val="00C7672F"/>
    <w:rsid w:val="00C7688C"/>
    <w:rsid w:val="00C773DF"/>
    <w:rsid w:val="00C77A19"/>
    <w:rsid w:val="00C77B2F"/>
    <w:rsid w:val="00C77DF7"/>
    <w:rsid w:val="00C77EAA"/>
    <w:rsid w:val="00C77FB3"/>
    <w:rsid w:val="00C80176"/>
    <w:rsid w:val="00C806B3"/>
    <w:rsid w:val="00C80BF8"/>
    <w:rsid w:val="00C81769"/>
    <w:rsid w:val="00C822AA"/>
    <w:rsid w:val="00C823A0"/>
    <w:rsid w:val="00C82BFB"/>
    <w:rsid w:val="00C82C51"/>
    <w:rsid w:val="00C82EA2"/>
    <w:rsid w:val="00C83357"/>
    <w:rsid w:val="00C83432"/>
    <w:rsid w:val="00C834EA"/>
    <w:rsid w:val="00C83554"/>
    <w:rsid w:val="00C835E9"/>
    <w:rsid w:val="00C838AA"/>
    <w:rsid w:val="00C83930"/>
    <w:rsid w:val="00C840B2"/>
    <w:rsid w:val="00C8423A"/>
    <w:rsid w:val="00C84424"/>
    <w:rsid w:val="00C8474D"/>
    <w:rsid w:val="00C84990"/>
    <w:rsid w:val="00C84EF4"/>
    <w:rsid w:val="00C8550D"/>
    <w:rsid w:val="00C86630"/>
    <w:rsid w:val="00C8687A"/>
    <w:rsid w:val="00C86A3E"/>
    <w:rsid w:val="00C86CFD"/>
    <w:rsid w:val="00C872BB"/>
    <w:rsid w:val="00C87312"/>
    <w:rsid w:val="00C87577"/>
    <w:rsid w:val="00C87910"/>
    <w:rsid w:val="00C87AD0"/>
    <w:rsid w:val="00C87D2D"/>
    <w:rsid w:val="00C87D71"/>
    <w:rsid w:val="00C87E20"/>
    <w:rsid w:val="00C87F11"/>
    <w:rsid w:val="00C9017B"/>
    <w:rsid w:val="00C9045E"/>
    <w:rsid w:val="00C905B1"/>
    <w:rsid w:val="00C90A80"/>
    <w:rsid w:val="00C90AA0"/>
    <w:rsid w:val="00C9150D"/>
    <w:rsid w:val="00C91522"/>
    <w:rsid w:val="00C916FA"/>
    <w:rsid w:val="00C918D3"/>
    <w:rsid w:val="00C91D23"/>
    <w:rsid w:val="00C92171"/>
    <w:rsid w:val="00C9225D"/>
    <w:rsid w:val="00C92CF4"/>
    <w:rsid w:val="00C92F02"/>
    <w:rsid w:val="00C93217"/>
    <w:rsid w:val="00C93440"/>
    <w:rsid w:val="00C93511"/>
    <w:rsid w:val="00C93699"/>
    <w:rsid w:val="00C93834"/>
    <w:rsid w:val="00C9385A"/>
    <w:rsid w:val="00C938A0"/>
    <w:rsid w:val="00C94198"/>
    <w:rsid w:val="00C946D5"/>
    <w:rsid w:val="00C94A4D"/>
    <w:rsid w:val="00C957AD"/>
    <w:rsid w:val="00C957D7"/>
    <w:rsid w:val="00C95D40"/>
    <w:rsid w:val="00C95FC6"/>
    <w:rsid w:val="00C960DD"/>
    <w:rsid w:val="00C961E1"/>
    <w:rsid w:val="00C962C9"/>
    <w:rsid w:val="00C96393"/>
    <w:rsid w:val="00C96856"/>
    <w:rsid w:val="00C96DB9"/>
    <w:rsid w:val="00C97452"/>
    <w:rsid w:val="00C975E9"/>
    <w:rsid w:val="00C97C88"/>
    <w:rsid w:val="00C97FD0"/>
    <w:rsid w:val="00CA027E"/>
    <w:rsid w:val="00CA03E8"/>
    <w:rsid w:val="00CA057C"/>
    <w:rsid w:val="00CA05A5"/>
    <w:rsid w:val="00CA0FCF"/>
    <w:rsid w:val="00CA139B"/>
    <w:rsid w:val="00CA1442"/>
    <w:rsid w:val="00CA15CB"/>
    <w:rsid w:val="00CA1CA8"/>
    <w:rsid w:val="00CA1CF7"/>
    <w:rsid w:val="00CA1D17"/>
    <w:rsid w:val="00CA1E9B"/>
    <w:rsid w:val="00CA25FC"/>
    <w:rsid w:val="00CA29C2"/>
    <w:rsid w:val="00CA2CE1"/>
    <w:rsid w:val="00CA2E13"/>
    <w:rsid w:val="00CA2F93"/>
    <w:rsid w:val="00CA3313"/>
    <w:rsid w:val="00CA3BC0"/>
    <w:rsid w:val="00CA3C02"/>
    <w:rsid w:val="00CA40AF"/>
    <w:rsid w:val="00CA416E"/>
    <w:rsid w:val="00CA425C"/>
    <w:rsid w:val="00CA43A9"/>
    <w:rsid w:val="00CA44DD"/>
    <w:rsid w:val="00CA4927"/>
    <w:rsid w:val="00CA4B1A"/>
    <w:rsid w:val="00CA4E8D"/>
    <w:rsid w:val="00CA4F66"/>
    <w:rsid w:val="00CA53EF"/>
    <w:rsid w:val="00CA57A7"/>
    <w:rsid w:val="00CA57E1"/>
    <w:rsid w:val="00CA5D15"/>
    <w:rsid w:val="00CA5F45"/>
    <w:rsid w:val="00CA6093"/>
    <w:rsid w:val="00CA62F0"/>
    <w:rsid w:val="00CA6321"/>
    <w:rsid w:val="00CA6AE1"/>
    <w:rsid w:val="00CA721D"/>
    <w:rsid w:val="00CA76A1"/>
    <w:rsid w:val="00CA77AE"/>
    <w:rsid w:val="00CA79DD"/>
    <w:rsid w:val="00CA7A9D"/>
    <w:rsid w:val="00CB04F9"/>
    <w:rsid w:val="00CB0761"/>
    <w:rsid w:val="00CB08F0"/>
    <w:rsid w:val="00CB0A36"/>
    <w:rsid w:val="00CB0AE6"/>
    <w:rsid w:val="00CB1E27"/>
    <w:rsid w:val="00CB1EFA"/>
    <w:rsid w:val="00CB226C"/>
    <w:rsid w:val="00CB25E8"/>
    <w:rsid w:val="00CB2CA7"/>
    <w:rsid w:val="00CB339F"/>
    <w:rsid w:val="00CB34AA"/>
    <w:rsid w:val="00CB3505"/>
    <w:rsid w:val="00CB3612"/>
    <w:rsid w:val="00CB37A6"/>
    <w:rsid w:val="00CB3B28"/>
    <w:rsid w:val="00CB3C31"/>
    <w:rsid w:val="00CB3C82"/>
    <w:rsid w:val="00CB4325"/>
    <w:rsid w:val="00CB4630"/>
    <w:rsid w:val="00CB4707"/>
    <w:rsid w:val="00CB4BD5"/>
    <w:rsid w:val="00CB4D3C"/>
    <w:rsid w:val="00CB5305"/>
    <w:rsid w:val="00CB541A"/>
    <w:rsid w:val="00CB58AA"/>
    <w:rsid w:val="00CB5BFB"/>
    <w:rsid w:val="00CB5C40"/>
    <w:rsid w:val="00CB5CB2"/>
    <w:rsid w:val="00CB5D84"/>
    <w:rsid w:val="00CB5E47"/>
    <w:rsid w:val="00CB602B"/>
    <w:rsid w:val="00CB67CE"/>
    <w:rsid w:val="00CB67F2"/>
    <w:rsid w:val="00CB688D"/>
    <w:rsid w:val="00CB69D1"/>
    <w:rsid w:val="00CB6C33"/>
    <w:rsid w:val="00CB724E"/>
    <w:rsid w:val="00CB7286"/>
    <w:rsid w:val="00CB7EA9"/>
    <w:rsid w:val="00CB7F28"/>
    <w:rsid w:val="00CC024C"/>
    <w:rsid w:val="00CC027F"/>
    <w:rsid w:val="00CC0D0F"/>
    <w:rsid w:val="00CC0D75"/>
    <w:rsid w:val="00CC1669"/>
    <w:rsid w:val="00CC1A9C"/>
    <w:rsid w:val="00CC1CC6"/>
    <w:rsid w:val="00CC22F1"/>
    <w:rsid w:val="00CC245A"/>
    <w:rsid w:val="00CC2722"/>
    <w:rsid w:val="00CC294A"/>
    <w:rsid w:val="00CC2F6A"/>
    <w:rsid w:val="00CC322F"/>
    <w:rsid w:val="00CC3772"/>
    <w:rsid w:val="00CC392A"/>
    <w:rsid w:val="00CC3B25"/>
    <w:rsid w:val="00CC3F7C"/>
    <w:rsid w:val="00CC4B0D"/>
    <w:rsid w:val="00CC4D8A"/>
    <w:rsid w:val="00CC4FF4"/>
    <w:rsid w:val="00CC5029"/>
    <w:rsid w:val="00CC58B0"/>
    <w:rsid w:val="00CC58B4"/>
    <w:rsid w:val="00CC5C16"/>
    <w:rsid w:val="00CC6090"/>
    <w:rsid w:val="00CC6595"/>
    <w:rsid w:val="00CC6605"/>
    <w:rsid w:val="00CC6AFA"/>
    <w:rsid w:val="00CC6B10"/>
    <w:rsid w:val="00CC6F6A"/>
    <w:rsid w:val="00CC70A4"/>
    <w:rsid w:val="00CC7266"/>
    <w:rsid w:val="00CC74C8"/>
    <w:rsid w:val="00CC75D6"/>
    <w:rsid w:val="00CC7B3A"/>
    <w:rsid w:val="00CC7F00"/>
    <w:rsid w:val="00CD0006"/>
    <w:rsid w:val="00CD017E"/>
    <w:rsid w:val="00CD020D"/>
    <w:rsid w:val="00CD066D"/>
    <w:rsid w:val="00CD0894"/>
    <w:rsid w:val="00CD09DB"/>
    <w:rsid w:val="00CD0C25"/>
    <w:rsid w:val="00CD0C35"/>
    <w:rsid w:val="00CD110F"/>
    <w:rsid w:val="00CD16D3"/>
    <w:rsid w:val="00CD18F7"/>
    <w:rsid w:val="00CD1B42"/>
    <w:rsid w:val="00CD1C25"/>
    <w:rsid w:val="00CD1D2B"/>
    <w:rsid w:val="00CD1DFD"/>
    <w:rsid w:val="00CD1EB5"/>
    <w:rsid w:val="00CD2010"/>
    <w:rsid w:val="00CD223E"/>
    <w:rsid w:val="00CD24EA"/>
    <w:rsid w:val="00CD2585"/>
    <w:rsid w:val="00CD2742"/>
    <w:rsid w:val="00CD29B3"/>
    <w:rsid w:val="00CD2ACE"/>
    <w:rsid w:val="00CD3073"/>
    <w:rsid w:val="00CD3192"/>
    <w:rsid w:val="00CD32CD"/>
    <w:rsid w:val="00CD35C5"/>
    <w:rsid w:val="00CD3DEC"/>
    <w:rsid w:val="00CD3FE9"/>
    <w:rsid w:val="00CD409F"/>
    <w:rsid w:val="00CD46BC"/>
    <w:rsid w:val="00CD4AF9"/>
    <w:rsid w:val="00CD4FBD"/>
    <w:rsid w:val="00CD51E4"/>
    <w:rsid w:val="00CD5403"/>
    <w:rsid w:val="00CD5861"/>
    <w:rsid w:val="00CD5C01"/>
    <w:rsid w:val="00CD5C47"/>
    <w:rsid w:val="00CD684E"/>
    <w:rsid w:val="00CD6868"/>
    <w:rsid w:val="00CD6A73"/>
    <w:rsid w:val="00CD77C9"/>
    <w:rsid w:val="00CD7D74"/>
    <w:rsid w:val="00CE063B"/>
    <w:rsid w:val="00CE0AB5"/>
    <w:rsid w:val="00CE0B3D"/>
    <w:rsid w:val="00CE0D66"/>
    <w:rsid w:val="00CE128E"/>
    <w:rsid w:val="00CE14BD"/>
    <w:rsid w:val="00CE1591"/>
    <w:rsid w:val="00CE18A8"/>
    <w:rsid w:val="00CE1E07"/>
    <w:rsid w:val="00CE1F03"/>
    <w:rsid w:val="00CE2C08"/>
    <w:rsid w:val="00CE2C92"/>
    <w:rsid w:val="00CE3099"/>
    <w:rsid w:val="00CE34D6"/>
    <w:rsid w:val="00CE3F3B"/>
    <w:rsid w:val="00CE404E"/>
    <w:rsid w:val="00CE4055"/>
    <w:rsid w:val="00CE42BD"/>
    <w:rsid w:val="00CE436A"/>
    <w:rsid w:val="00CE4CDD"/>
    <w:rsid w:val="00CE4F07"/>
    <w:rsid w:val="00CE5092"/>
    <w:rsid w:val="00CE5106"/>
    <w:rsid w:val="00CE51B0"/>
    <w:rsid w:val="00CE575F"/>
    <w:rsid w:val="00CE59CC"/>
    <w:rsid w:val="00CE5CD4"/>
    <w:rsid w:val="00CE5CE5"/>
    <w:rsid w:val="00CE5D21"/>
    <w:rsid w:val="00CE5E6B"/>
    <w:rsid w:val="00CE61AC"/>
    <w:rsid w:val="00CE6848"/>
    <w:rsid w:val="00CE695A"/>
    <w:rsid w:val="00CE6A9C"/>
    <w:rsid w:val="00CE6FFD"/>
    <w:rsid w:val="00CE7268"/>
    <w:rsid w:val="00CE73DF"/>
    <w:rsid w:val="00CE7B53"/>
    <w:rsid w:val="00CE7D93"/>
    <w:rsid w:val="00CE7F18"/>
    <w:rsid w:val="00CE7F34"/>
    <w:rsid w:val="00CF0203"/>
    <w:rsid w:val="00CF0856"/>
    <w:rsid w:val="00CF1036"/>
    <w:rsid w:val="00CF1209"/>
    <w:rsid w:val="00CF155E"/>
    <w:rsid w:val="00CF1AD3"/>
    <w:rsid w:val="00CF20C1"/>
    <w:rsid w:val="00CF259E"/>
    <w:rsid w:val="00CF2DAD"/>
    <w:rsid w:val="00CF2ECA"/>
    <w:rsid w:val="00CF32E4"/>
    <w:rsid w:val="00CF3C03"/>
    <w:rsid w:val="00CF3CD2"/>
    <w:rsid w:val="00CF4180"/>
    <w:rsid w:val="00CF42D5"/>
    <w:rsid w:val="00CF4582"/>
    <w:rsid w:val="00CF481A"/>
    <w:rsid w:val="00CF4C1F"/>
    <w:rsid w:val="00CF5032"/>
    <w:rsid w:val="00CF5671"/>
    <w:rsid w:val="00CF576C"/>
    <w:rsid w:val="00CF59D3"/>
    <w:rsid w:val="00CF5C61"/>
    <w:rsid w:val="00CF5D8C"/>
    <w:rsid w:val="00CF5DF3"/>
    <w:rsid w:val="00CF5E98"/>
    <w:rsid w:val="00CF61F6"/>
    <w:rsid w:val="00CF6434"/>
    <w:rsid w:val="00CF670C"/>
    <w:rsid w:val="00CF68FC"/>
    <w:rsid w:val="00CF70FE"/>
    <w:rsid w:val="00CF7869"/>
    <w:rsid w:val="00CF790E"/>
    <w:rsid w:val="00CF7CE5"/>
    <w:rsid w:val="00CF7DCA"/>
    <w:rsid w:val="00CF7E4A"/>
    <w:rsid w:val="00D0091B"/>
    <w:rsid w:val="00D00A52"/>
    <w:rsid w:val="00D00B3C"/>
    <w:rsid w:val="00D00FDC"/>
    <w:rsid w:val="00D01252"/>
    <w:rsid w:val="00D0157F"/>
    <w:rsid w:val="00D01A39"/>
    <w:rsid w:val="00D01ABB"/>
    <w:rsid w:val="00D01FF4"/>
    <w:rsid w:val="00D024B1"/>
    <w:rsid w:val="00D024E6"/>
    <w:rsid w:val="00D02630"/>
    <w:rsid w:val="00D028D2"/>
    <w:rsid w:val="00D03191"/>
    <w:rsid w:val="00D03819"/>
    <w:rsid w:val="00D038BC"/>
    <w:rsid w:val="00D03F28"/>
    <w:rsid w:val="00D04151"/>
    <w:rsid w:val="00D043BC"/>
    <w:rsid w:val="00D043FB"/>
    <w:rsid w:val="00D0440A"/>
    <w:rsid w:val="00D0456D"/>
    <w:rsid w:val="00D0539B"/>
    <w:rsid w:val="00D0554E"/>
    <w:rsid w:val="00D0579B"/>
    <w:rsid w:val="00D059A7"/>
    <w:rsid w:val="00D05B0B"/>
    <w:rsid w:val="00D06607"/>
    <w:rsid w:val="00D06635"/>
    <w:rsid w:val="00D06646"/>
    <w:rsid w:val="00D06BC2"/>
    <w:rsid w:val="00D07B84"/>
    <w:rsid w:val="00D10099"/>
    <w:rsid w:val="00D10520"/>
    <w:rsid w:val="00D106F4"/>
    <w:rsid w:val="00D10B8F"/>
    <w:rsid w:val="00D10DEF"/>
    <w:rsid w:val="00D110A0"/>
    <w:rsid w:val="00D11418"/>
    <w:rsid w:val="00D117A9"/>
    <w:rsid w:val="00D11817"/>
    <w:rsid w:val="00D1182D"/>
    <w:rsid w:val="00D11850"/>
    <w:rsid w:val="00D11883"/>
    <w:rsid w:val="00D11A84"/>
    <w:rsid w:val="00D11E81"/>
    <w:rsid w:val="00D11F93"/>
    <w:rsid w:val="00D121C5"/>
    <w:rsid w:val="00D1237E"/>
    <w:rsid w:val="00D1240B"/>
    <w:rsid w:val="00D126CE"/>
    <w:rsid w:val="00D127C6"/>
    <w:rsid w:val="00D12A91"/>
    <w:rsid w:val="00D12CD1"/>
    <w:rsid w:val="00D12DD4"/>
    <w:rsid w:val="00D1325A"/>
    <w:rsid w:val="00D13395"/>
    <w:rsid w:val="00D136A2"/>
    <w:rsid w:val="00D13951"/>
    <w:rsid w:val="00D13D15"/>
    <w:rsid w:val="00D13F52"/>
    <w:rsid w:val="00D1459F"/>
    <w:rsid w:val="00D147E0"/>
    <w:rsid w:val="00D14922"/>
    <w:rsid w:val="00D14985"/>
    <w:rsid w:val="00D149BA"/>
    <w:rsid w:val="00D160E6"/>
    <w:rsid w:val="00D1663A"/>
    <w:rsid w:val="00D16DA2"/>
    <w:rsid w:val="00D16F0F"/>
    <w:rsid w:val="00D172AC"/>
    <w:rsid w:val="00D173F2"/>
    <w:rsid w:val="00D1747A"/>
    <w:rsid w:val="00D1771B"/>
    <w:rsid w:val="00D17A87"/>
    <w:rsid w:val="00D2020A"/>
    <w:rsid w:val="00D20B2E"/>
    <w:rsid w:val="00D20C75"/>
    <w:rsid w:val="00D20F73"/>
    <w:rsid w:val="00D21139"/>
    <w:rsid w:val="00D21357"/>
    <w:rsid w:val="00D21364"/>
    <w:rsid w:val="00D21E46"/>
    <w:rsid w:val="00D21EA2"/>
    <w:rsid w:val="00D22239"/>
    <w:rsid w:val="00D224DD"/>
    <w:rsid w:val="00D22505"/>
    <w:rsid w:val="00D227C6"/>
    <w:rsid w:val="00D229F1"/>
    <w:rsid w:val="00D22AD7"/>
    <w:rsid w:val="00D23033"/>
    <w:rsid w:val="00D23069"/>
    <w:rsid w:val="00D2307B"/>
    <w:rsid w:val="00D233F4"/>
    <w:rsid w:val="00D237AC"/>
    <w:rsid w:val="00D23B1F"/>
    <w:rsid w:val="00D23E41"/>
    <w:rsid w:val="00D2407D"/>
    <w:rsid w:val="00D24462"/>
    <w:rsid w:val="00D244D1"/>
    <w:rsid w:val="00D252E9"/>
    <w:rsid w:val="00D25AD3"/>
    <w:rsid w:val="00D25B9F"/>
    <w:rsid w:val="00D25C9C"/>
    <w:rsid w:val="00D25ECC"/>
    <w:rsid w:val="00D25FD2"/>
    <w:rsid w:val="00D26772"/>
    <w:rsid w:val="00D26970"/>
    <w:rsid w:val="00D27251"/>
    <w:rsid w:val="00D27397"/>
    <w:rsid w:val="00D275CC"/>
    <w:rsid w:val="00D2760E"/>
    <w:rsid w:val="00D276B0"/>
    <w:rsid w:val="00D2772F"/>
    <w:rsid w:val="00D27828"/>
    <w:rsid w:val="00D27D82"/>
    <w:rsid w:val="00D27F9F"/>
    <w:rsid w:val="00D3004C"/>
    <w:rsid w:val="00D308B9"/>
    <w:rsid w:val="00D308D9"/>
    <w:rsid w:val="00D30CC0"/>
    <w:rsid w:val="00D31283"/>
    <w:rsid w:val="00D312F0"/>
    <w:rsid w:val="00D31468"/>
    <w:rsid w:val="00D31540"/>
    <w:rsid w:val="00D319D1"/>
    <w:rsid w:val="00D31BE6"/>
    <w:rsid w:val="00D32407"/>
    <w:rsid w:val="00D32812"/>
    <w:rsid w:val="00D32CD2"/>
    <w:rsid w:val="00D33162"/>
    <w:rsid w:val="00D33170"/>
    <w:rsid w:val="00D33229"/>
    <w:rsid w:val="00D33439"/>
    <w:rsid w:val="00D33FDF"/>
    <w:rsid w:val="00D345D5"/>
    <w:rsid w:val="00D34E65"/>
    <w:rsid w:val="00D34FD8"/>
    <w:rsid w:val="00D3502D"/>
    <w:rsid w:val="00D35270"/>
    <w:rsid w:val="00D353E9"/>
    <w:rsid w:val="00D3542F"/>
    <w:rsid w:val="00D35473"/>
    <w:rsid w:val="00D35C5C"/>
    <w:rsid w:val="00D35C75"/>
    <w:rsid w:val="00D35CFD"/>
    <w:rsid w:val="00D361CF"/>
    <w:rsid w:val="00D3625A"/>
    <w:rsid w:val="00D36271"/>
    <w:rsid w:val="00D36809"/>
    <w:rsid w:val="00D369AA"/>
    <w:rsid w:val="00D36AB8"/>
    <w:rsid w:val="00D36B6D"/>
    <w:rsid w:val="00D36C94"/>
    <w:rsid w:val="00D36CAB"/>
    <w:rsid w:val="00D37060"/>
    <w:rsid w:val="00D37118"/>
    <w:rsid w:val="00D3742F"/>
    <w:rsid w:val="00D3747F"/>
    <w:rsid w:val="00D3750A"/>
    <w:rsid w:val="00D37530"/>
    <w:rsid w:val="00D37B9A"/>
    <w:rsid w:val="00D37C53"/>
    <w:rsid w:val="00D37D86"/>
    <w:rsid w:val="00D40097"/>
    <w:rsid w:val="00D402B2"/>
    <w:rsid w:val="00D4050C"/>
    <w:rsid w:val="00D405F2"/>
    <w:rsid w:val="00D4082F"/>
    <w:rsid w:val="00D40B94"/>
    <w:rsid w:val="00D40DFE"/>
    <w:rsid w:val="00D40E9C"/>
    <w:rsid w:val="00D41292"/>
    <w:rsid w:val="00D412AA"/>
    <w:rsid w:val="00D4151E"/>
    <w:rsid w:val="00D41884"/>
    <w:rsid w:val="00D41A6F"/>
    <w:rsid w:val="00D41CC6"/>
    <w:rsid w:val="00D41D8F"/>
    <w:rsid w:val="00D41EAA"/>
    <w:rsid w:val="00D420A8"/>
    <w:rsid w:val="00D425D7"/>
    <w:rsid w:val="00D42E36"/>
    <w:rsid w:val="00D433D2"/>
    <w:rsid w:val="00D437A8"/>
    <w:rsid w:val="00D43CAE"/>
    <w:rsid w:val="00D43D09"/>
    <w:rsid w:val="00D441B7"/>
    <w:rsid w:val="00D446D4"/>
    <w:rsid w:val="00D4485B"/>
    <w:rsid w:val="00D4498D"/>
    <w:rsid w:val="00D44C68"/>
    <w:rsid w:val="00D44FD5"/>
    <w:rsid w:val="00D4547F"/>
    <w:rsid w:val="00D4549C"/>
    <w:rsid w:val="00D45C0E"/>
    <w:rsid w:val="00D45D26"/>
    <w:rsid w:val="00D46333"/>
    <w:rsid w:val="00D46356"/>
    <w:rsid w:val="00D46C77"/>
    <w:rsid w:val="00D46FFB"/>
    <w:rsid w:val="00D474F2"/>
    <w:rsid w:val="00D4765C"/>
    <w:rsid w:val="00D47818"/>
    <w:rsid w:val="00D478A6"/>
    <w:rsid w:val="00D47AC9"/>
    <w:rsid w:val="00D504B0"/>
    <w:rsid w:val="00D5052D"/>
    <w:rsid w:val="00D50A2B"/>
    <w:rsid w:val="00D511DA"/>
    <w:rsid w:val="00D51594"/>
    <w:rsid w:val="00D515DB"/>
    <w:rsid w:val="00D51839"/>
    <w:rsid w:val="00D51852"/>
    <w:rsid w:val="00D51F08"/>
    <w:rsid w:val="00D52113"/>
    <w:rsid w:val="00D52127"/>
    <w:rsid w:val="00D52288"/>
    <w:rsid w:val="00D5231C"/>
    <w:rsid w:val="00D524CA"/>
    <w:rsid w:val="00D52DFD"/>
    <w:rsid w:val="00D53131"/>
    <w:rsid w:val="00D5348A"/>
    <w:rsid w:val="00D53713"/>
    <w:rsid w:val="00D53A79"/>
    <w:rsid w:val="00D54114"/>
    <w:rsid w:val="00D5500A"/>
    <w:rsid w:val="00D55338"/>
    <w:rsid w:val="00D5533F"/>
    <w:rsid w:val="00D55AAE"/>
    <w:rsid w:val="00D55B0E"/>
    <w:rsid w:val="00D55BF2"/>
    <w:rsid w:val="00D56152"/>
    <w:rsid w:val="00D565AC"/>
    <w:rsid w:val="00D5669B"/>
    <w:rsid w:val="00D568D5"/>
    <w:rsid w:val="00D56A37"/>
    <w:rsid w:val="00D56F74"/>
    <w:rsid w:val="00D56FD4"/>
    <w:rsid w:val="00D57015"/>
    <w:rsid w:val="00D57026"/>
    <w:rsid w:val="00D571F7"/>
    <w:rsid w:val="00D572C4"/>
    <w:rsid w:val="00D57763"/>
    <w:rsid w:val="00D577CF"/>
    <w:rsid w:val="00D578A4"/>
    <w:rsid w:val="00D57C66"/>
    <w:rsid w:val="00D57D73"/>
    <w:rsid w:val="00D57D9F"/>
    <w:rsid w:val="00D57DEA"/>
    <w:rsid w:val="00D6056C"/>
    <w:rsid w:val="00D60DDD"/>
    <w:rsid w:val="00D615C6"/>
    <w:rsid w:val="00D61784"/>
    <w:rsid w:val="00D61B25"/>
    <w:rsid w:val="00D61BEA"/>
    <w:rsid w:val="00D620D6"/>
    <w:rsid w:val="00D627AA"/>
    <w:rsid w:val="00D628EA"/>
    <w:rsid w:val="00D628F0"/>
    <w:rsid w:val="00D630A6"/>
    <w:rsid w:val="00D63B5A"/>
    <w:rsid w:val="00D63D38"/>
    <w:rsid w:val="00D63E06"/>
    <w:rsid w:val="00D63FF5"/>
    <w:rsid w:val="00D64B10"/>
    <w:rsid w:val="00D65539"/>
    <w:rsid w:val="00D656C7"/>
    <w:rsid w:val="00D658A1"/>
    <w:rsid w:val="00D6615D"/>
    <w:rsid w:val="00D66408"/>
    <w:rsid w:val="00D66818"/>
    <w:rsid w:val="00D66C6D"/>
    <w:rsid w:val="00D66D05"/>
    <w:rsid w:val="00D670E6"/>
    <w:rsid w:val="00D674A0"/>
    <w:rsid w:val="00D6758A"/>
    <w:rsid w:val="00D67891"/>
    <w:rsid w:val="00D67B00"/>
    <w:rsid w:val="00D67B2F"/>
    <w:rsid w:val="00D67BF2"/>
    <w:rsid w:val="00D67D00"/>
    <w:rsid w:val="00D67E9D"/>
    <w:rsid w:val="00D703E6"/>
    <w:rsid w:val="00D704C3"/>
    <w:rsid w:val="00D70A23"/>
    <w:rsid w:val="00D70E06"/>
    <w:rsid w:val="00D7116B"/>
    <w:rsid w:val="00D71446"/>
    <w:rsid w:val="00D715CF"/>
    <w:rsid w:val="00D718FC"/>
    <w:rsid w:val="00D71976"/>
    <w:rsid w:val="00D71CD4"/>
    <w:rsid w:val="00D71F37"/>
    <w:rsid w:val="00D724DE"/>
    <w:rsid w:val="00D72905"/>
    <w:rsid w:val="00D72AE7"/>
    <w:rsid w:val="00D72CF0"/>
    <w:rsid w:val="00D72D15"/>
    <w:rsid w:val="00D72F5F"/>
    <w:rsid w:val="00D730FD"/>
    <w:rsid w:val="00D7369F"/>
    <w:rsid w:val="00D73860"/>
    <w:rsid w:val="00D738A6"/>
    <w:rsid w:val="00D73B71"/>
    <w:rsid w:val="00D73C6D"/>
    <w:rsid w:val="00D73CDF"/>
    <w:rsid w:val="00D73F75"/>
    <w:rsid w:val="00D74298"/>
    <w:rsid w:val="00D743EB"/>
    <w:rsid w:val="00D74A86"/>
    <w:rsid w:val="00D7510E"/>
    <w:rsid w:val="00D75588"/>
    <w:rsid w:val="00D7594C"/>
    <w:rsid w:val="00D75E43"/>
    <w:rsid w:val="00D75E8E"/>
    <w:rsid w:val="00D76117"/>
    <w:rsid w:val="00D76150"/>
    <w:rsid w:val="00D762A2"/>
    <w:rsid w:val="00D764CA"/>
    <w:rsid w:val="00D76545"/>
    <w:rsid w:val="00D7689F"/>
    <w:rsid w:val="00D768FE"/>
    <w:rsid w:val="00D76D33"/>
    <w:rsid w:val="00D76D41"/>
    <w:rsid w:val="00D77204"/>
    <w:rsid w:val="00D7751B"/>
    <w:rsid w:val="00D77553"/>
    <w:rsid w:val="00D77AB1"/>
    <w:rsid w:val="00D77BB2"/>
    <w:rsid w:val="00D801D0"/>
    <w:rsid w:val="00D8034C"/>
    <w:rsid w:val="00D80462"/>
    <w:rsid w:val="00D806AC"/>
    <w:rsid w:val="00D8073B"/>
    <w:rsid w:val="00D808E1"/>
    <w:rsid w:val="00D8091B"/>
    <w:rsid w:val="00D81148"/>
    <w:rsid w:val="00D81375"/>
    <w:rsid w:val="00D814ED"/>
    <w:rsid w:val="00D8199A"/>
    <w:rsid w:val="00D81BC4"/>
    <w:rsid w:val="00D8201A"/>
    <w:rsid w:val="00D825CB"/>
    <w:rsid w:val="00D826E6"/>
    <w:rsid w:val="00D82975"/>
    <w:rsid w:val="00D829B0"/>
    <w:rsid w:val="00D82B37"/>
    <w:rsid w:val="00D82F62"/>
    <w:rsid w:val="00D83094"/>
    <w:rsid w:val="00D83212"/>
    <w:rsid w:val="00D83302"/>
    <w:rsid w:val="00D83654"/>
    <w:rsid w:val="00D83708"/>
    <w:rsid w:val="00D839BA"/>
    <w:rsid w:val="00D839EE"/>
    <w:rsid w:val="00D83A7E"/>
    <w:rsid w:val="00D83C8F"/>
    <w:rsid w:val="00D84034"/>
    <w:rsid w:val="00D8431E"/>
    <w:rsid w:val="00D84D1A"/>
    <w:rsid w:val="00D84F63"/>
    <w:rsid w:val="00D8504F"/>
    <w:rsid w:val="00D855EA"/>
    <w:rsid w:val="00D85665"/>
    <w:rsid w:val="00D85852"/>
    <w:rsid w:val="00D8591E"/>
    <w:rsid w:val="00D85BDB"/>
    <w:rsid w:val="00D85F72"/>
    <w:rsid w:val="00D8604B"/>
    <w:rsid w:val="00D862A2"/>
    <w:rsid w:val="00D862A4"/>
    <w:rsid w:val="00D863D8"/>
    <w:rsid w:val="00D86C1D"/>
    <w:rsid w:val="00D86E5E"/>
    <w:rsid w:val="00D870D7"/>
    <w:rsid w:val="00D872AF"/>
    <w:rsid w:val="00D872DC"/>
    <w:rsid w:val="00D873C1"/>
    <w:rsid w:val="00D876A5"/>
    <w:rsid w:val="00D87B45"/>
    <w:rsid w:val="00D87DD1"/>
    <w:rsid w:val="00D90003"/>
    <w:rsid w:val="00D900EF"/>
    <w:rsid w:val="00D902B1"/>
    <w:rsid w:val="00D90A62"/>
    <w:rsid w:val="00D90FAF"/>
    <w:rsid w:val="00D91142"/>
    <w:rsid w:val="00D91997"/>
    <w:rsid w:val="00D91CC7"/>
    <w:rsid w:val="00D91D5B"/>
    <w:rsid w:val="00D92195"/>
    <w:rsid w:val="00D9242A"/>
    <w:rsid w:val="00D92513"/>
    <w:rsid w:val="00D9264E"/>
    <w:rsid w:val="00D92D3C"/>
    <w:rsid w:val="00D92E69"/>
    <w:rsid w:val="00D92F77"/>
    <w:rsid w:val="00D93129"/>
    <w:rsid w:val="00D93B74"/>
    <w:rsid w:val="00D93B7F"/>
    <w:rsid w:val="00D93CFB"/>
    <w:rsid w:val="00D94108"/>
    <w:rsid w:val="00D948FE"/>
    <w:rsid w:val="00D956C4"/>
    <w:rsid w:val="00D95A05"/>
    <w:rsid w:val="00D9644A"/>
    <w:rsid w:val="00D96A8D"/>
    <w:rsid w:val="00D976B0"/>
    <w:rsid w:val="00D97762"/>
    <w:rsid w:val="00D97A31"/>
    <w:rsid w:val="00D97F87"/>
    <w:rsid w:val="00DA033A"/>
    <w:rsid w:val="00DA0513"/>
    <w:rsid w:val="00DA0941"/>
    <w:rsid w:val="00DA099A"/>
    <w:rsid w:val="00DA1732"/>
    <w:rsid w:val="00DA1ADE"/>
    <w:rsid w:val="00DA1E99"/>
    <w:rsid w:val="00DA1F4F"/>
    <w:rsid w:val="00DA2DC9"/>
    <w:rsid w:val="00DA2E83"/>
    <w:rsid w:val="00DA32F2"/>
    <w:rsid w:val="00DA3527"/>
    <w:rsid w:val="00DA39EE"/>
    <w:rsid w:val="00DA3AD6"/>
    <w:rsid w:val="00DA4204"/>
    <w:rsid w:val="00DA46D3"/>
    <w:rsid w:val="00DA4A4A"/>
    <w:rsid w:val="00DA4AD6"/>
    <w:rsid w:val="00DA4E49"/>
    <w:rsid w:val="00DA4E52"/>
    <w:rsid w:val="00DA518D"/>
    <w:rsid w:val="00DA5622"/>
    <w:rsid w:val="00DA587C"/>
    <w:rsid w:val="00DA643C"/>
    <w:rsid w:val="00DA6698"/>
    <w:rsid w:val="00DA6934"/>
    <w:rsid w:val="00DA6D83"/>
    <w:rsid w:val="00DA6F58"/>
    <w:rsid w:val="00DA705B"/>
    <w:rsid w:val="00DA7246"/>
    <w:rsid w:val="00DA74B4"/>
    <w:rsid w:val="00DA755E"/>
    <w:rsid w:val="00DA7676"/>
    <w:rsid w:val="00DA76DF"/>
    <w:rsid w:val="00DA7701"/>
    <w:rsid w:val="00DA773B"/>
    <w:rsid w:val="00DA7B2C"/>
    <w:rsid w:val="00DA7CB7"/>
    <w:rsid w:val="00DB025C"/>
    <w:rsid w:val="00DB0360"/>
    <w:rsid w:val="00DB0A09"/>
    <w:rsid w:val="00DB0E3D"/>
    <w:rsid w:val="00DB0EAD"/>
    <w:rsid w:val="00DB124E"/>
    <w:rsid w:val="00DB1405"/>
    <w:rsid w:val="00DB1472"/>
    <w:rsid w:val="00DB1834"/>
    <w:rsid w:val="00DB192E"/>
    <w:rsid w:val="00DB1934"/>
    <w:rsid w:val="00DB1AAE"/>
    <w:rsid w:val="00DB1E52"/>
    <w:rsid w:val="00DB2334"/>
    <w:rsid w:val="00DB3105"/>
    <w:rsid w:val="00DB3129"/>
    <w:rsid w:val="00DB3300"/>
    <w:rsid w:val="00DB332B"/>
    <w:rsid w:val="00DB352D"/>
    <w:rsid w:val="00DB423F"/>
    <w:rsid w:val="00DB4280"/>
    <w:rsid w:val="00DB43D7"/>
    <w:rsid w:val="00DB4471"/>
    <w:rsid w:val="00DB458B"/>
    <w:rsid w:val="00DB4E16"/>
    <w:rsid w:val="00DB4EBA"/>
    <w:rsid w:val="00DB50F2"/>
    <w:rsid w:val="00DB51A5"/>
    <w:rsid w:val="00DB541E"/>
    <w:rsid w:val="00DB589D"/>
    <w:rsid w:val="00DB5BD4"/>
    <w:rsid w:val="00DB5F8B"/>
    <w:rsid w:val="00DB6050"/>
    <w:rsid w:val="00DB643B"/>
    <w:rsid w:val="00DB69E4"/>
    <w:rsid w:val="00DB6F5B"/>
    <w:rsid w:val="00DB70A3"/>
    <w:rsid w:val="00DB73A9"/>
    <w:rsid w:val="00DB789E"/>
    <w:rsid w:val="00DB79E7"/>
    <w:rsid w:val="00DB7A8E"/>
    <w:rsid w:val="00DB7D67"/>
    <w:rsid w:val="00DC0413"/>
    <w:rsid w:val="00DC0639"/>
    <w:rsid w:val="00DC08D7"/>
    <w:rsid w:val="00DC09BC"/>
    <w:rsid w:val="00DC0AFA"/>
    <w:rsid w:val="00DC0DC7"/>
    <w:rsid w:val="00DC0FA5"/>
    <w:rsid w:val="00DC0FD7"/>
    <w:rsid w:val="00DC11BA"/>
    <w:rsid w:val="00DC13AA"/>
    <w:rsid w:val="00DC1871"/>
    <w:rsid w:val="00DC1F64"/>
    <w:rsid w:val="00DC21E9"/>
    <w:rsid w:val="00DC308D"/>
    <w:rsid w:val="00DC311D"/>
    <w:rsid w:val="00DC385A"/>
    <w:rsid w:val="00DC38F1"/>
    <w:rsid w:val="00DC439A"/>
    <w:rsid w:val="00DC4463"/>
    <w:rsid w:val="00DC4553"/>
    <w:rsid w:val="00DC45B9"/>
    <w:rsid w:val="00DC481F"/>
    <w:rsid w:val="00DC486A"/>
    <w:rsid w:val="00DC4C3D"/>
    <w:rsid w:val="00DC4FE6"/>
    <w:rsid w:val="00DC51D9"/>
    <w:rsid w:val="00DC5682"/>
    <w:rsid w:val="00DC5CA1"/>
    <w:rsid w:val="00DC5CAC"/>
    <w:rsid w:val="00DC5F01"/>
    <w:rsid w:val="00DC6037"/>
    <w:rsid w:val="00DC6196"/>
    <w:rsid w:val="00DC63A3"/>
    <w:rsid w:val="00DC6655"/>
    <w:rsid w:val="00DC6A4B"/>
    <w:rsid w:val="00DC6A6C"/>
    <w:rsid w:val="00DC6FD7"/>
    <w:rsid w:val="00DC73BB"/>
    <w:rsid w:val="00DC75EB"/>
    <w:rsid w:val="00DC7D43"/>
    <w:rsid w:val="00DC7F01"/>
    <w:rsid w:val="00DD0041"/>
    <w:rsid w:val="00DD087B"/>
    <w:rsid w:val="00DD156F"/>
    <w:rsid w:val="00DD1753"/>
    <w:rsid w:val="00DD17AA"/>
    <w:rsid w:val="00DD19A1"/>
    <w:rsid w:val="00DD21AE"/>
    <w:rsid w:val="00DD228F"/>
    <w:rsid w:val="00DD237A"/>
    <w:rsid w:val="00DD2574"/>
    <w:rsid w:val="00DD275F"/>
    <w:rsid w:val="00DD2BA2"/>
    <w:rsid w:val="00DD302C"/>
    <w:rsid w:val="00DD3319"/>
    <w:rsid w:val="00DD37DD"/>
    <w:rsid w:val="00DD38FC"/>
    <w:rsid w:val="00DD3B26"/>
    <w:rsid w:val="00DD3B4F"/>
    <w:rsid w:val="00DD3BE1"/>
    <w:rsid w:val="00DD3E39"/>
    <w:rsid w:val="00DD4357"/>
    <w:rsid w:val="00DD4473"/>
    <w:rsid w:val="00DD4551"/>
    <w:rsid w:val="00DD4CA9"/>
    <w:rsid w:val="00DD544D"/>
    <w:rsid w:val="00DD58C6"/>
    <w:rsid w:val="00DD6215"/>
    <w:rsid w:val="00DD622B"/>
    <w:rsid w:val="00DD7184"/>
    <w:rsid w:val="00DD7472"/>
    <w:rsid w:val="00DD785E"/>
    <w:rsid w:val="00DD7BC1"/>
    <w:rsid w:val="00DD7E12"/>
    <w:rsid w:val="00DE001C"/>
    <w:rsid w:val="00DE0469"/>
    <w:rsid w:val="00DE0586"/>
    <w:rsid w:val="00DE0789"/>
    <w:rsid w:val="00DE09F7"/>
    <w:rsid w:val="00DE0BAC"/>
    <w:rsid w:val="00DE1079"/>
    <w:rsid w:val="00DE1214"/>
    <w:rsid w:val="00DE1597"/>
    <w:rsid w:val="00DE1C95"/>
    <w:rsid w:val="00DE1F09"/>
    <w:rsid w:val="00DE22E2"/>
    <w:rsid w:val="00DE2442"/>
    <w:rsid w:val="00DE2A4C"/>
    <w:rsid w:val="00DE2B3D"/>
    <w:rsid w:val="00DE2B5B"/>
    <w:rsid w:val="00DE3018"/>
    <w:rsid w:val="00DE3677"/>
    <w:rsid w:val="00DE374B"/>
    <w:rsid w:val="00DE39CD"/>
    <w:rsid w:val="00DE3C38"/>
    <w:rsid w:val="00DE3EAA"/>
    <w:rsid w:val="00DE3ED2"/>
    <w:rsid w:val="00DE4357"/>
    <w:rsid w:val="00DE437A"/>
    <w:rsid w:val="00DE44A2"/>
    <w:rsid w:val="00DE48D0"/>
    <w:rsid w:val="00DE4D4F"/>
    <w:rsid w:val="00DE522A"/>
    <w:rsid w:val="00DE52AE"/>
    <w:rsid w:val="00DE5715"/>
    <w:rsid w:val="00DE57DA"/>
    <w:rsid w:val="00DE5BAF"/>
    <w:rsid w:val="00DE6174"/>
    <w:rsid w:val="00DE61FF"/>
    <w:rsid w:val="00DE6373"/>
    <w:rsid w:val="00DE687F"/>
    <w:rsid w:val="00DE6D4B"/>
    <w:rsid w:val="00DE6F46"/>
    <w:rsid w:val="00DE74B2"/>
    <w:rsid w:val="00DE776C"/>
    <w:rsid w:val="00DE7B42"/>
    <w:rsid w:val="00DE7FE9"/>
    <w:rsid w:val="00DF0855"/>
    <w:rsid w:val="00DF0934"/>
    <w:rsid w:val="00DF0B0C"/>
    <w:rsid w:val="00DF0DEC"/>
    <w:rsid w:val="00DF10E3"/>
    <w:rsid w:val="00DF122E"/>
    <w:rsid w:val="00DF12EF"/>
    <w:rsid w:val="00DF14B8"/>
    <w:rsid w:val="00DF1504"/>
    <w:rsid w:val="00DF1523"/>
    <w:rsid w:val="00DF156F"/>
    <w:rsid w:val="00DF1D00"/>
    <w:rsid w:val="00DF1D20"/>
    <w:rsid w:val="00DF24D0"/>
    <w:rsid w:val="00DF280D"/>
    <w:rsid w:val="00DF2A31"/>
    <w:rsid w:val="00DF2F3D"/>
    <w:rsid w:val="00DF33CD"/>
    <w:rsid w:val="00DF3C5A"/>
    <w:rsid w:val="00DF3D49"/>
    <w:rsid w:val="00DF3E15"/>
    <w:rsid w:val="00DF3E17"/>
    <w:rsid w:val="00DF428B"/>
    <w:rsid w:val="00DF49B6"/>
    <w:rsid w:val="00DF4F5F"/>
    <w:rsid w:val="00DF5000"/>
    <w:rsid w:val="00DF50B9"/>
    <w:rsid w:val="00DF5483"/>
    <w:rsid w:val="00DF55D1"/>
    <w:rsid w:val="00DF5716"/>
    <w:rsid w:val="00DF5A65"/>
    <w:rsid w:val="00DF5E31"/>
    <w:rsid w:val="00DF5F73"/>
    <w:rsid w:val="00DF6068"/>
    <w:rsid w:val="00DF65CB"/>
    <w:rsid w:val="00DF6AB6"/>
    <w:rsid w:val="00DF6AB8"/>
    <w:rsid w:val="00DF7AB8"/>
    <w:rsid w:val="00DF7AED"/>
    <w:rsid w:val="00E00568"/>
    <w:rsid w:val="00E00C8B"/>
    <w:rsid w:val="00E00C9D"/>
    <w:rsid w:val="00E00D87"/>
    <w:rsid w:val="00E00E65"/>
    <w:rsid w:val="00E01017"/>
    <w:rsid w:val="00E014B8"/>
    <w:rsid w:val="00E01548"/>
    <w:rsid w:val="00E01773"/>
    <w:rsid w:val="00E022A8"/>
    <w:rsid w:val="00E02867"/>
    <w:rsid w:val="00E02DEE"/>
    <w:rsid w:val="00E02E3A"/>
    <w:rsid w:val="00E03111"/>
    <w:rsid w:val="00E036C1"/>
    <w:rsid w:val="00E03965"/>
    <w:rsid w:val="00E03A3B"/>
    <w:rsid w:val="00E03A4B"/>
    <w:rsid w:val="00E0422F"/>
    <w:rsid w:val="00E042C5"/>
    <w:rsid w:val="00E04535"/>
    <w:rsid w:val="00E049C9"/>
    <w:rsid w:val="00E04E4F"/>
    <w:rsid w:val="00E0501D"/>
    <w:rsid w:val="00E050D2"/>
    <w:rsid w:val="00E053E8"/>
    <w:rsid w:val="00E0575A"/>
    <w:rsid w:val="00E05934"/>
    <w:rsid w:val="00E05954"/>
    <w:rsid w:val="00E05E69"/>
    <w:rsid w:val="00E061BE"/>
    <w:rsid w:val="00E06210"/>
    <w:rsid w:val="00E06870"/>
    <w:rsid w:val="00E06A39"/>
    <w:rsid w:val="00E06BE4"/>
    <w:rsid w:val="00E06D94"/>
    <w:rsid w:val="00E06EA6"/>
    <w:rsid w:val="00E077A4"/>
    <w:rsid w:val="00E07AC5"/>
    <w:rsid w:val="00E07CC3"/>
    <w:rsid w:val="00E10384"/>
    <w:rsid w:val="00E103C1"/>
    <w:rsid w:val="00E1085B"/>
    <w:rsid w:val="00E1106F"/>
    <w:rsid w:val="00E1142C"/>
    <w:rsid w:val="00E11487"/>
    <w:rsid w:val="00E1169E"/>
    <w:rsid w:val="00E11A0A"/>
    <w:rsid w:val="00E11AB0"/>
    <w:rsid w:val="00E11E3D"/>
    <w:rsid w:val="00E12525"/>
    <w:rsid w:val="00E1252C"/>
    <w:rsid w:val="00E1285C"/>
    <w:rsid w:val="00E1289B"/>
    <w:rsid w:val="00E1296C"/>
    <w:rsid w:val="00E12B26"/>
    <w:rsid w:val="00E13178"/>
    <w:rsid w:val="00E134B3"/>
    <w:rsid w:val="00E135AA"/>
    <w:rsid w:val="00E136B6"/>
    <w:rsid w:val="00E13DAD"/>
    <w:rsid w:val="00E14565"/>
    <w:rsid w:val="00E1472F"/>
    <w:rsid w:val="00E14CEE"/>
    <w:rsid w:val="00E14D57"/>
    <w:rsid w:val="00E14EAA"/>
    <w:rsid w:val="00E15E65"/>
    <w:rsid w:val="00E160A6"/>
    <w:rsid w:val="00E164DA"/>
    <w:rsid w:val="00E16584"/>
    <w:rsid w:val="00E168FB"/>
    <w:rsid w:val="00E16A7C"/>
    <w:rsid w:val="00E16ABC"/>
    <w:rsid w:val="00E17A81"/>
    <w:rsid w:val="00E17F8B"/>
    <w:rsid w:val="00E203CB"/>
    <w:rsid w:val="00E208A6"/>
    <w:rsid w:val="00E2090F"/>
    <w:rsid w:val="00E20CFC"/>
    <w:rsid w:val="00E20D17"/>
    <w:rsid w:val="00E20FE7"/>
    <w:rsid w:val="00E2139C"/>
    <w:rsid w:val="00E21CA7"/>
    <w:rsid w:val="00E22367"/>
    <w:rsid w:val="00E22391"/>
    <w:rsid w:val="00E223CA"/>
    <w:rsid w:val="00E22A1C"/>
    <w:rsid w:val="00E239A5"/>
    <w:rsid w:val="00E23A2F"/>
    <w:rsid w:val="00E23AEF"/>
    <w:rsid w:val="00E23C0D"/>
    <w:rsid w:val="00E23F55"/>
    <w:rsid w:val="00E24221"/>
    <w:rsid w:val="00E24312"/>
    <w:rsid w:val="00E24809"/>
    <w:rsid w:val="00E24825"/>
    <w:rsid w:val="00E24920"/>
    <w:rsid w:val="00E24A17"/>
    <w:rsid w:val="00E25351"/>
    <w:rsid w:val="00E2547A"/>
    <w:rsid w:val="00E25E97"/>
    <w:rsid w:val="00E26395"/>
    <w:rsid w:val="00E26430"/>
    <w:rsid w:val="00E264CE"/>
    <w:rsid w:val="00E2676F"/>
    <w:rsid w:val="00E2680B"/>
    <w:rsid w:val="00E26BE8"/>
    <w:rsid w:val="00E26C38"/>
    <w:rsid w:val="00E26DC4"/>
    <w:rsid w:val="00E27130"/>
    <w:rsid w:val="00E27956"/>
    <w:rsid w:val="00E27DDD"/>
    <w:rsid w:val="00E303DD"/>
    <w:rsid w:val="00E30620"/>
    <w:rsid w:val="00E307AD"/>
    <w:rsid w:val="00E30A43"/>
    <w:rsid w:val="00E31A5B"/>
    <w:rsid w:val="00E322A8"/>
    <w:rsid w:val="00E3250B"/>
    <w:rsid w:val="00E3280E"/>
    <w:rsid w:val="00E32CF3"/>
    <w:rsid w:val="00E32F17"/>
    <w:rsid w:val="00E32F1E"/>
    <w:rsid w:val="00E3339B"/>
    <w:rsid w:val="00E335C3"/>
    <w:rsid w:val="00E338CB"/>
    <w:rsid w:val="00E33D36"/>
    <w:rsid w:val="00E33DA7"/>
    <w:rsid w:val="00E33FA4"/>
    <w:rsid w:val="00E3484D"/>
    <w:rsid w:val="00E349AF"/>
    <w:rsid w:val="00E34D1E"/>
    <w:rsid w:val="00E34FF3"/>
    <w:rsid w:val="00E35964"/>
    <w:rsid w:val="00E35F07"/>
    <w:rsid w:val="00E36776"/>
    <w:rsid w:val="00E37BD3"/>
    <w:rsid w:val="00E37E37"/>
    <w:rsid w:val="00E406B5"/>
    <w:rsid w:val="00E413F5"/>
    <w:rsid w:val="00E419A3"/>
    <w:rsid w:val="00E41BC9"/>
    <w:rsid w:val="00E41C0F"/>
    <w:rsid w:val="00E41E0E"/>
    <w:rsid w:val="00E41EFB"/>
    <w:rsid w:val="00E41FAE"/>
    <w:rsid w:val="00E42077"/>
    <w:rsid w:val="00E420EA"/>
    <w:rsid w:val="00E424AD"/>
    <w:rsid w:val="00E42537"/>
    <w:rsid w:val="00E428B1"/>
    <w:rsid w:val="00E42FD2"/>
    <w:rsid w:val="00E431CB"/>
    <w:rsid w:val="00E432DC"/>
    <w:rsid w:val="00E43325"/>
    <w:rsid w:val="00E43653"/>
    <w:rsid w:val="00E436D4"/>
    <w:rsid w:val="00E43930"/>
    <w:rsid w:val="00E439A9"/>
    <w:rsid w:val="00E44007"/>
    <w:rsid w:val="00E4414D"/>
    <w:rsid w:val="00E44295"/>
    <w:rsid w:val="00E44454"/>
    <w:rsid w:val="00E44564"/>
    <w:rsid w:val="00E45152"/>
    <w:rsid w:val="00E45236"/>
    <w:rsid w:val="00E45269"/>
    <w:rsid w:val="00E4549D"/>
    <w:rsid w:val="00E45B69"/>
    <w:rsid w:val="00E460F5"/>
    <w:rsid w:val="00E462C8"/>
    <w:rsid w:val="00E46576"/>
    <w:rsid w:val="00E46D50"/>
    <w:rsid w:val="00E46D69"/>
    <w:rsid w:val="00E46DAF"/>
    <w:rsid w:val="00E47633"/>
    <w:rsid w:val="00E47C56"/>
    <w:rsid w:val="00E47F54"/>
    <w:rsid w:val="00E50632"/>
    <w:rsid w:val="00E50711"/>
    <w:rsid w:val="00E5093A"/>
    <w:rsid w:val="00E5099C"/>
    <w:rsid w:val="00E50C7F"/>
    <w:rsid w:val="00E50E8F"/>
    <w:rsid w:val="00E50F75"/>
    <w:rsid w:val="00E50F97"/>
    <w:rsid w:val="00E50FDB"/>
    <w:rsid w:val="00E515CC"/>
    <w:rsid w:val="00E517E2"/>
    <w:rsid w:val="00E517F6"/>
    <w:rsid w:val="00E51BA4"/>
    <w:rsid w:val="00E51C29"/>
    <w:rsid w:val="00E51CA9"/>
    <w:rsid w:val="00E51E67"/>
    <w:rsid w:val="00E522B3"/>
    <w:rsid w:val="00E52682"/>
    <w:rsid w:val="00E52A40"/>
    <w:rsid w:val="00E52F5A"/>
    <w:rsid w:val="00E5322B"/>
    <w:rsid w:val="00E5323D"/>
    <w:rsid w:val="00E53731"/>
    <w:rsid w:val="00E53755"/>
    <w:rsid w:val="00E53AB9"/>
    <w:rsid w:val="00E53C49"/>
    <w:rsid w:val="00E54032"/>
    <w:rsid w:val="00E540A8"/>
    <w:rsid w:val="00E542A8"/>
    <w:rsid w:val="00E542DE"/>
    <w:rsid w:val="00E54311"/>
    <w:rsid w:val="00E54591"/>
    <w:rsid w:val="00E54D05"/>
    <w:rsid w:val="00E54D53"/>
    <w:rsid w:val="00E54D94"/>
    <w:rsid w:val="00E5526E"/>
    <w:rsid w:val="00E552A3"/>
    <w:rsid w:val="00E554C0"/>
    <w:rsid w:val="00E55BC6"/>
    <w:rsid w:val="00E55C7B"/>
    <w:rsid w:val="00E55E1D"/>
    <w:rsid w:val="00E561B3"/>
    <w:rsid w:val="00E5693E"/>
    <w:rsid w:val="00E571FA"/>
    <w:rsid w:val="00E57283"/>
    <w:rsid w:val="00E57930"/>
    <w:rsid w:val="00E57A49"/>
    <w:rsid w:val="00E57A5D"/>
    <w:rsid w:val="00E57C7D"/>
    <w:rsid w:val="00E57EC3"/>
    <w:rsid w:val="00E60186"/>
    <w:rsid w:val="00E606FD"/>
    <w:rsid w:val="00E615EA"/>
    <w:rsid w:val="00E61664"/>
    <w:rsid w:val="00E61745"/>
    <w:rsid w:val="00E61945"/>
    <w:rsid w:val="00E61CAB"/>
    <w:rsid w:val="00E61DC9"/>
    <w:rsid w:val="00E626B1"/>
    <w:rsid w:val="00E627A4"/>
    <w:rsid w:val="00E629F4"/>
    <w:rsid w:val="00E62BB2"/>
    <w:rsid w:val="00E6316D"/>
    <w:rsid w:val="00E63760"/>
    <w:rsid w:val="00E6390B"/>
    <w:rsid w:val="00E639D9"/>
    <w:rsid w:val="00E63BDE"/>
    <w:rsid w:val="00E63C07"/>
    <w:rsid w:val="00E63F1A"/>
    <w:rsid w:val="00E64152"/>
    <w:rsid w:val="00E6418B"/>
    <w:rsid w:val="00E64240"/>
    <w:rsid w:val="00E642B2"/>
    <w:rsid w:val="00E64FEB"/>
    <w:rsid w:val="00E65336"/>
    <w:rsid w:val="00E654B3"/>
    <w:rsid w:val="00E655AB"/>
    <w:rsid w:val="00E656B6"/>
    <w:rsid w:val="00E65832"/>
    <w:rsid w:val="00E659B8"/>
    <w:rsid w:val="00E65C6C"/>
    <w:rsid w:val="00E65D15"/>
    <w:rsid w:val="00E66267"/>
    <w:rsid w:val="00E663A8"/>
    <w:rsid w:val="00E6654C"/>
    <w:rsid w:val="00E6661C"/>
    <w:rsid w:val="00E66669"/>
    <w:rsid w:val="00E66944"/>
    <w:rsid w:val="00E66B62"/>
    <w:rsid w:val="00E66D39"/>
    <w:rsid w:val="00E66D95"/>
    <w:rsid w:val="00E672D4"/>
    <w:rsid w:val="00E672F9"/>
    <w:rsid w:val="00E675B6"/>
    <w:rsid w:val="00E676B8"/>
    <w:rsid w:val="00E6792B"/>
    <w:rsid w:val="00E6793D"/>
    <w:rsid w:val="00E701D7"/>
    <w:rsid w:val="00E70245"/>
    <w:rsid w:val="00E70363"/>
    <w:rsid w:val="00E707D8"/>
    <w:rsid w:val="00E70F12"/>
    <w:rsid w:val="00E718EC"/>
    <w:rsid w:val="00E71FCB"/>
    <w:rsid w:val="00E7204B"/>
    <w:rsid w:val="00E724F2"/>
    <w:rsid w:val="00E726C0"/>
    <w:rsid w:val="00E72861"/>
    <w:rsid w:val="00E7288D"/>
    <w:rsid w:val="00E72C0E"/>
    <w:rsid w:val="00E72F89"/>
    <w:rsid w:val="00E737A8"/>
    <w:rsid w:val="00E73869"/>
    <w:rsid w:val="00E73936"/>
    <w:rsid w:val="00E7426C"/>
    <w:rsid w:val="00E742E0"/>
    <w:rsid w:val="00E74458"/>
    <w:rsid w:val="00E74859"/>
    <w:rsid w:val="00E748FD"/>
    <w:rsid w:val="00E74936"/>
    <w:rsid w:val="00E74E95"/>
    <w:rsid w:val="00E75293"/>
    <w:rsid w:val="00E75356"/>
    <w:rsid w:val="00E754D5"/>
    <w:rsid w:val="00E75581"/>
    <w:rsid w:val="00E75628"/>
    <w:rsid w:val="00E75DB6"/>
    <w:rsid w:val="00E76148"/>
    <w:rsid w:val="00E7641B"/>
    <w:rsid w:val="00E76483"/>
    <w:rsid w:val="00E76707"/>
    <w:rsid w:val="00E76A6D"/>
    <w:rsid w:val="00E76B9C"/>
    <w:rsid w:val="00E76D11"/>
    <w:rsid w:val="00E76D9E"/>
    <w:rsid w:val="00E77452"/>
    <w:rsid w:val="00E775FC"/>
    <w:rsid w:val="00E776E5"/>
    <w:rsid w:val="00E777AA"/>
    <w:rsid w:val="00E77DDC"/>
    <w:rsid w:val="00E77F2B"/>
    <w:rsid w:val="00E80519"/>
    <w:rsid w:val="00E807CD"/>
    <w:rsid w:val="00E80B7D"/>
    <w:rsid w:val="00E80E56"/>
    <w:rsid w:val="00E81265"/>
    <w:rsid w:val="00E81593"/>
    <w:rsid w:val="00E81CD2"/>
    <w:rsid w:val="00E81F3B"/>
    <w:rsid w:val="00E8213C"/>
    <w:rsid w:val="00E82976"/>
    <w:rsid w:val="00E82BB8"/>
    <w:rsid w:val="00E82C63"/>
    <w:rsid w:val="00E82CCC"/>
    <w:rsid w:val="00E83568"/>
    <w:rsid w:val="00E8369C"/>
    <w:rsid w:val="00E83AFD"/>
    <w:rsid w:val="00E83F03"/>
    <w:rsid w:val="00E840C8"/>
    <w:rsid w:val="00E840DB"/>
    <w:rsid w:val="00E84127"/>
    <w:rsid w:val="00E84F41"/>
    <w:rsid w:val="00E851F5"/>
    <w:rsid w:val="00E853A9"/>
    <w:rsid w:val="00E854FD"/>
    <w:rsid w:val="00E858CA"/>
    <w:rsid w:val="00E859D5"/>
    <w:rsid w:val="00E85E88"/>
    <w:rsid w:val="00E86FFC"/>
    <w:rsid w:val="00E8706B"/>
    <w:rsid w:val="00E87272"/>
    <w:rsid w:val="00E87426"/>
    <w:rsid w:val="00E8749B"/>
    <w:rsid w:val="00E877AD"/>
    <w:rsid w:val="00E87A5A"/>
    <w:rsid w:val="00E87C8F"/>
    <w:rsid w:val="00E90AF7"/>
    <w:rsid w:val="00E90CE9"/>
    <w:rsid w:val="00E90E48"/>
    <w:rsid w:val="00E910E1"/>
    <w:rsid w:val="00E913D5"/>
    <w:rsid w:val="00E913DA"/>
    <w:rsid w:val="00E91498"/>
    <w:rsid w:val="00E9150C"/>
    <w:rsid w:val="00E91B2A"/>
    <w:rsid w:val="00E91DF1"/>
    <w:rsid w:val="00E9209B"/>
    <w:rsid w:val="00E92205"/>
    <w:rsid w:val="00E923E1"/>
    <w:rsid w:val="00E92C36"/>
    <w:rsid w:val="00E92F14"/>
    <w:rsid w:val="00E9303E"/>
    <w:rsid w:val="00E932DA"/>
    <w:rsid w:val="00E93439"/>
    <w:rsid w:val="00E936E3"/>
    <w:rsid w:val="00E93770"/>
    <w:rsid w:val="00E9410C"/>
    <w:rsid w:val="00E943C6"/>
    <w:rsid w:val="00E943D3"/>
    <w:rsid w:val="00E945EE"/>
    <w:rsid w:val="00E945F9"/>
    <w:rsid w:val="00E9464C"/>
    <w:rsid w:val="00E948FB"/>
    <w:rsid w:val="00E94A74"/>
    <w:rsid w:val="00E94DC5"/>
    <w:rsid w:val="00E954C0"/>
    <w:rsid w:val="00E9572E"/>
    <w:rsid w:val="00E95B25"/>
    <w:rsid w:val="00E95FD3"/>
    <w:rsid w:val="00E9621C"/>
    <w:rsid w:val="00E96274"/>
    <w:rsid w:val="00E964AE"/>
    <w:rsid w:val="00E964C3"/>
    <w:rsid w:val="00E9668A"/>
    <w:rsid w:val="00E966E3"/>
    <w:rsid w:val="00E96BDF"/>
    <w:rsid w:val="00E96FD1"/>
    <w:rsid w:val="00E97241"/>
    <w:rsid w:val="00E97463"/>
    <w:rsid w:val="00E97AA1"/>
    <w:rsid w:val="00E97CDD"/>
    <w:rsid w:val="00EA01E8"/>
    <w:rsid w:val="00EA0434"/>
    <w:rsid w:val="00EA0564"/>
    <w:rsid w:val="00EA0B7A"/>
    <w:rsid w:val="00EA0BD8"/>
    <w:rsid w:val="00EA0D3F"/>
    <w:rsid w:val="00EA1241"/>
    <w:rsid w:val="00EA1331"/>
    <w:rsid w:val="00EA14FA"/>
    <w:rsid w:val="00EA175E"/>
    <w:rsid w:val="00EA1A33"/>
    <w:rsid w:val="00EA1FB4"/>
    <w:rsid w:val="00EA1FE6"/>
    <w:rsid w:val="00EA2177"/>
    <w:rsid w:val="00EA21C4"/>
    <w:rsid w:val="00EA2BDD"/>
    <w:rsid w:val="00EA2DE8"/>
    <w:rsid w:val="00EA3045"/>
    <w:rsid w:val="00EA3135"/>
    <w:rsid w:val="00EA322C"/>
    <w:rsid w:val="00EA34B1"/>
    <w:rsid w:val="00EA35C2"/>
    <w:rsid w:val="00EA3745"/>
    <w:rsid w:val="00EA374D"/>
    <w:rsid w:val="00EA3955"/>
    <w:rsid w:val="00EA39E0"/>
    <w:rsid w:val="00EA3D4B"/>
    <w:rsid w:val="00EA3F74"/>
    <w:rsid w:val="00EA3FEF"/>
    <w:rsid w:val="00EA4446"/>
    <w:rsid w:val="00EA47EB"/>
    <w:rsid w:val="00EA4997"/>
    <w:rsid w:val="00EA4AA3"/>
    <w:rsid w:val="00EA4B50"/>
    <w:rsid w:val="00EA52F6"/>
    <w:rsid w:val="00EA5398"/>
    <w:rsid w:val="00EA5814"/>
    <w:rsid w:val="00EA5F93"/>
    <w:rsid w:val="00EA6558"/>
    <w:rsid w:val="00EA668F"/>
    <w:rsid w:val="00EA6902"/>
    <w:rsid w:val="00EA6BDA"/>
    <w:rsid w:val="00EA6F99"/>
    <w:rsid w:val="00EA6FCD"/>
    <w:rsid w:val="00EA7279"/>
    <w:rsid w:val="00EA74FB"/>
    <w:rsid w:val="00EA7592"/>
    <w:rsid w:val="00EA75A8"/>
    <w:rsid w:val="00EA7645"/>
    <w:rsid w:val="00EA76DA"/>
    <w:rsid w:val="00EB072F"/>
    <w:rsid w:val="00EB0937"/>
    <w:rsid w:val="00EB0E48"/>
    <w:rsid w:val="00EB0F29"/>
    <w:rsid w:val="00EB1043"/>
    <w:rsid w:val="00EB11A1"/>
    <w:rsid w:val="00EB14FB"/>
    <w:rsid w:val="00EB172D"/>
    <w:rsid w:val="00EB1AE0"/>
    <w:rsid w:val="00EB1B38"/>
    <w:rsid w:val="00EB1B70"/>
    <w:rsid w:val="00EB1BD4"/>
    <w:rsid w:val="00EB1D56"/>
    <w:rsid w:val="00EB2368"/>
    <w:rsid w:val="00EB2C24"/>
    <w:rsid w:val="00EB2CAD"/>
    <w:rsid w:val="00EB2D0E"/>
    <w:rsid w:val="00EB2FB1"/>
    <w:rsid w:val="00EB3268"/>
    <w:rsid w:val="00EB35E6"/>
    <w:rsid w:val="00EB3630"/>
    <w:rsid w:val="00EB36FA"/>
    <w:rsid w:val="00EB41E9"/>
    <w:rsid w:val="00EB4285"/>
    <w:rsid w:val="00EB42C7"/>
    <w:rsid w:val="00EB42E6"/>
    <w:rsid w:val="00EB479F"/>
    <w:rsid w:val="00EB5848"/>
    <w:rsid w:val="00EB5878"/>
    <w:rsid w:val="00EB5885"/>
    <w:rsid w:val="00EB5A0D"/>
    <w:rsid w:val="00EB5BAF"/>
    <w:rsid w:val="00EB5CC6"/>
    <w:rsid w:val="00EB6294"/>
    <w:rsid w:val="00EB676C"/>
    <w:rsid w:val="00EB682D"/>
    <w:rsid w:val="00EB6D1F"/>
    <w:rsid w:val="00EB6D52"/>
    <w:rsid w:val="00EB6F00"/>
    <w:rsid w:val="00EB7428"/>
    <w:rsid w:val="00EB7BC8"/>
    <w:rsid w:val="00EC001A"/>
    <w:rsid w:val="00EC0167"/>
    <w:rsid w:val="00EC026D"/>
    <w:rsid w:val="00EC051A"/>
    <w:rsid w:val="00EC0FA8"/>
    <w:rsid w:val="00EC11BD"/>
    <w:rsid w:val="00EC13ED"/>
    <w:rsid w:val="00EC1404"/>
    <w:rsid w:val="00EC15BF"/>
    <w:rsid w:val="00EC173D"/>
    <w:rsid w:val="00EC1A5A"/>
    <w:rsid w:val="00EC1C60"/>
    <w:rsid w:val="00EC1C77"/>
    <w:rsid w:val="00EC1D4B"/>
    <w:rsid w:val="00EC1F93"/>
    <w:rsid w:val="00EC20F4"/>
    <w:rsid w:val="00EC2208"/>
    <w:rsid w:val="00EC2613"/>
    <w:rsid w:val="00EC2666"/>
    <w:rsid w:val="00EC2688"/>
    <w:rsid w:val="00EC29DA"/>
    <w:rsid w:val="00EC2A0D"/>
    <w:rsid w:val="00EC2CA1"/>
    <w:rsid w:val="00EC2D63"/>
    <w:rsid w:val="00EC3224"/>
    <w:rsid w:val="00EC3715"/>
    <w:rsid w:val="00EC3B96"/>
    <w:rsid w:val="00EC3DD3"/>
    <w:rsid w:val="00EC43C6"/>
    <w:rsid w:val="00EC4471"/>
    <w:rsid w:val="00EC4770"/>
    <w:rsid w:val="00EC4853"/>
    <w:rsid w:val="00EC4BC7"/>
    <w:rsid w:val="00EC4BFA"/>
    <w:rsid w:val="00EC52B2"/>
    <w:rsid w:val="00EC53E2"/>
    <w:rsid w:val="00EC55C4"/>
    <w:rsid w:val="00EC578B"/>
    <w:rsid w:val="00EC5835"/>
    <w:rsid w:val="00EC5912"/>
    <w:rsid w:val="00EC5A23"/>
    <w:rsid w:val="00EC5A3A"/>
    <w:rsid w:val="00EC5A4C"/>
    <w:rsid w:val="00EC5AA6"/>
    <w:rsid w:val="00EC5DF8"/>
    <w:rsid w:val="00EC5E3B"/>
    <w:rsid w:val="00EC62F1"/>
    <w:rsid w:val="00EC6D5F"/>
    <w:rsid w:val="00EC7072"/>
    <w:rsid w:val="00EC70D8"/>
    <w:rsid w:val="00EC72F4"/>
    <w:rsid w:val="00EC72FF"/>
    <w:rsid w:val="00EC730C"/>
    <w:rsid w:val="00EC75F2"/>
    <w:rsid w:val="00EC7BB2"/>
    <w:rsid w:val="00EC7C63"/>
    <w:rsid w:val="00ED026B"/>
    <w:rsid w:val="00ED04C9"/>
    <w:rsid w:val="00ED0598"/>
    <w:rsid w:val="00ED0D2D"/>
    <w:rsid w:val="00ED0D7D"/>
    <w:rsid w:val="00ED0FF1"/>
    <w:rsid w:val="00ED11B0"/>
    <w:rsid w:val="00ED171C"/>
    <w:rsid w:val="00ED24B0"/>
    <w:rsid w:val="00ED27F1"/>
    <w:rsid w:val="00ED384E"/>
    <w:rsid w:val="00ED3D95"/>
    <w:rsid w:val="00ED423E"/>
    <w:rsid w:val="00ED47E3"/>
    <w:rsid w:val="00ED52EC"/>
    <w:rsid w:val="00ED562B"/>
    <w:rsid w:val="00ED5859"/>
    <w:rsid w:val="00ED61CC"/>
    <w:rsid w:val="00ED64C0"/>
    <w:rsid w:val="00ED681E"/>
    <w:rsid w:val="00ED68AA"/>
    <w:rsid w:val="00ED6BB0"/>
    <w:rsid w:val="00ED6D56"/>
    <w:rsid w:val="00ED71E5"/>
    <w:rsid w:val="00ED75A0"/>
    <w:rsid w:val="00ED7632"/>
    <w:rsid w:val="00ED7A51"/>
    <w:rsid w:val="00EE05D7"/>
    <w:rsid w:val="00EE05F0"/>
    <w:rsid w:val="00EE0664"/>
    <w:rsid w:val="00EE0E64"/>
    <w:rsid w:val="00EE10DD"/>
    <w:rsid w:val="00EE133A"/>
    <w:rsid w:val="00EE13FA"/>
    <w:rsid w:val="00EE1460"/>
    <w:rsid w:val="00EE14B1"/>
    <w:rsid w:val="00EE1A78"/>
    <w:rsid w:val="00EE1C46"/>
    <w:rsid w:val="00EE1CCF"/>
    <w:rsid w:val="00EE1E27"/>
    <w:rsid w:val="00EE1F94"/>
    <w:rsid w:val="00EE21EB"/>
    <w:rsid w:val="00EE2C26"/>
    <w:rsid w:val="00EE2DDC"/>
    <w:rsid w:val="00EE2F25"/>
    <w:rsid w:val="00EE31F8"/>
    <w:rsid w:val="00EE33EC"/>
    <w:rsid w:val="00EE3496"/>
    <w:rsid w:val="00EE3EF8"/>
    <w:rsid w:val="00EE3FE5"/>
    <w:rsid w:val="00EE441B"/>
    <w:rsid w:val="00EE4499"/>
    <w:rsid w:val="00EE4601"/>
    <w:rsid w:val="00EE460F"/>
    <w:rsid w:val="00EE48B2"/>
    <w:rsid w:val="00EE4BF3"/>
    <w:rsid w:val="00EE4DD0"/>
    <w:rsid w:val="00EE5206"/>
    <w:rsid w:val="00EE5260"/>
    <w:rsid w:val="00EE52F5"/>
    <w:rsid w:val="00EE53DE"/>
    <w:rsid w:val="00EE53E5"/>
    <w:rsid w:val="00EE53F2"/>
    <w:rsid w:val="00EE560F"/>
    <w:rsid w:val="00EE656C"/>
    <w:rsid w:val="00EE6651"/>
    <w:rsid w:val="00EE66E6"/>
    <w:rsid w:val="00EE685D"/>
    <w:rsid w:val="00EE6C72"/>
    <w:rsid w:val="00EE6CCA"/>
    <w:rsid w:val="00EE6FF4"/>
    <w:rsid w:val="00EE73D7"/>
    <w:rsid w:val="00EF0138"/>
    <w:rsid w:val="00EF0199"/>
    <w:rsid w:val="00EF03F1"/>
    <w:rsid w:val="00EF072A"/>
    <w:rsid w:val="00EF0A2D"/>
    <w:rsid w:val="00EF0B22"/>
    <w:rsid w:val="00EF0C48"/>
    <w:rsid w:val="00EF113F"/>
    <w:rsid w:val="00EF1147"/>
    <w:rsid w:val="00EF1519"/>
    <w:rsid w:val="00EF1BC5"/>
    <w:rsid w:val="00EF1C8F"/>
    <w:rsid w:val="00EF2039"/>
    <w:rsid w:val="00EF26B1"/>
    <w:rsid w:val="00EF26CF"/>
    <w:rsid w:val="00EF2725"/>
    <w:rsid w:val="00EF3274"/>
    <w:rsid w:val="00EF3354"/>
    <w:rsid w:val="00EF35D7"/>
    <w:rsid w:val="00EF3847"/>
    <w:rsid w:val="00EF39F9"/>
    <w:rsid w:val="00EF3BDF"/>
    <w:rsid w:val="00EF3ECB"/>
    <w:rsid w:val="00EF4130"/>
    <w:rsid w:val="00EF45EB"/>
    <w:rsid w:val="00EF45EF"/>
    <w:rsid w:val="00EF4A8D"/>
    <w:rsid w:val="00EF4F5C"/>
    <w:rsid w:val="00EF51BE"/>
    <w:rsid w:val="00EF5246"/>
    <w:rsid w:val="00EF5A61"/>
    <w:rsid w:val="00EF5C21"/>
    <w:rsid w:val="00EF5E3F"/>
    <w:rsid w:val="00EF6651"/>
    <w:rsid w:val="00EF67F6"/>
    <w:rsid w:val="00EF6FD2"/>
    <w:rsid w:val="00EF7496"/>
    <w:rsid w:val="00EF7FD9"/>
    <w:rsid w:val="00F0023A"/>
    <w:rsid w:val="00F0054A"/>
    <w:rsid w:val="00F00C18"/>
    <w:rsid w:val="00F00D61"/>
    <w:rsid w:val="00F011CC"/>
    <w:rsid w:val="00F013AD"/>
    <w:rsid w:val="00F01C9F"/>
    <w:rsid w:val="00F01DB1"/>
    <w:rsid w:val="00F02329"/>
    <w:rsid w:val="00F025FB"/>
    <w:rsid w:val="00F02A1C"/>
    <w:rsid w:val="00F02BFA"/>
    <w:rsid w:val="00F02D1F"/>
    <w:rsid w:val="00F02DB3"/>
    <w:rsid w:val="00F030E4"/>
    <w:rsid w:val="00F03299"/>
    <w:rsid w:val="00F0339B"/>
    <w:rsid w:val="00F0369D"/>
    <w:rsid w:val="00F03984"/>
    <w:rsid w:val="00F03B3C"/>
    <w:rsid w:val="00F03DC0"/>
    <w:rsid w:val="00F040E8"/>
    <w:rsid w:val="00F0496C"/>
    <w:rsid w:val="00F04BB1"/>
    <w:rsid w:val="00F04CB8"/>
    <w:rsid w:val="00F04FE5"/>
    <w:rsid w:val="00F050EB"/>
    <w:rsid w:val="00F0547B"/>
    <w:rsid w:val="00F054BA"/>
    <w:rsid w:val="00F05577"/>
    <w:rsid w:val="00F05F85"/>
    <w:rsid w:val="00F060E3"/>
    <w:rsid w:val="00F062DE"/>
    <w:rsid w:val="00F06711"/>
    <w:rsid w:val="00F06B81"/>
    <w:rsid w:val="00F074C6"/>
    <w:rsid w:val="00F07894"/>
    <w:rsid w:val="00F07A8A"/>
    <w:rsid w:val="00F07CB6"/>
    <w:rsid w:val="00F100AF"/>
    <w:rsid w:val="00F1031D"/>
    <w:rsid w:val="00F109FA"/>
    <w:rsid w:val="00F1121F"/>
    <w:rsid w:val="00F1131E"/>
    <w:rsid w:val="00F114CC"/>
    <w:rsid w:val="00F1158A"/>
    <w:rsid w:val="00F11A50"/>
    <w:rsid w:val="00F121D2"/>
    <w:rsid w:val="00F121E2"/>
    <w:rsid w:val="00F1246F"/>
    <w:rsid w:val="00F12724"/>
    <w:rsid w:val="00F12CDD"/>
    <w:rsid w:val="00F13268"/>
    <w:rsid w:val="00F13484"/>
    <w:rsid w:val="00F137BF"/>
    <w:rsid w:val="00F13C88"/>
    <w:rsid w:val="00F13FF5"/>
    <w:rsid w:val="00F14561"/>
    <w:rsid w:val="00F14598"/>
    <w:rsid w:val="00F14D20"/>
    <w:rsid w:val="00F14FFA"/>
    <w:rsid w:val="00F1555B"/>
    <w:rsid w:val="00F15B94"/>
    <w:rsid w:val="00F15C24"/>
    <w:rsid w:val="00F15E28"/>
    <w:rsid w:val="00F15F49"/>
    <w:rsid w:val="00F1604E"/>
    <w:rsid w:val="00F16220"/>
    <w:rsid w:val="00F1624F"/>
    <w:rsid w:val="00F1664F"/>
    <w:rsid w:val="00F166A6"/>
    <w:rsid w:val="00F16D5E"/>
    <w:rsid w:val="00F16D6D"/>
    <w:rsid w:val="00F16E20"/>
    <w:rsid w:val="00F16E38"/>
    <w:rsid w:val="00F179F2"/>
    <w:rsid w:val="00F17C0D"/>
    <w:rsid w:val="00F20B39"/>
    <w:rsid w:val="00F2127B"/>
    <w:rsid w:val="00F214A5"/>
    <w:rsid w:val="00F217A4"/>
    <w:rsid w:val="00F217F9"/>
    <w:rsid w:val="00F21CD5"/>
    <w:rsid w:val="00F21F95"/>
    <w:rsid w:val="00F220E3"/>
    <w:rsid w:val="00F2262A"/>
    <w:rsid w:val="00F22914"/>
    <w:rsid w:val="00F232FF"/>
    <w:rsid w:val="00F233BB"/>
    <w:rsid w:val="00F233F3"/>
    <w:rsid w:val="00F2399C"/>
    <w:rsid w:val="00F2444A"/>
    <w:rsid w:val="00F2476A"/>
    <w:rsid w:val="00F24B2B"/>
    <w:rsid w:val="00F24C00"/>
    <w:rsid w:val="00F24D05"/>
    <w:rsid w:val="00F2526E"/>
    <w:rsid w:val="00F252ED"/>
    <w:rsid w:val="00F253EE"/>
    <w:rsid w:val="00F2540D"/>
    <w:rsid w:val="00F25D85"/>
    <w:rsid w:val="00F25E48"/>
    <w:rsid w:val="00F25EC2"/>
    <w:rsid w:val="00F25ED4"/>
    <w:rsid w:val="00F25F0C"/>
    <w:rsid w:val="00F25FDD"/>
    <w:rsid w:val="00F260C6"/>
    <w:rsid w:val="00F263BC"/>
    <w:rsid w:val="00F2698A"/>
    <w:rsid w:val="00F26FB9"/>
    <w:rsid w:val="00F27151"/>
    <w:rsid w:val="00F27302"/>
    <w:rsid w:val="00F275E0"/>
    <w:rsid w:val="00F27903"/>
    <w:rsid w:val="00F279A9"/>
    <w:rsid w:val="00F27E29"/>
    <w:rsid w:val="00F30598"/>
    <w:rsid w:val="00F306F3"/>
    <w:rsid w:val="00F307A1"/>
    <w:rsid w:val="00F30849"/>
    <w:rsid w:val="00F30A9D"/>
    <w:rsid w:val="00F30B8C"/>
    <w:rsid w:val="00F30C76"/>
    <w:rsid w:val="00F310B8"/>
    <w:rsid w:val="00F31217"/>
    <w:rsid w:val="00F31525"/>
    <w:rsid w:val="00F3154D"/>
    <w:rsid w:val="00F3178B"/>
    <w:rsid w:val="00F31888"/>
    <w:rsid w:val="00F31A8E"/>
    <w:rsid w:val="00F32252"/>
    <w:rsid w:val="00F32344"/>
    <w:rsid w:val="00F323B8"/>
    <w:rsid w:val="00F329AB"/>
    <w:rsid w:val="00F33030"/>
    <w:rsid w:val="00F33075"/>
    <w:rsid w:val="00F332C8"/>
    <w:rsid w:val="00F3337B"/>
    <w:rsid w:val="00F334C8"/>
    <w:rsid w:val="00F335E4"/>
    <w:rsid w:val="00F33771"/>
    <w:rsid w:val="00F33B9E"/>
    <w:rsid w:val="00F33E6C"/>
    <w:rsid w:val="00F345F4"/>
    <w:rsid w:val="00F34803"/>
    <w:rsid w:val="00F34861"/>
    <w:rsid w:val="00F34A3C"/>
    <w:rsid w:val="00F34A7F"/>
    <w:rsid w:val="00F34ACA"/>
    <w:rsid w:val="00F34B0C"/>
    <w:rsid w:val="00F352F1"/>
    <w:rsid w:val="00F35A45"/>
    <w:rsid w:val="00F36017"/>
    <w:rsid w:val="00F36E5E"/>
    <w:rsid w:val="00F37502"/>
    <w:rsid w:val="00F37AE4"/>
    <w:rsid w:val="00F37B1A"/>
    <w:rsid w:val="00F37FA3"/>
    <w:rsid w:val="00F40356"/>
    <w:rsid w:val="00F40BBD"/>
    <w:rsid w:val="00F40D5F"/>
    <w:rsid w:val="00F40E3D"/>
    <w:rsid w:val="00F410A1"/>
    <w:rsid w:val="00F41A85"/>
    <w:rsid w:val="00F41D1A"/>
    <w:rsid w:val="00F41E78"/>
    <w:rsid w:val="00F4211F"/>
    <w:rsid w:val="00F42123"/>
    <w:rsid w:val="00F42368"/>
    <w:rsid w:val="00F4261E"/>
    <w:rsid w:val="00F426A2"/>
    <w:rsid w:val="00F42A5A"/>
    <w:rsid w:val="00F42F69"/>
    <w:rsid w:val="00F4343D"/>
    <w:rsid w:val="00F4362E"/>
    <w:rsid w:val="00F43654"/>
    <w:rsid w:val="00F439B3"/>
    <w:rsid w:val="00F44026"/>
    <w:rsid w:val="00F440D9"/>
    <w:rsid w:val="00F442CA"/>
    <w:rsid w:val="00F4432B"/>
    <w:rsid w:val="00F448DC"/>
    <w:rsid w:val="00F44ABB"/>
    <w:rsid w:val="00F44B1F"/>
    <w:rsid w:val="00F44CBC"/>
    <w:rsid w:val="00F44FD1"/>
    <w:rsid w:val="00F45284"/>
    <w:rsid w:val="00F456B9"/>
    <w:rsid w:val="00F459F1"/>
    <w:rsid w:val="00F45C6C"/>
    <w:rsid w:val="00F45EB0"/>
    <w:rsid w:val="00F45EBB"/>
    <w:rsid w:val="00F4618B"/>
    <w:rsid w:val="00F461FD"/>
    <w:rsid w:val="00F463A6"/>
    <w:rsid w:val="00F46688"/>
    <w:rsid w:val="00F467B6"/>
    <w:rsid w:val="00F47478"/>
    <w:rsid w:val="00F47799"/>
    <w:rsid w:val="00F47CC6"/>
    <w:rsid w:val="00F5003B"/>
    <w:rsid w:val="00F50494"/>
    <w:rsid w:val="00F5093B"/>
    <w:rsid w:val="00F50E4F"/>
    <w:rsid w:val="00F51274"/>
    <w:rsid w:val="00F513E8"/>
    <w:rsid w:val="00F51435"/>
    <w:rsid w:val="00F514F4"/>
    <w:rsid w:val="00F51545"/>
    <w:rsid w:val="00F51A2C"/>
    <w:rsid w:val="00F51B35"/>
    <w:rsid w:val="00F51F53"/>
    <w:rsid w:val="00F51FF6"/>
    <w:rsid w:val="00F52300"/>
    <w:rsid w:val="00F52522"/>
    <w:rsid w:val="00F5265E"/>
    <w:rsid w:val="00F5279D"/>
    <w:rsid w:val="00F52B48"/>
    <w:rsid w:val="00F53471"/>
    <w:rsid w:val="00F53F9A"/>
    <w:rsid w:val="00F541B0"/>
    <w:rsid w:val="00F54596"/>
    <w:rsid w:val="00F55029"/>
    <w:rsid w:val="00F553C9"/>
    <w:rsid w:val="00F55425"/>
    <w:rsid w:val="00F557D3"/>
    <w:rsid w:val="00F5580F"/>
    <w:rsid w:val="00F55868"/>
    <w:rsid w:val="00F56414"/>
    <w:rsid w:val="00F56AE2"/>
    <w:rsid w:val="00F56CB1"/>
    <w:rsid w:val="00F5701D"/>
    <w:rsid w:val="00F5786E"/>
    <w:rsid w:val="00F57D24"/>
    <w:rsid w:val="00F57FB2"/>
    <w:rsid w:val="00F60057"/>
    <w:rsid w:val="00F6026E"/>
    <w:rsid w:val="00F60390"/>
    <w:rsid w:val="00F60423"/>
    <w:rsid w:val="00F60466"/>
    <w:rsid w:val="00F60529"/>
    <w:rsid w:val="00F606E0"/>
    <w:rsid w:val="00F60802"/>
    <w:rsid w:val="00F608AB"/>
    <w:rsid w:val="00F61520"/>
    <w:rsid w:val="00F61636"/>
    <w:rsid w:val="00F61A00"/>
    <w:rsid w:val="00F61EA2"/>
    <w:rsid w:val="00F620E3"/>
    <w:rsid w:val="00F6248F"/>
    <w:rsid w:val="00F62678"/>
    <w:rsid w:val="00F6283C"/>
    <w:rsid w:val="00F6283D"/>
    <w:rsid w:val="00F62C6B"/>
    <w:rsid w:val="00F630E3"/>
    <w:rsid w:val="00F634BC"/>
    <w:rsid w:val="00F63727"/>
    <w:rsid w:val="00F63EA7"/>
    <w:rsid w:val="00F643BA"/>
    <w:rsid w:val="00F6486D"/>
    <w:rsid w:val="00F65A61"/>
    <w:rsid w:val="00F65BA5"/>
    <w:rsid w:val="00F65C8B"/>
    <w:rsid w:val="00F663E5"/>
    <w:rsid w:val="00F6670F"/>
    <w:rsid w:val="00F668A5"/>
    <w:rsid w:val="00F66A06"/>
    <w:rsid w:val="00F66FF4"/>
    <w:rsid w:val="00F67307"/>
    <w:rsid w:val="00F676E2"/>
    <w:rsid w:val="00F67BF7"/>
    <w:rsid w:val="00F70121"/>
    <w:rsid w:val="00F7034C"/>
    <w:rsid w:val="00F704AB"/>
    <w:rsid w:val="00F7096F"/>
    <w:rsid w:val="00F71392"/>
    <w:rsid w:val="00F71720"/>
    <w:rsid w:val="00F7176A"/>
    <w:rsid w:val="00F717FB"/>
    <w:rsid w:val="00F71802"/>
    <w:rsid w:val="00F719C7"/>
    <w:rsid w:val="00F71C5A"/>
    <w:rsid w:val="00F71D2D"/>
    <w:rsid w:val="00F71ED7"/>
    <w:rsid w:val="00F72166"/>
    <w:rsid w:val="00F721F6"/>
    <w:rsid w:val="00F7228F"/>
    <w:rsid w:val="00F72521"/>
    <w:rsid w:val="00F72657"/>
    <w:rsid w:val="00F7290B"/>
    <w:rsid w:val="00F72919"/>
    <w:rsid w:val="00F72A0A"/>
    <w:rsid w:val="00F72AE2"/>
    <w:rsid w:val="00F73ADE"/>
    <w:rsid w:val="00F74222"/>
    <w:rsid w:val="00F7487A"/>
    <w:rsid w:val="00F748D2"/>
    <w:rsid w:val="00F74EA0"/>
    <w:rsid w:val="00F74F40"/>
    <w:rsid w:val="00F751A0"/>
    <w:rsid w:val="00F75259"/>
    <w:rsid w:val="00F75630"/>
    <w:rsid w:val="00F75704"/>
    <w:rsid w:val="00F758C6"/>
    <w:rsid w:val="00F7591F"/>
    <w:rsid w:val="00F7596F"/>
    <w:rsid w:val="00F75A94"/>
    <w:rsid w:val="00F76090"/>
    <w:rsid w:val="00F760E8"/>
    <w:rsid w:val="00F76101"/>
    <w:rsid w:val="00F7631B"/>
    <w:rsid w:val="00F768E1"/>
    <w:rsid w:val="00F7703B"/>
    <w:rsid w:val="00F775F3"/>
    <w:rsid w:val="00F779F5"/>
    <w:rsid w:val="00F77CA1"/>
    <w:rsid w:val="00F77F2D"/>
    <w:rsid w:val="00F77F54"/>
    <w:rsid w:val="00F77F88"/>
    <w:rsid w:val="00F80322"/>
    <w:rsid w:val="00F80600"/>
    <w:rsid w:val="00F806BC"/>
    <w:rsid w:val="00F80AE9"/>
    <w:rsid w:val="00F80B3C"/>
    <w:rsid w:val="00F80BC6"/>
    <w:rsid w:val="00F812AE"/>
    <w:rsid w:val="00F8130F"/>
    <w:rsid w:val="00F81377"/>
    <w:rsid w:val="00F81986"/>
    <w:rsid w:val="00F81AAF"/>
    <w:rsid w:val="00F81EE6"/>
    <w:rsid w:val="00F82731"/>
    <w:rsid w:val="00F827B2"/>
    <w:rsid w:val="00F827EC"/>
    <w:rsid w:val="00F82AE5"/>
    <w:rsid w:val="00F82D35"/>
    <w:rsid w:val="00F82E78"/>
    <w:rsid w:val="00F82FD1"/>
    <w:rsid w:val="00F83114"/>
    <w:rsid w:val="00F83308"/>
    <w:rsid w:val="00F83323"/>
    <w:rsid w:val="00F83456"/>
    <w:rsid w:val="00F834E1"/>
    <w:rsid w:val="00F837DC"/>
    <w:rsid w:val="00F83949"/>
    <w:rsid w:val="00F84587"/>
    <w:rsid w:val="00F84944"/>
    <w:rsid w:val="00F84A6E"/>
    <w:rsid w:val="00F84DF6"/>
    <w:rsid w:val="00F85054"/>
    <w:rsid w:val="00F85180"/>
    <w:rsid w:val="00F85252"/>
    <w:rsid w:val="00F855C6"/>
    <w:rsid w:val="00F85625"/>
    <w:rsid w:val="00F856DA"/>
    <w:rsid w:val="00F85710"/>
    <w:rsid w:val="00F857DC"/>
    <w:rsid w:val="00F85870"/>
    <w:rsid w:val="00F85942"/>
    <w:rsid w:val="00F85ACC"/>
    <w:rsid w:val="00F85E30"/>
    <w:rsid w:val="00F85E3A"/>
    <w:rsid w:val="00F85E63"/>
    <w:rsid w:val="00F86221"/>
    <w:rsid w:val="00F8629B"/>
    <w:rsid w:val="00F86641"/>
    <w:rsid w:val="00F8685F"/>
    <w:rsid w:val="00F86BEB"/>
    <w:rsid w:val="00F87566"/>
    <w:rsid w:val="00F87619"/>
    <w:rsid w:val="00F8767B"/>
    <w:rsid w:val="00F87811"/>
    <w:rsid w:val="00F87894"/>
    <w:rsid w:val="00F879A2"/>
    <w:rsid w:val="00F87D35"/>
    <w:rsid w:val="00F9003E"/>
    <w:rsid w:val="00F90286"/>
    <w:rsid w:val="00F90360"/>
    <w:rsid w:val="00F904D0"/>
    <w:rsid w:val="00F90D8B"/>
    <w:rsid w:val="00F90E88"/>
    <w:rsid w:val="00F925F6"/>
    <w:rsid w:val="00F936A3"/>
    <w:rsid w:val="00F93754"/>
    <w:rsid w:val="00F937B8"/>
    <w:rsid w:val="00F93930"/>
    <w:rsid w:val="00F9396A"/>
    <w:rsid w:val="00F939BF"/>
    <w:rsid w:val="00F9407D"/>
    <w:rsid w:val="00F94A72"/>
    <w:rsid w:val="00F94D60"/>
    <w:rsid w:val="00F9536A"/>
    <w:rsid w:val="00F959B7"/>
    <w:rsid w:val="00F959D8"/>
    <w:rsid w:val="00F95A0D"/>
    <w:rsid w:val="00F95A42"/>
    <w:rsid w:val="00F95A70"/>
    <w:rsid w:val="00F95BF1"/>
    <w:rsid w:val="00F95DC7"/>
    <w:rsid w:val="00F95EDF"/>
    <w:rsid w:val="00F9635F"/>
    <w:rsid w:val="00F97020"/>
    <w:rsid w:val="00F97554"/>
    <w:rsid w:val="00F97873"/>
    <w:rsid w:val="00F97900"/>
    <w:rsid w:val="00F97D73"/>
    <w:rsid w:val="00F97E11"/>
    <w:rsid w:val="00F97F43"/>
    <w:rsid w:val="00FA0116"/>
    <w:rsid w:val="00FA0766"/>
    <w:rsid w:val="00FA0BEC"/>
    <w:rsid w:val="00FA0C80"/>
    <w:rsid w:val="00FA0F57"/>
    <w:rsid w:val="00FA186F"/>
    <w:rsid w:val="00FA1E58"/>
    <w:rsid w:val="00FA2454"/>
    <w:rsid w:val="00FA2479"/>
    <w:rsid w:val="00FA253B"/>
    <w:rsid w:val="00FA2B1A"/>
    <w:rsid w:val="00FA2CC2"/>
    <w:rsid w:val="00FA2DFC"/>
    <w:rsid w:val="00FA2F2C"/>
    <w:rsid w:val="00FA302F"/>
    <w:rsid w:val="00FA3442"/>
    <w:rsid w:val="00FA36F8"/>
    <w:rsid w:val="00FA3C95"/>
    <w:rsid w:val="00FA3ED2"/>
    <w:rsid w:val="00FA3FE2"/>
    <w:rsid w:val="00FA407F"/>
    <w:rsid w:val="00FA4388"/>
    <w:rsid w:val="00FA44CA"/>
    <w:rsid w:val="00FA4CEE"/>
    <w:rsid w:val="00FA4FC5"/>
    <w:rsid w:val="00FA533D"/>
    <w:rsid w:val="00FA53C8"/>
    <w:rsid w:val="00FA589A"/>
    <w:rsid w:val="00FA5E88"/>
    <w:rsid w:val="00FA5E8D"/>
    <w:rsid w:val="00FA5F6E"/>
    <w:rsid w:val="00FA668A"/>
    <w:rsid w:val="00FA69DF"/>
    <w:rsid w:val="00FA7182"/>
    <w:rsid w:val="00FA71E9"/>
    <w:rsid w:val="00FA77BD"/>
    <w:rsid w:val="00FA77D6"/>
    <w:rsid w:val="00FA792C"/>
    <w:rsid w:val="00FA7B8A"/>
    <w:rsid w:val="00FB020C"/>
    <w:rsid w:val="00FB0251"/>
    <w:rsid w:val="00FB042A"/>
    <w:rsid w:val="00FB0B75"/>
    <w:rsid w:val="00FB0B7C"/>
    <w:rsid w:val="00FB1044"/>
    <w:rsid w:val="00FB107C"/>
    <w:rsid w:val="00FB141D"/>
    <w:rsid w:val="00FB1566"/>
    <w:rsid w:val="00FB1C21"/>
    <w:rsid w:val="00FB1F9F"/>
    <w:rsid w:val="00FB21CB"/>
    <w:rsid w:val="00FB231E"/>
    <w:rsid w:val="00FB2321"/>
    <w:rsid w:val="00FB242E"/>
    <w:rsid w:val="00FB278E"/>
    <w:rsid w:val="00FB2CC2"/>
    <w:rsid w:val="00FB2D76"/>
    <w:rsid w:val="00FB305E"/>
    <w:rsid w:val="00FB35D5"/>
    <w:rsid w:val="00FB405D"/>
    <w:rsid w:val="00FB4271"/>
    <w:rsid w:val="00FB4F38"/>
    <w:rsid w:val="00FB5203"/>
    <w:rsid w:val="00FB5531"/>
    <w:rsid w:val="00FB5BFE"/>
    <w:rsid w:val="00FB6024"/>
    <w:rsid w:val="00FB66FB"/>
    <w:rsid w:val="00FB6918"/>
    <w:rsid w:val="00FB6972"/>
    <w:rsid w:val="00FB6C48"/>
    <w:rsid w:val="00FB6F0C"/>
    <w:rsid w:val="00FB71D1"/>
    <w:rsid w:val="00FB740D"/>
    <w:rsid w:val="00FB7658"/>
    <w:rsid w:val="00FB7B64"/>
    <w:rsid w:val="00FC0368"/>
    <w:rsid w:val="00FC090D"/>
    <w:rsid w:val="00FC0AC2"/>
    <w:rsid w:val="00FC0DCC"/>
    <w:rsid w:val="00FC1470"/>
    <w:rsid w:val="00FC1673"/>
    <w:rsid w:val="00FC1902"/>
    <w:rsid w:val="00FC1B98"/>
    <w:rsid w:val="00FC1D40"/>
    <w:rsid w:val="00FC1D87"/>
    <w:rsid w:val="00FC2337"/>
    <w:rsid w:val="00FC299A"/>
    <w:rsid w:val="00FC2FD0"/>
    <w:rsid w:val="00FC3162"/>
    <w:rsid w:val="00FC347B"/>
    <w:rsid w:val="00FC3533"/>
    <w:rsid w:val="00FC38FC"/>
    <w:rsid w:val="00FC3C59"/>
    <w:rsid w:val="00FC3D41"/>
    <w:rsid w:val="00FC4451"/>
    <w:rsid w:val="00FC4803"/>
    <w:rsid w:val="00FC4886"/>
    <w:rsid w:val="00FC5143"/>
    <w:rsid w:val="00FC51D3"/>
    <w:rsid w:val="00FC53AC"/>
    <w:rsid w:val="00FC57A8"/>
    <w:rsid w:val="00FC590E"/>
    <w:rsid w:val="00FC5A7E"/>
    <w:rsid w:val="00FC5B0D"/>
    <w:rsid w:val="00FC5E67"/>
    <w:rsid w:val="00FC5FEC"/>
    <w:rsid w:val="00FC61E1"/>
    <w:rsid w:val="00FC6250"/>
    <w:rsid w:val="00FC6626"/>
    <w:rsid w:val="00FC68B0"/>
    <w:rsid w:val="00FC69C1"/>
    <w:rsid w:val="00FC6A8D"/>
    <w:rsid w:val="00FC6ECB"/>
    <w:rsid w:val="00FC7507"/>
    <w:rsid w:val="00FC76DF"/>
    <w:rsid w:val="00FC78C7"/>
    <w:rsid w:val="00FD0316"/>
    <w:rsid w:val="00FD0877"/>
    <w:rsid w:val="00FD0A26"/>
    <w:rsid w:val="00FD0A79"/>
    <w:rsid w:val="00FD0F2D"/>
    <w:rsid w:val="00FD11D2"/>
    <w:rsid w:val="00FD13EC"/>
    <w:rsid w:val="00FD151D"/>
    <w:rsid w:val="00FD1682"/>
    <w:rsid w:val="00FD1751"/>
    <w:rsid w:val="00FD216B"/>
    <w:rsid w:val="00FD29F4"/>
    <w:rsid w:val="00FD2B33"/>
    <w:rsid w:val="00FD2F6B"/>
    <w:rsid w:val="00FD2FA0"/>
    <w:rsid w:val="00FD3034"/>
    <w:rsid w:val="00FD3275"/>
    <w:rsid w:val="00FD3355"/>
    <w:rsid w:val="00FD3561"/>
    <w:rsid w:val="00FD35D2"/>
    <w:rsid w:val="00FD3AAC"/>
    <w:rsid w:val="00FD3D8E"/>
    <w:rsid w:val="00FD3F01"/>
    <w:rsid w:val="00FD41A9"/>
    <w:rsid w:val="00FD42BF"/>
    <w:rsid w:val="00FD4739"/>
    <w:rsid w:val="00FD4BBE"/>
    <w:rsid w:val="00FD4CA0"/>
    <w:rsid w:val="00FD4E4B"/>
    <w:rsid w:val="00FD520D"/>
    <w:rsid w:val="00FD5327"/>
    <w:rsid w:val="00FD5332"/>
    <w:rsid w:val="00FD53E3"/>
    <w:rsid w:val="00FD5711"/>
    <w:rsid w:val="00FD59DD"/>
    <w:rsid w:val="00FD5B94"/>
    <w:rsid w:val="00FD5BA8"/>
    <w:rsid w:val="00FD65AE"/>
    <w:rsid w:val="00FD6957"/>
    <w:rsid w:val="00FD6B16"/>
    <w:rsid w:val="00FD71E4"/>
    <w:rsid w:val="00FD7728"/>
    <w:rsid w:val="00FD7BD2"/>
    <w:rsid w:val="00FE0236"/>
    <w:rsid w:val="00FE0500"/>
    <w:rsid w:val="00FE086D"/>
    <w:rsid w:val="00FE0C31"/>
    <w:rsid w:val="00FE0C7B"/>
    <w:rsid w:val="00FE0FC6"/>
    <w:rsid w:val="00FE1231"/>
    <w:rsid w:val="00FE141D"/>
    <w:rsid w:val="00FE17F4"/>
    <w:rsid w:val="00FE1949"/>
    <w:rsid w:val="00FE1A66"/>
    <w:rsid w:val="00FE1B7D"/>
    <w:rsid w:val="00FE2393"/>
    <w:rsid w:val="00FE2402"/>
    <w:rsid w:val="00FE275C"/>
    <w:rsid w:val="00FE2A92"/>
    <w:rsid w:val="00FE2E59"/>
    <w:rsid w:val="00FE2F34"/>
    <w:rsid w:val="00FE30F2"/>
    <w:rsid w:val="00FE30F9"/>
    <w:rsid w:val="00FE31C1"/>
    <w:rsid w:val="00FE3537"/>
    <w:rsid w:val="00FE362F"/>
    <w:rsid w:val="00FE364E"/>
    <w:rsid w:val="00FE3D6C"/>
    <w:rsid w:val="00FE3E28"/>
    <w:rsid w:val="00FE3E90"/>
    <w:rsid w:val="00FE428A"/>
    <w:rsid w:val="00FE43B4"/>
    <w:rsid w:val="00FE4424"/>
    <w:rsid w:val="00FE45D1"/>
    <w:rsid w:val="00FE48C2"/>
    <w:rsid w:val="00FE4E22"/>
    <w:rsid w:val="00FE4F95"/>
    <w:rsid w:val="00FE52DD"/>
    <w:rsid w:val="00FE54C4"/>
    <w:rsid w:val="00FE5609"/>
    <w:rsid w:val="00FE579C"/>
    <w:rsid w:val="00FE5ABA"/>
    <w:rsid w:val="00FE6062"/>
    <w:rsid w:val="00FE61A2"/>
    <w:rsid w:val="00FE633E"/>
    <w:rsid w:val="00FE6509"/>
    <w:rsid w:val="00FE663A"/>
    <w:rsid w:val="00FE666B"/>
    <w:rsid w:val="00FE6A5C"/>
    <w:rsid w:val="00FE6C7A"/>
    <w:rsid w:val="00FE7110"/>
    <w:rsid w:val="00FE77D7"/>
    <w:rsid w:val="00FE7A55"/>
    <w:rsid w:val="00FE7B65"/>
    <w:rsid w:val="00FE7BDA"/>
    <w:rsid w:val="00FE7BF4"/>
    <w:rsid w:val="00FE7D13"/>
    <w:rsid w:val="00FF0002"/>
    <w:rsid w:val="00FF1CD5"/>
    <w:rsid w:val="00FF1D13"/>
    <w:rsid w:val="00FF2018"/>
    <w:rsid w:val="00FF233A"/>
    <w:rsid w:val="00FF2395"/>
    <w:rsid w:val="00FF250D"/>
    <w:rsid w:val="00FF280D"/>
    <w:rsid w:val="00FF31D7"/>
    <w:rsid w:val="00FF3B09"/>
    <w:rsid w:val="00FF3BB5"/>
    <w:rsid w:val="00FF3CFE"/>
    <w:rsid w:val="00FF3F1A"/>
    <w:rsid w:val="00FF4466"/>
    <w:rsid w:val="00FF487D"/>
    <w:rsid w:val="00FF4A43"/>
    <w:rsid w:val="00FF4B57"/>
    <w:rsid w:val="00FF546D"/>
    <w:rsid w:val="00FF564E"/>
    <w:rsid w:val="00FF584E"/>
    <w:rsid w:val="00FF5BA6"/>
    <w:rsid w:val="00FF5C11"/>
    <w:rsid w:val="00FF6876"/>
    <w:rsid w:val="00FF700C"/>
    <w:rsid w:val="00FF777F"/>
    <w:rsid w:val="00FF78FB"/>
    <w:rsid w:val="00FF7AEA"/>
    <w:rsid w:val="00FF7BE7"/>
    <w:rsid w:val="00FF7F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0F464"/>
  <w15:docId w15:val="{A52BD666-C07A-48C7-A97F-9004FDAF6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aliases w:val="Tekstas"/>
    <w:rsid w:val="00713D30"/>
    <w:pPr>
      <w:ind w:firstLine="567"/>
      <w:jc w:val="both"/>
    </w:pPr>
    <w:rPr>
      <w:rFonts w:ascii="Arial" w:hAnsi="Arial"/>
      <w:color w:val="000000" w:themeColor="text1"/>
    </w:rPr>
  </w:style>
  <w:style w:type="paragraph" w:styleId="Antrat1">
    <w:name w:val="heading 1"/>
    <w:basedOn w:val="prastasis"/>
    <w:next w:val="prastasis"/>
    <w:link w:val="Antrat1Diagrama"/>
    <w:uiPriority w:val="9"/>
    <w:qFormat/>
    <w:rsid w:val="00CE7F18"/>
    <w:pPr>
      <w:keepNext/>
      <w:keepLines/>
      <w:spacing w:before="120" w:after="120"/>
      <w:outlineLvl w:val="0"/>
    </w:pPr>
    <w:rPr>
      <w:rFonts w:eastAsiaTheme="majorEastAsia" w:cstheme="majorBidi"/>
      <w:b/>
      <w:caps/>
      <w:color w:val="002060"/>
      <w:sz w:val="28"/>
      <w:szCs w:val="32"/>
    </w:rPr>
  </w:style>
  <w:style w:type="paragraph" w:styleId="Antrat2">
    <w:name w:val="heading 2"/>
    <w:basedOn w:val="prastasis"/>
    <w:next w:val="prastasis"/>
    <w:link w:val="Antrat2Diagrama"/>
    <w:uiPriority w:val="99"/>
    <w:unhideWhenUsed/>
    <w:qFormat/>
    <w:rsid w:val="00CE7F18"/>
    <w:pPr>
      <w:keepNext/>
      <w:keepLines/>
      <w:spacing w:before="120" w:after="120"/>
      <w:outlineLvl w:val="1"/>
    </w:pPr>
    <w:rPr>
      <w:rFonts w:eastAsiaTheme="majorEastAsia" w:cstheme="majorBidi"/>
      <w:b/>
      <w:color w:val="002060"/>
      <w:sz w:val="24"/>
      <w:szCs w:val="26"/>
    </w:rPr>
  </w:style>
  <w:style w:type="paragraph" w:styleId="Antrat3">
    <w:name w:val="heading 3"/>
    <w:basedOn w:val="prastasis"/>
    <w:next w:val="prastasis"/>
    <w:link w:val="Antrat3Diagrama"/>
    <w:uiPriority w:val="99"/>
    <w:unhideWhenUsed/>
    <w:qFormat/>
    <w:rsid w:val="00CE7F18"/>
    <w:pPr>
      <w:keepNext/>
      <w:keepLines/>
      <w:spacing w:before="120" w:after="120"/>
      <w:outlineLvl w:val="2"/>
    </w:pPr>
    <w:rPr>
      <w:rFonts w:eastAsiaTheme="majorEastAsia" w:cstheme="majorBidi"/>
      <w:b/>
      <w:color w:val="002060"/>
      <w:sz w:val="24"/>
      <w:szCs w:val="24"/>
    </w:rPr>
  </w:style>
  <w:style w:type="paragraph" w:styleId="Antrat4">
    <w:name w:val="heading 4"/>
    <w:aliases w:val="Paveikslai"/>
    <w:basedOn w:val="prastasis"/>
    <w:next w:val="prastasis"/>
    <w:link w:val="Antrat4Diagrama"/>
    <w:uiPriority w:val="9"/>
    <w:unhideWhenUsed/>
    <w:qFormat/>
    <w:rsid w:val="00E85E88"/>
    <w:pPr>
      <w:keepNext/>
      <w:keepLines/>
      <w:spacing w:before="120" w:after="120"/>
      <w:ind w:firstLine="0"/>
      <w:jc w:val="center"/>
      <w:outlineLvl w:val="3"/>
    </w:pPr>
    <w:rPr>
      <w:rFonts w:eastAsiaTheme="majorEastAsia" w:cstheme="majorBidi"/>
      <w:b/>
      <w:iCs/>
      <w:color w:val="002060"/>
    </w:rPr>
  </w:style>
  <w:style w:type="paragraph" w:styleId="Antrat5">
    <w:name w:val="heading 5"/>
    <w:aliases w:val="Lentelės"/>
    <w:basedOn w:val="prastasis"/>
    <w:next w:val="prastasis"/>
    <w:link w:val="Antrat5Diagrama"/>
    <w:uiPriority w:val="9"/>
    <w:unhideWhenUsed/>
    <w:qFormat/>
    <w:rsid w:val="005429F4"/>
    <w:pPr>
      <w:keepNext/>
      <w:keepLines/>
      <w:spacing w:before="120" w:after="120"/>
      <w:ind w:firstLine="0"/>
      <w:jc w:val="center"/>
      <w:outlineLvl w:val="4"/>
    </w:pPr>
    <w:rPr>
      <w:rFonts w:eastAsiaTheme="majorEastAsia" w:cstheme="majorBidi"/>
      <w:b/>
      <w:color w:val="002060"/>
    </w:rPr>
  </w:style>
  <w:style w:type="paragraph" w:styleId="Antrat6">
    <w:name w:val="heading 6"/>
    <w:aliases w:val="Priedai"/>
    <w:basedOn w:val="prastasis"/>
    <w:next w:val="prastasis"/>
    <w:link w:val="Antrat6Diagrama"/>
    <w:uiPriority w:val="9"/>
    <w:unhideWhenUsed/>
    <w:qFormat/>
    <w:rsid w:val="00A50EFF"/>
    <w:pPr>
      <w:keepNext/>
      <w:keepLines/>
      <w:spacing w:before="120" w:after="120"/>
      <w:jc w:val="left"/>
      <w:outlineLvl w:val="5"/>
    </w:pPr>
    <w:rPr>
      <w:rFonts w:eastAsiaTheme="majorEastAsia" w:cstheme="majorBidi"/>
      <w:b/>
      <w:color w:val="1F3763" w:themeColor="accent1" w:themeShade="7F"/>
      <w:sz w:val="24"/>
    </w:rPr>
  </w:style>
  <w:style w:type="paragraph" w:styleId="Antrat7">
    <w:name w:val="heading 7"/>
    <w:basedOn w:val="prastasis"/>
    <w:next w:val="prastasis"/>
    <w:link w:val="Antrat7Diagrama"/>
    <w:uiPriority w:val="9"/>
    <w:unhideWhenUsed/>
    <w:qFormat/>
    <w:rsid w:val="00CE7F1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E7F18"/>
    <w:rPr>
      <w:rFonts w:ascii="Arial" w:eastAsiaTheme="majorEastAsia" w:hAnsi="Arial" w:cstheme="majorBidi"/>
      <w:b/>
      <w:caps/>
      <w:color w:val="002060"/>
      <w:sz w:val="28"/>
      <w:szCs w:val="32"/>
    </w:rPr>
  </w:style>
  <w:style w:type="character" w:customStyle="1" w:styleId="Antrat2Diagrama">
    <w:name w:val="Antraštė 2 Diagrama"/>
    <w:basedOn w:val="Numatytasispastraiposriftas"/>
    <w:link w:val="Antrat2"/>
    <w:uiPriority w:val="99"/>
    <w:rsid w:val="00CE7F18"/>
    <w:rPr>
      <w:rFonts w:ascii="Arial" w:eastAsiaTheme="majorEastAsia" w:hAnsi="Arial" w:cstheme="majorBidi"/>
      <w:b/>
      <w:color w:val="002060"/>
      <w:sz w:val="24"/>
      <w:szCs w:val="26"/>
    </w:rPr>
  </w:style>
  <w:style w:type="character" w:styleId="Hipersaitas">
    <w:name w:val="Hyperlink"/>
    <w:basedOn w:val="Numatytasispastraiposriftas"/>
    <w:uiPriority w:val="99"/>
    <w:unhideWhenUsed/>
    <w:rsid w:val="00056A46"/>
    <w:rPr>
      <w:color w:val="0563C1" w:themeColor="hyperlink"/>
      <w:u w:val="single"/>
    </w:rPr>
  </w:style>
  <w:style w:type="character" w:customStyle="1" w:styleId="Neapdorotaspaminjimas1">
    <w:name w:val="Neapdorotas paminėjimas1"/>
    <w:basedOn w:val="Numatytasispastraiposriftas"/>
    <w:uiPriority w:val="99"/>
    <w:semiHidden/>
    <w:unhideWhenUsed/>
    <w:rsid w:val="00056A46"/>
    <w:rPr>
      <w:color w:val="605E5C"/>
      <w:shd w:val="clear" w:color="auto" w:fill="E1DFDD"/>
    </w:rPr>
  </w:style>
  <w:style w:type="character" w:customStyle="1" w:styleId="Antrat3Diagrama">
    <w:name w:val="Antraštė 3 Diagrama"/>
    <w:basedOn w:val="Numatytasispastraiposriftas"/>
    <w:link w:val="Antrat3"/>
    <w:uiPriority w:val="99"/>
    <w:rsid w:val="00CE7F18"/>
    <w:rPr>
      <w:rFonts w:ascii="Arial" w:eastAsiaTheme="majorEastAsia" w:hAnsi="Arial" w:cstheme="majorBidi"/>
      <w:b/>
      <w:color w:val="002060"/>
      <w:sz w:val="24"/>
      <w:szCs w:val="24"/>
    </w:rPr>
  </w:style>
  <w:style w:type="table" w:styleId="4tinkleliolentel-1parykinimas">
    <w:name w:val="Grid Table 4 Accent 1"/>
    <w:basedOn w:val="prastojilentel"/>
    <w:uiPriority w:val="49"/>
    <w:rsid w:val="00F3337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ntrat">
    <w:name w:val="caption"/>
    <w:aliases w:val="Char Char Char Char Char,Char Char Char Char Char Char,table.,pav.,Beschriftung-eng,Beschriftung-dt-Abbildung,Lentelės pav.,Antraštė3"/>
    <w:basedOn w:val="prastasis"/>
    <w:next w:val="prastasis"/>
    <w:link w:val="AntratDiagrama"/>
    <w:uiPriority w:val="35"/>
    <w:unhideWhenUsed/>
    <w:qFormat/>
    <w:rsid w:val="00F3337B"/>
    <w:pPr>
      <w:spacing w:before="120" w:after="0" w:line="240" w:lineRule="auto"/>
      <w:jc w:val="center"/>
    </w:pPr>
    <w:rPr>
      <w:rFonts w:ascii="Times New Roman" w:hAnsi="Times New Roman"/>
      <w:b/>
      <w:bCs/>
      <w:color w:val="3D3923"/>
      <w:szCs w:val="18"/>
    </w:rPr>
  </w:style>
  <w:style w:type="character" w:customStyle="1" w:styleId="AntratDiagrama">
    <w:name w:val="Antraštė Diagrama"/>
    <w:aliases w:val="Char Char Char Char Char Diagrama,Char Char Char Char Char Char Diagrama,table. Diagrama,pav. Diagrama,Beschriftung-eng Diagrama,Beschriftung-dt-Abbildung Diagrama,Lentelės pav. Diagrama,Antraštė3 Diagrama"/>
    <w:basedOn w:val="Numatytasispastraiposriftas"/>
    <w:link w:val="Antrat"/>
    <w:uiPriority w:val="35"/>
    <w:rsid w:val="00F3337B"/>
    <w:rPr>
      <w:rFonts w:ascii="Times New Roman" w:hAnsi="Times New Roman"/>
      <w:b/>
      <w:bCs/>
      <w:color w:val="3D3923"/>
      <w:szCs w:val="18"/>
    </w:rPr>
  </w:style>
  <w:style w:type="table" w:styleId="5tinkleliolenteltamsi-1parykinimas">
    <w:name w:val="Grid Table 5 Dark Accent 1"/>
    <w:basedOn w:val="prastojilentel"/>
    <w:uiPriority w:val="50"/>
    <w:rsid w:val="00C428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sraolentel1parykinimas">
    <w:name w:val="List Table 4 Accent 1"/>
    <w:basedOn w:val="prastojilentel"/>
    <w:uiPriority w:val="49"/>
    <w:rsid w:val="00B222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sraolentelspalvinga1parykinimas">
    <w:name w:val="List Table 6 Colorful Accent 1"/>
    <w:basedOn w:val="prastojilentel"/>
    <w:uiPriority w:val="51"/>
    <w:rsid w:val="00A05B8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entelstinklelis">
    <w:name w:val="Table Grid"/>
    <w:basedOn w:val="prastojilentel"/>
    <w:uiPriority w:val="59"/>
    <w:rsid w:val="009E1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tinkleliolentel-1parykinimas">
    <w:name w:val="Grid Table 2 Accent 1"/>
    <w:basedOn w:val="prastojilentel"/>
    <w:uiPriority w:val="47"/>
    <w:rsid w:val="004F20A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uslapioinaostekstas">
    <w:name w:val="footnote text"/>
    <w:aliases w:val="Diagrama,Footnote,Footnote Text Char Char,Fußnotentextf,Footnote Diagrama,Footnote text,Footnote Text Char Char Char,Footnote Text1,Char Char,Footnote Text2,Footnote Text11,ALTS FOOTNOTE11,ALTS FOOTNOTE2,Footnote Text Blue,fn"/>
    <w:basedOn w:val="prastasis"/>
    <w:link w:val="PuslapioinaostekstasDiagrama"/>
    <w:uiPriority w:val="99"/>
    <w:unhideWhenUsed/>
    <w:qFormat/>
    <w:rsid w:val="0025374A"/>
    <w:pPr>
      <w:spacing w:after="0" w:line="240" w:lineRule="auto"/>
    </w:pPr>
    <w:rPr>
      <w:sz w:val="20"/>
      <w:szCs w:val="20"/>
    </w:rPr>
  </w:style>
  <w:style w:type="character" w:customStyle="1" w:styleId="PuslapioinaostekstasDiagrama">
    <w:name w:val="Puslapio išnašos tekstas Diagrama"/>
    <w:aliases w:val="Diagrama Diagrama,Footnote Diagrama1,Footnote Text Char Char Diagrama,Fußnotentextf Diagrama,Footnote Diagrama Diagrama,Footnote text Diagrama,Footnote Text Char Char Char Diagrama,Footnote Text1 Diagrama,fn Diagrama"/>
    <w:basedOn w:val="Numatytasispastraiposriftas"/>
    <w:link w:val="Puslapioinaostekstas"/>
    <w:uiPriority w:val="99"/>
    <w:qFormat/>
    <w:rsid w:val="0025374A"/>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25374A"/>
    <w:rPr>
      <w:vertAlign w:val="superscript"/>
    </w:rPr>
  </w:style>
  <w:style w:type="table" w:customStyle="1" w:styleId="4sraolentel1parykinimas11">
    <w:name w:val="4 sąrašo lentelė – 1 paryškinimas11"/>
    <w:basedOn w:val="prastojilentel"/>
    <w:uiPriority w:val="49"/>
    <w:rsid w:val="00EC173D"/>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tinkleliolentelviesi-1parykinimas">
    <w:name w:val="Grid Table 1 Light Accent 1"/>
    <w:basedOn w:val="prastojilentel"/>
    <w:uiPriority w:val="46"/>
    <w:rsid w:val="00C86A3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4302D"/>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aliases w:val="Обычный (Web)"/>
    <w:basedOn w:val="prastasis"/>
    <w:link w:val="prastasiniatinklioDiagrama"/>
    <w:uiPriority w:val="99"/>
    <w:unhideWhenUsed/>
    <w:qFormat/>
    <w:rsid w:val="00D84F63"/>
    <w:pPr>
      <w:spacing w:before="100" w:beforeAutospacing="1" w:after="100" w:afterAutospacing="1" w:line="240" w:lineRule="auto"/>
    </w:pPr>
    <w:rPr>
      <w:rFonts w:ascii="Times New Roman" w:eastAsia="Times New Roman" w:hAnsi="Times New Roman" w:cs="Times New Roman"/>
      <w:szCs w:val="24"/>
      <w:lang w:eastAsia="lt-LT"/>
    </w:rPr>
  </w:style>
  <w:style w:type="character" w:styleId="Grietas">
    <w:name w:val="Strong"/>
    <w:basedOn w:val="Numatytasispastraiposriftas"/>
    <w:uiPriority w:val="22"/>
    <w:qFormat/>
    <w:rsid w:val="00D84F63"/>
    <w:rPr>
      <w:b/>
      <w:bCs/>
    </w:rPr>
  </w:style>
  <w:style w:type="table" w:styleId="1tinkleliolentelviesi5parykinimas">
    <w:name w:val="Grid Table 1 Light Accent 5"/>
    <w:basedOn w:val="prastojilentel"/>
    <w:uiPriority w:val="46"/>
    <w:rsid w:val="00386B1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
    <w:name w:val="text"/>
    <w:basedOn w:val="prastasis"/>
    <w:uiPriority w:val="99"/>
    <w:rsid w:val="00B70DDF"/>
    <w:pPr>
      <w:spacing w:before="100" w:beforeAutospacing="1" w:after="100" w:afterAutospacing="1" w:line="240" w:lineRule="auto"/>
    </w:pPr>
    <w:rPr>
      <w:rFonts w:ascii="Times New Roman" w:eastAsia="Times New Roman" w:hAnsi="Times New Roman" w:cs="Times New Roman"/>
      <w:szCs w:val="24"/>
      <w:lang w:eastAsia="lt-LT"/>
    </w:rPr>
  </w:style>
  <w:style w:type="paragraph" w:styleId="Sraopastraipa">
    <w:name w:val="List Paragraph"/>
    <w:aliases w:val="List Paragraph Red,lenteles,Buletai,List Paragr1,List Paragraph1,ERP-List Paragraph,List Paragraph11,Bullet EY,Sąrašo pastraipa1,Table of contents numbered,List Paragraph21,Numbering,List Paragraph2,Paragraph,lp1,Use Case List Paragraph"/>
    <w:basedOn w:val="prastasis"/>
    <w:link w:val="SraopastraipaDiagrama"/>
    <w:uiPriority w:val="34"/>
    <w:qFormat/>
    <w:rsid w:val="00870D27"/>
    <w:pPr>
      <w:spacing w:before="120" w:after="120" w:line="240" w:lineRule="auto"/>
      <w:ind w:left="720" w:firstLine="284"/>
      <w:contextualSpacing/>
    </w:pPr>
    <w:rPr>
      <w:rFonts w:ascii="Calibri" w:eastAsia="SimSun" w:hAnsi="Calibri"/>
    </w:rPr>
  </w:style>
  <w:style w:type="character" w:customStyle="1" w:styleId="SraopastraipaDiagrama">
    <w:name w:val="Sąrašo pastraipa Diagrama"/>
    <w:aliases w:val="List Paragraph Red Diagrama,lenteles Diagrama,Buletai Diagrama,List Paragr1 Diagrama,List Paragraph1 Diagrama,ERP-List Paragraph Diagrama,List Paragraph11 Diagrama,Bullet EY Diagrama,Sąrašo pastraipa1 Diagrama,lp1 Diagrama"/>
    <w:link w:val="Sraopastraipa"/>
    <w:uiPriority w:val="99"/>
    <w:qFormat/>
    <w:locked/>
    <w:rsid w:val="00870D27"/>
    <w:rPr>
      <w:rFonts w:ascii="Calibri" w:eastAsia="SimSun" w:hAnsi="Calibri"/>
    </w:rPr>
  </w:style>
  <w:style w:type="paragraph" w:styleId="Turinys1">
    <w:name w:val="toc 1"/>
    <w:basedOn w:val="prastasis"/>
    <w:next w:val="prastasis"/>
    <w:autoRedefine/>
    <w:uiPriority w:val="39"/>
    <w:unhideWhenUsed/>
    <w:rsid w:val="00411E92"/>
    <w:pPr>
      <w:tabs>
        <w:tab w:val="right" w:leader="underscore" w:pos="10490"/>
      </w:tabs>
      <w:spacing w:after="0" w:line="276" w:lineRule="auto"/>
      <w:ind w:firstLine="0"/>
    </w:pPr>
    <w:rPr>
      <w:rFonts w:cs="Arial"/>
      <w:b/>
      <w:bCs/>
      <w:noProof/>
      <w:color w:val="002060"/>
    </w:rPr>
  </w:style>
  <w:style w:type="paragraph" w:styleId="Turinys2">
    <w:name w:val="toc 2"/>
    <w:basedOn w:val="prastasis"/>
    <w:next w:val="prastasis"/>
    <w:autoRedefine/>
    <w:uiPriority w:val="39"/>
    <w:unhideWhenUsed/>
    <w:rsid w:val="00207810"/>
    <w:pPr>
      <w:tabs>
        <w:tab w:val="right" w:leader="underscore" w:pos="10480"/>
      </w:tabs>
      <w:spacing w:after="0" w:line="276" w:lineRule="auto"/>
      <w:ind w:firstLine="284"/>
    </w:pPr>
    <w:rPr>
      <w:rFonts w:eastAsiaTheme="majorEastAsia" w:cs="Arial"/>
      <w:noProof/>
    </w:rPr>
  </w:style>
  <w:style w:type="paragraph" w:styleId="Turinys3">
    <w:name w:val="toc 3"/>
    <w:basedOn w:val="prastasis"/>
    <w:next w:val="prastasis"/>
    <w:autoRedefine/>
    <w:uiPriority w:val="39"/>
    <w:unhideWhenUsed/>
    <w:rsid w:val="00FE48C2"/>
    <w:pPr>
      <w:tabs>
        <w:tab w:val="right" w:leader="underscore" w:pos="9962"/>
      </w:tabs>
      <w:spacing w:after="100"/>
      <w:ind w:firstLine="284"/>
    </w:pPr>
    <w:rPr>
      <w:rFonts w:eastAsia="Calibri" w:cstheme="majorBidi"/>
      <w:b/>
      <w:bCs/>
      <w:noProof/>
      <w:color w:val="002060"/>
      <w:lang w:eastAsia="lt-LT"/>
    </w:rPr>
  </w:style>
  <w:style w:type="character" w:customStyle="1" w:styleId="jlqj4b">
    <w:name w:val="jlqj4b"/>
    <w:basedOn w:val="Numatytasispastraiposriftas"/>
    <w:rsid w:val="00C82BFB"/>
  </w:style>
  <w:style w:type="character" w:customStyle="1" w:styleId="viiyi">
    <w:name w:val="viiyi"/>
    <w:basedOn w:val="Numatytasispastraiposriftas"/>
    <w:rsid w:val="00157145"/>
  </w:style>
  <w:style w:type="paragraph" w:styleId="Antrats">
    <w:name w:val="header"/>
    <w:basedOn w:val="prastasis"/>
    <w:link w:val="AntratsDiagrama"/>
    <w:uiPriority w:val="99"/>
    <w:unhideWhenUsed/>
    <w:rsid w:val="001802A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802A6"/>
  </w:style>
  <w:style w:type="paragraph" w:styleId="Porat">
    <w:name w:val="footer"/>
    <w:basedOn w:val="prastasis"/>
    <w:link w:val="PoratDiagrama"/>
    <w:uiPriority w:val="99"/>
    <w:unhideWhenUsed/>
    <w:rsid w:val="001802A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802A6"/>
  </w:style>
  <w:style w:type="character" w:customStyle="1" w:styleId="normal-h">
    <w:name w:val="normal-h"/>
    <w:basedOn w:val="Numatytasispastraiposriftas"/>
    <w:uiPriority w:val="99"/>
    <w:rsid w:val="00F83949"/>
  </w:style>
  <w:style w:type="character" w:customStyle="1" w:styleId="table-value">
    <w:name w:val="table-value"/>
    <w:basedOn w:val="Numatytasispastraiposriftas"/>
    <w:rsid w:val="00830257"/>
  </w:style>
  <w:style w:type="table" w:styleId="2tinkleliolentel">
    <w:name w:val="Grid Table 2"/>
    <w:basedOn w:val="prastojilentel"/>
    <w:uiPriority w:val="47"/>
    <w:rsid w:val="000379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370D0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tinkleliolentelspalvinga5parykinimas">
    <w:name w:val="Grid Table 7 Colorful Accent 5"/>
    <w:basedOn w:val="prastojilentel"/>
    <w:uiPriority w:val="52"/>
    <w:rsid w:val="00EE73D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Komentaronuoroda">
    <w:name w:val="annotation reference"/>
    <w:basedOn w:val="Numatytasispastraiposriftas"/>
    <w:uiPriority w:val="99"/>
    <w:semiHidden/>
    <w:unhideWhenUsed/>
    <w:rsid w:val="00207FCB"/>
    <w:rPr>
      <w:sz w:val="16"/>
      <w:szCs w:val="16"/>
    </w:rPr>
  </w:style>
  <w:style w:type="paragraph" w:styleId="Komentarotekstas">
    <w:name w:val="annotation text"/>
    <w:basedOn w:val="prastasis"/>
    <w:link w:val="KomentarotekstasDiagrama"/>
    <w:uiPriority w:val="99"/>
    <w:unhideWhenUsed/>
    <w:rsid w:val="00207F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07FCB"/>
    <w:rPr>
      <w:sz w:val="20"/>
      <w:szCs w:val="20"/>
    </w:rPr>
  </w:style>
  <w:style w:type="paragraph" w:styleId="Komentarotema">
    <w:name w:val="annotation subject"/>
    <w:basedOn w:val="Komentarotekstas"/>
    <w:next w:val="Komentarotekstas"/>
    <w:link w:val="KomentarotemaDiagrama"/>
    <w:uiPriority w:val="99"/>
    <w:semiHidden/>
    <w:unhideWhenUsed/>
    <w:rsid w:val="00207FCB"/>
    <w:rPr>
      <w:b/>
      <w:bCs/>
    </w:rPr>
  </w:style>
  <w:style w:type="character" w:customStyle="1" w:styleId="KomentarotemaDiagrama">
    <w:name w:val="Komentaro tema Diagrama"/>
    <w:basedOn w:val="KomentarotekstasDiagrama"/>
    <w:link w:val="Komentarotema"/>
    <w:uiPriority w:val="99"/>
    <w:semiHidden/>
    <w:rsid w:val="00207FCB"/>
    <w:rPr>
      <w:b/>
      <w:bCs/>
      <w:sz w:val="20"/>
      <w:szCs w:val="20"/>
    </w:rPr>
  </w:style>
  <w:style w:type="character" w:customStyle="1" w:styleId="Antrat4Diagrama">
    <w:name w:val="Antraštė 4 Diagrama"/>
    <w:aliases w:val="Paveikslai Diagrama"/>
    <w:basedOn w:val="Numatytasispastraiposriftas"/>
    <w:link w:val="Antrat4"/>
    <w:uiPriority w:val="9"/>
    <w:rsid w:val="00E85E88"/>
    <w:rPr>
      <w:rFonts w:ascii="Arial" w:eastAsiaTheme="majorEastAsia" w:hAnsi="Arial" w:cstheme="majorBidi"/>
      <w:b/>
      <w:iCs/>
      <w:color w:val="002060"/>
    </w:rPr>
  </w:style>
  <w:style w:type="character" w:customStyle="1" w:styleId="Antrat5Diagrama">
    <w:name w:val="Antraštė 5 Diagrama"/>
    <w:aliases w:val="Lentelės Diagrama"/>
    <w:basedOn w:val="Numatytasispastraiposriftas"/>
    <w:link w:val="Antrat5"/>
    <w:uiPriority w:val="9"/>
    <w:rsid w:val="005429F4"/>
    <w:rPr>
      <w:rFonts w:ascii="Arial" w:eastAsiaTheme="majorEastAsia" w:hAnsi="Arial" w:cstheme="majorBidi"/>
      <w:b/>
      <w:color w:val="002060"/>
    </w:rPr>
  </w:style>
  <w:style w:type="paragraph" w:styleId="Betarp">
    <w:name w:val="No Spacing"/>
    <w:link w:val="BetarpDiagrama"/>
    <w:uiPriority w:val="1"/>
    <w:qFormat/>
    <w:rsid w:val="00E2090F"/>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E2090F"/>
    <w:rPr>
      <w:rFonts w:eastAsiaTheme="minorEastAsia"/>
      <w:lang w:val="en-US"/>
    </w:rPr>
  </w:style>
  <w:style w:type="table" w:styleId="2tinkleliolentel5parykinimas">
    <w:name w:val="Grid Table 2 Accent 5"/>
    <w:basedOn w:val="prastojilentel"/>
    <w:uiPriority w:val="47"/>
    <w:rsid w:val="00C007E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5parykinimas">
    <w:name w:val="Grid Table 4 Accent 5"/>
    <w:basedOn w:val="prastojilentel"/>
    <w:uiPriority w:val="49"/>
    <w:rsid w:val="00B151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tinkleliolentel5parykinimas">
    <w:name w:val="Grid Table 3 Accent 5"/>
    <w:basedOn w:val="prastojilentel"/>
    <w:uiPriority w:val="48"/>
    <w:rsid w:val="005A0DC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Turinioantrat">
    <w:name w:val="TOC Heading"/>
    <w:basedOn w:val="Antrat1"/>
    <w:next w:val="prastasis"/>
    <w:uiPriority w:val="39"/>
    <w:unhideWhenUsed/>
    <w:qFormat/>
    <w:rsid w:val="00B5721F"/>
    <w:pPr>
      <w:outlineLvl w:val="9"/>
    </w:pPr>
    <w:rPr>
      <w:b w:val="0"/>
      <w:color w:val="2F5496" w:themeColor="accent1" w:themeShade="BF"/>
      <w:lang w:val="en-US"/>
    </w:rPr>
  </w:style>
  <w:style w:type="paragraph" w:styleId="Turinys8">
    <w:name w:val="toc 8"/>
    <w:basedOn w:val="prastasis"/>
    <w:next w:val="prastasis"/>
    <w:autoRedefine/>
    <w:uiPriority w:val="39"/>
    <w:semiHidden/>
    <w:unhideWhenUsed/>
    <w:rsid w:val="003E1798"/>
    <w:pPr>
      <w:spacing w:after="100"/>
      <w:ind w:left="1540"/>
    </w:pPr>
  </w:style>
  <w:style w:type="character" w:styleId="Puslapionumeris">
    <w:name w:val="page number"/>
    <w:basedOn w:val="Numatytasispastraiposriftas"/>
    <w:uiPriority w:val="99"/>
    <w:semiHidden/>
    <w:unhideWhenUsed/>
    <w:rsid w:val="00861570"/>
  </w:style>
  <w:style w:type="table" w:customStyle="1" w:styleId="TableGrid3">
    <w:name w:val="Table Grid3"/>
    <w:basedOn w:val="prastojilentel"/>
    <w:next w:val="Lentelstinklelis"/>
    <w:uiPriority w:val="39"/>
    <w:rsid w:val="0086157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sraolentel1parykinimas">
    <w:name w:val="List Table 3 Accent 1"/>
    <w:basedOn w:val="prastojilentel"/>
    <w:uiPriority w:val="48"/>
    <w:rsid w:val="00861570"/>
    <w:pPr>
      <w:spacing w:after="0" w:line="240" w:lineRule="auto"/>
    </w:pPr>
    <w:rPr>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ntrat6Diagrama">
    <w:name w:val="Antraštė 6 Diagrama"/>
    <w:aliases w:val="Priedai Diagrama"/>
    <w:basedOn w:val="Numatytasispastraiposriftas"/>
    <w:link w:val="Antrat6"/>
    <w:uiPriority w:val="9"/>
    <w:rsid w:val="00A50EFF"/>
    <w:rPr>
      <w:rFonts w:ascii="Arial" w:eastAsiaTheme="majorEastAsia" w:hAnsi="Arial" w:cstheme="majorBidi"/>
      <w:b/>
      <w:color w:val="1F3763" w:themeColor="accent1" w:themeShade="7F"/>
      <w:sz w:val="24"/>
    </w:rPr>
  </w:style>
  <w:style w:type="character" w:customStyle="1" w:styleId="TekstasDiagrama">
    <w:name w:val="Tekstas Diagrama"/>
    <w:basedOn w:val="Numatytasispastraiposriftas"/>
    <w:rsid w:val="00210F95"/>
    <w:rPr>
      <w:rFonts w:ascii="Arial" w:hAnsi="Arial"/>
      <w:szCs w:val="20"/>
    </w:rPr>
  </w:style>
  <w:style w:type="table" w:styleId="3sraolentel3parykinimas">
    <w:name w:val="List Table 3 Accent 3"/>
    <w:aliases w:val="IP lentele"/>
    <w:basedOn w:val="prastojilentel"/>
    <w:uiPriority w:val="48"/>
    <w:rsid w:val="00E5323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5tinkleliolenteltamsi3parykinimas">
    <w:name w:val="Grid Table 5 Dark Accent 3"/>
    <w:basedOn w:val="prastojilentel"/>
    <w:uiPriority w:val="50"/>
    <w:rsid w:val="00436C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4tinkleliolentel3parykinimas">
    <w:name w:val="Grid Table 4 Accent 3"/>
    <w:basedOn w:val="prastojilentel"/>
    <w:uiPriority w:val="49"/>
    <w:rsid w:val="00436C8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rkedcontent">
    <w:name w:val="markedcontent"/>
    <w:basedOn w:val="Numatytasispastraiposriftas"/>
    <w:rsid w:val="00CC75D6"/>
  </w:style>
  <w:style w:type="paragraph" w:customStyle="1" w:styleId="Style3">
    <w:name w:val="Style3"/>
    <w:basedOn w:val="Antrat2"/>
    <w:link w:val="Style3Char"/>
    <w:qFormat/>
    <w:rsid w:val="00860B39"/>
    <w:rPr>
      <w:color w:val="1F3864" w:themeColor="accent1" w:themeShade="80"/>
    </w:rPr>
  </w:style>
  <w:style w:type="character" w:customStyle="1" w:styleId="Style3Char">
    <w:name w:val="Style3 Char"/>
    <w:basedOn w:val="Antrat2Diagrama"/>
    <w:link w:val="Style3"/>
    <w:rsid w:val="00860B39"/>
    <w:rPr>
      <w:rFonts w:ascii="Arial" w:eastAsiaTheme="majorEastAsia" w:hAnsi="Arial" w:cstheme="majorBidi"/>
      <w:b/>
      <w:color w:val="1F3864" w:themeColor="accent1" w:themeShade="80"/>
      <w:sz w:val="24"/>
      <w:szCs w:val="26"/>
    </w:rPr>
  </w:style>
  <w:style w:type="paragraph" w:customStyle="1" w:styleId="Pagrindinis">
    <w:name w:val="Pagrindinis"/>
    <w:basedOn w:val="prastasis"/>
    <w:link w:val="PagrindinisDiagrama"/>
    <w:qFormat/>
    <w:rsid w:val="00860B39"/>
    <w:pPr>
      <w:spacing w:before="120" w:after="120" w:line="276" w:lineRule="auto"/>
    </w:pPr>
    <w:rPr>
      <w:rFonts w:cs="Times New Roman"/>
      <w:bCs/>
    </w:rPr>
  </w:style>
  <w:style w:type="character" w:customStyle="1" w:styleId="PagrindinisDiagrama">
    <w:name w:val="Pagrindinis Diagrama"/>
    <w:basedOn w:val="Numatytasispastraiposriftas"/>
    <w:link w:val="Pagrindinis"/>
    <w:rsid w:val="00860B39"/>
    <w:rPr>
      <w:rFonts w:ascii="Arial" w:hAnsi="Arial" w:cs="Times New Roman"/>
      <w:bCs/>
    </w:rPr>
  </w:style>
  <w:style w:type="character" w:customStyle="1" w:styleId="apple-converted-space">
    <w:name w:val="apple-converted-space"/>
    <w:basedOn w:val="Numatytasispastraiposriftas"/>
    <w:rsid w:val="00860B39"/>
  </w:style>
  <w:style w:type="character" w:styleId="Emfaz">
    <w:name w:val="Emphasis"/>
    <w:basedOn w:val="Numatytasispastraiposriftas"/>
    <w:uiPriority w:val="20"/>
    <w:qFormat/>
    <w:rsid w:val="00860B39"/>
    <w:rPr>
      <w:i/>
      <w:iCs/>
    </w:rPr>
  </w:style>
  <w:style w:type="table" w:customStyle="1" w:styleId="LightList-Accent15">
    <w:name w:val="Light List - Accent 15"/>
    <w:basedOn w:val="prastojilentel"/>
    <w:uiPriority w:val="61"/>
    <w:rsid w:val="00860B3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3tinkleliolentel3parykinimas">
    <w:name w:val="Grid Table 3 Accent 3"/>
    <w:basedOn w:val="prastojilentel"/>
    <w:uiPriority w:val="48"/>
    <w:rsid w:val="0088087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Paveiksllis">
    <w:name w:val="Paveikslėlis"/>
    <w:basedOn w:val="prastasis"/>
    <w:link w:val="PaveiksllisDiagrama"/>
    <w:qFormat/>
    <w:rsid w:val="00694973"/>
    <w:pPr>
      <w:spacing w:before="120" w:after="0" w:line="240" w:lineRule="auto"/>
      <w:ind w:firstLine="0"/>
      <w:jc w:val="center"/>
    </w:pPr>
    <w:rPr>
      <w:rFonts w:cs="Arial"/>
      <w:b/>
    </w:rPr>
  </w:style>
  <w:style w:type="character" w:customStyle="1" w:styleId="PaveiksllisDiagrama">
    <w:name w:val="Paveikslėlis Diagrama"/>
    <w:basedOn w:val="Numatytasispastraiposriftas"/>
    <w:link w:val="Paveiksllis"/>
    <w:rsid w:val="00694973"/>
    <w:rPr>
      <w:rFonts w:ascii="Arial" w:hAnsi="Arial" w:cs="Arial"/>
      <w:b/>
    </w:rPr>
  </w:style>
  <w:style w:type="table" w:customStyle="1" w:styleId="Lentelstinklelis1">
    <w:name w:val="Lentelės tinklelis1"/>
    <w:basedOn w:val="prastojilentel"/>
    <w:next w:val="Lentelstinklelis"/>
    <w:uiPriority w:val="59"/>
    <w:rsid w:val="00F3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binding">
    <w:name w:val="ng-binding"/>
    <w:basedOn w:val="prastasis"/>
    <w:uiPriority w:val="99"/>
    <w:rsid w:val="00F31888"/>
    <w:pPr>
      <w:spacing w:before="100" w:beforeAutospacing="1" w:after="100" w:afterAutospacing="1" w:line="240" w:lineRule="auto"/>
      <w:ind w:firstLine="0"/>
      <w:jc w:val="left"/>
    </w:pPr>
    <w:rPr>
      <w:rFonts w:ascii="Times New Roman" w:eastAsia="Times New Roman" w:hAnsi="Times New Roman" w:cs="Times New Roman"/>
      <w:sz w:val="24"/>
      <w:szCs w:val="24"/>
      <w:lang w:eastAsia="lt-LT"/>
    </w:rPr>
  </w:style>
  <w:style w:type="table" w:customStyle="1" w:styleId="Lentelstinklelis2">
    <w:name w:val="Lentelės tinklelis2"/>
    <w:basedOn w:val="prastojilentel"/>
    <w:next w:val="Lentelstinklelis"/>
    <w:uiPriority w:val="39"/>
    <w:rsid w:val="00F318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prastojilentel"/>
    <w:uiPriority w:val="61"/>
    <w:rsid w:val="00F3188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tinkleliolentelviesi">
    <w:name w:val="Grid Table 1 Light"/>
    <w:basedOn w:val="prastojilentel"/>
    <w:uiPriority w:val="46"/>
    <w:rsid w:val="00F3188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tinkleliolentel1">
    <w:name w:val="2 tinklelio lentelė1"/>
    <w:basedOn w:val="prastojilentel"/>
    <w:next w:val="2tinkleliolentel"/>
    <w:uiPriority w:val="47"/>
    <w:rsid w:val="00F31888"/>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3parykinimas">
    <w:name w:val="Grid Table 2 Accent 3"/>
    <w:basedOn w:val="prastojilentel"/>
    <w:uiPriority w:val="47"/>
    <w:rsid w:val="00F31888"/>
    <w:pPr>
      <w:spacing w:after="0" w:line="240" w:lineRule="auto"/>
    </w:pPr>
    <w:rPr>
      <w:sz w:val="24"/>
      <w:szCs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ntel">
    <w:name w:val="Lentelė"/>
    <w:basedOn w:val="prastasis"/>
    <w:link w:val="LentelChar"/>
    <w:qFormat/>
    <w:rsid w:val="00F31888"/>
    <w:pPr>
      <w:numPr>
        <w:ilvl w:val="2"/>
        <w:numId w:val="1"/>
      </w:numPr>
      <w:spacing w:before="120" w:after="120" w:line="276" w:lineRule="auto"/>
      <w:jc w:val="center"/>
    </w:pPr>
    <w:rPr>
      <w:rFonts w:eastAsia="Times New Roman" w:cs="Arial"/>
      <w:b/>
      <w:lang w:val="x-none"/>
    </w:rPr>
  </w:style>
  <w:style w:type="character" w:customStyle="1" w:styleId="LentelChar">
    <w:name w:val="Lentelė Char"/>
    <w:link w:val="Lentel"/>
    <w:rsid w:val="00F31888"/>
    <w:rPr>
      <w:rFonts w:ascii="Arial" w:eastAsia="Times New Roman" w:hAnsi="Arial" w:cs="Arial"/>
      <w:b/>
      <w:color w:val="000000" w:themeColor="text1"/>
      <w:lang w:val="x-none"/>
    </w:rPr>
  </w:style>
  <w:style w:type="table" w:styleId="1tinkleliolentelviesi2parykinimas">
    <w:name w:val="Grid Table 1 Light Accent 2"/>
    <w:basedOn w:val="prastojilentel"/>
    <w:uiPriority w:val="46"/>
    <w:rsid w:val="00F31888"/>
    <w:pPr>
      <w:spacing w:after="0" w:line="240" w:lineRule="auto"/>
    </w:pPr>
    <w:rPr>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Debesliotekstas">
    <w:name w:val="Balloon Text"/>
    <w:basedOn w:val="prastasis"/>
    <w:link w:val="DebesliotekstasDiagrama"/>
    <w:uiPriority w:val="99"/>
    <w:semiHidden/>
    <w:rsid w:val="00F31888"/>
    <w:pPr>
      <w:spacing w:after="0" w:line="240" w:lineRule="auto"/>
      <w:ind w:firstLine="0"/>
      <w:jc w:val="left"/>
    </w:pPr>
    <w:rPr>
      <w:rFonts w:ascii="Tahoma" w:eastAsia="Calibri" w:hAnsi="Tahoma" w:cs="Times New Roman"/>
      <w:sz w:val="16"/>
      <w:szCs w:val="16"/>
      <w:lang w:eastAsia="lt-LT"/>
    </w:rPr>
  </w:style>
  <w:style w:type="character" w:customStyle="1" w:styleId="DebesliotekstasDiagrama">
    <w:name w:val="Debesėlio tekstas Diagrama"/>
    <w:basedOn w:val="Numatytasispastraiposriftas"/>
    <w:link w:val="Debesliotekstas"/>
    <w:uiPriority w:val="99"/>
    <w:semiHidden/>
    <w:rsid w:val="00F31888"/>
    <w:rPr>
      <w:rFonts w:ascii="Tahoma" w:eastAsia="Calibri" w:hAnsi="Tahoma" w:cs="Times New Roman"/>
      <w:sz w:val="16"/>
      <w:szCs w:val="16"/>
      <w:lang w:eastAsia="lt-LT"/>
    </w:rPr>
  </w:style>
  <w:style w:type="table" w:styleId="1vidutinisspalvinimas3parykinimas">
    <w:name w:val="Medium Shading 1 Accent 3"/>
    <w:basedOn w:val="prastojilentel"/>
    <w:uiPriority w:val="63"/>
    <w:rsid w:val="00F31888"/>
    <w:pPr>
      <w:spacing w:after="0" w:line="240" w:lineRule="auto"/>
      <w:jc w:val="both"/>
    </w:pPr>
    <w:rPr>
      <w:rFonts w:ascii="Calibri" w:eastAsia="Calibri" w:hAnsi="Calibri" w:cs="Times New Roman"/>
      <w:sz w:val="20"/>
      <w:szCs w:val="20"/>
      <w:lang w:eastAsia="lt-L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character" w:customStyle="1" w:styleId="prastasiniatinklioDiagrama">
    <w:name w:val="Įprastas (žiniatinklio) Diagrama"/>
    <w:aliases w:val="Обычный (Web) Diagrama"/>
    <w:link w:val="prastasiniatinklio"/>
    <w:uiPriority w:val="99"/>
    <w:locked/>
    <w:rsid w:val="00F31888"/>
    <w:rPr>
      <w:rFonts w:ascii="Times New Roman" w:eastAsia="Times New Roman" w:hAnsi="Times New Roman" w:cs="Times New Roman"/>
      <w:szCs w:val="24"/>
      <w:lang w:eastAsia="lt-LT"/>
    </w:rPr>
  </w:style>
  <w:style w:type="table" w:customStyle="1" w:styleId="TableGrid1">
    <w:name w:val="Table Grid1"/>
    <w:uiPriority w:val="39"/>
    <w:rsid w:val="00F31888"/>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uiPriority w:val="99"/>
    <w:rsid w:val="00F31888"/>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bodytext">
    <w:name w:val="bodytext"/>
    <w:basedOn w:val="prastasis"/>
    <w:uiPriority w:val="99"/>
    <w:rsid w:val="00F31888"/>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styleId="Perirtashipersaitas">
    <w:name w:val="FollowedHyperlink"/>
    <w:basedOn w:val="Numatytasispastraiposriftas"/>
    <w:uiPriority w:val="99"/>
    <w:semiHidden/>
    <w:rsid w:val="00F31888"/>
    <w:rPr>
      <w:rFonts w:cs="Times New Roman"/>
      <w:color w:val="800080"/>
      <w:u w:val="single"/>
    </w:rPr>
  </w:style>
  <w:style w:type="table" w:customStyle="1" w:styleId="LightShading1">
    <w:name w:val="Light Shading1"/>
    <w:uiPriority w:val="99"/>
    <w:rsid w:val="00F31888"/>
    <w:pPr>
      <w:spacing w:after="0" w:line="240" w:lineRule="auto"/>
    </w:pPr>
    <w:rPr>
      <w:rFonts w:ascii="Calibri" w:eastAsia="Times New Roman" w:hAnsi="Calibri" w:cs="Times New Roman"/>
      <w:color w:val="000000"/>
      <w:sz w:val="24"/>
      <w:szCs w:val="24"/>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eksto">
    <w:name w:val="Teksto"/>
    <w:basedOn w:val="prastasis"/>
    <w:link w:val="TekstoChar"/>
    <w:rsid w:val="00F31888"/>
    <w:pPr>
      <w:spacing w:after="0" w:line="240" w:lineRule="auto"/>
      <w:ind w:firstLine="720"/>
    </w:pPr>
    <w:rPr>
      <w:rFonts w:ascii="Times New Roman" w:eastAsia="Calibri" w:hAnsi="Times New Roman" w:cs="Times New Roman"/>
      <w:sz w:val="20"/>
      <w:szCs w:val="20"/>
      <w:lang w:val="en-US" w:eastAsia="lt-LT"/>
    </w:rPr>
  </w:style>
  <w:style w:type="character" w:customStyle="1" w:styleId="TekstoChar">
    <w:name w:val="Teksto Char"/>
    <w:link w:val="Teksto"/>
    <w:locked/>
    <w:rsid w:val="00F31888"/>
    <w:rPr>
      <w:rFonts w:ascii="Times New Roman" w:eastAsia="Calibri" w:hAnsi="Times New Roman" w:cs="Times New Roman"/>
      <w:sz w:val="20"/>
      <w:szCs w:val="20"/>
      <w:lang w:val="en-US" w:eastAsia="lt-LT"/>
    </w:rPr>
  </w:style>
  <w:style w:type="table" w:styleId="viesussraas5parykinimas">
    <w:name w:val="Light List Accent 5"/>
    <w:basedOn w:val="prastojilentel"/>
    <w:uiPriority w:val="99"/>
    <w:rsid w:val="00F31888"/>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2">
    <w:name w:val="Table Grid2"/>
    <w:uiPriority w:val="39"/>
    <w:rsid w:val="00F31888"/>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F31888"/>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11">
    <w:name w:val="Medium List 1 - Accent 11"/>
    <w:uiPriority w:val="99"/>
    <w:rsid w:val="00F31888"/>
    <w:pPr>
      <w:spacing w:after="0" w:line="240" w:lineRule="auto"/>
    </w:pPr>
    <w:rPr>
      <w:rFonts w:ascii="Calibri" w:eastAsia="Times New Roman" w:hAnsi="Calibri" w:cs="Times New Roman"/>
      <w:color w:val="000000"/>
      <w:sz w:val="24"/>
      <w:szCs w:val="24"/>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3vidutinistinklelis1parykinimas">
    <w:name w:val="Medium Grid 3 Accent 1"/>
    <w:basedOn w:val="prastojilentel"/>
    <w:uiPriority w:val="99"/>
    <w:rsid w:val="00F31888"/>
    <w:pPr>
      <w:spacing w:after="0" w:line="240" w:lineRule="auto"/>
    </w:pPr>
    <w:rPr>
      <w:rFonts w:ascii="Calibri" w:eastAsia="Times New Roman" w:hAnsi="Calibri" w:cs="Times New Roman"/>
      <w:sz w:val="24"/>
      <w:szCs w:val="24"/>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agrindinistekstas2">
    <w:name w:val="Body Text 2"/>
    <w:basedOn w:val="prastasis"/>
    <w:link w:val="Pagrindinistekstas2Diagrama"/>
    <w:uiPriority w:val="99"/>
    <w:rsid w:val="00F31888"/>
    <w:pPr>
      <w:spacing w:after="120" w:line="480" w:lineRule="auto"/>
      <w:ind w:firstLine="0"/>
      <w:jc w:val="left"/>
    </w:pPr>
    <w:rPr>
      <w:rFonts w:ascii="Times New Roman" w:eastAsia="Calibri" w:hAnsi="Times New Roman" w:cs="Times New Roman"/>
      <w:kern w:val="16"/>
      <w:sz w:val="20"/>
      <w:szCs w:val="20"/>
      <w:lang w:eastAsia="lt-LT"/>
    </w:rPr>
  </w:style>
  <w:style w:type="character" w:customStyle="1" w:styleId="Pagrindinistekstas2Diagrama">
    <w:name w:val="Pagrindinis tekstas 2 Diagrama"/>
    <w:basedOn w:val="Numatytasispastraiposriftas"/>
    <w:link w:val="Pagrindinistekstas2"/>
    <w:uiPriority w:val="99"/>
    <w:rsid w:val="00F31888"/>
    <w:rPr>
      <w:rFonts w:ascii="Times New Roman" w:eastAsia="Calibri" w:hAnsi="Times New Roman" w:cs="Times New Roman"/>
      <w:kern w:val="16"/>
      <w:sz w:val="20"/>
      <w:szCs w:val="20"/>
      <w:lang w:eastAsia="lt-LT"/>
    </w:rPr>
  </w:style>
  <w:style w:type="paragraph" w:customStyle="1" w:styleId="font5">
    <w:name w:val="font5"/>
    <w:basedOn w:val="prastasis"/>
    <w:uiPriority w:val="99"/>
    <w:rsid w:val="00F31888"/>
    <w:pPr>
      <w:spacing w:before="100" w:beforeAutospacing="1" w:after="100" w:afterAutospacing="1" w:line="240" w:lineRule="auto"/>
      <w:ind w:firstLine="0"/>
      <w:jc w:val="left"/>
    </w:pPr>
    <w:rPr>
      <w:rFonts w:ascii="Times New Roman" w:eastAsia="Times New Roman" w:hAnsi="Times New Roman" w:cs="Times New Roman"/>
      <w:i/>
      <w:iCs/>
      <w:kern w:val="16"/>
      <w:sz w:val="20"/>
      <w:szCs w:val="20"/>
      <w:lang w:val="en-GB"/>
    </w:rPr>
  </w:style>
  <w:style w:type="character" w:customStyle="1" w:styleId="BodyTextIndent2Char">
    <w:name w:val="Body Text Indent 2 Char"/>
    <w:uiPriority w:val="99"/>
    <w:semiHidden/>
    <w:locked/>
    <w:rsid w:val="00F31888"/>
  </w:style>
  <w:style w:type="paragraph" w:styleId="Pagrindiniotekstotrauka2">
    <w:name w:val="Body Text Indent 2"/>
    <w:basedOn w:val="prastasis"/>
    <w:link w:val="Pagrindiniotekstotrauka2Diagrama"/>
    <w:uiPriority w:val="99"/>
    <w:semiHidden/>
    <w:rsid w:val="00F31888"/>
    <w:pPr>
      <w:spacing w:after="120" w:line="480" w:lineRule="auto"/>
      <w:ind w:left="283" w:firstLine="0"/>
      <w:jc w:val="left"/>
    </w:pPr>
    <w:rPr>
      <w:rFonts w:ascii="Calibri" w:eastAsia="Calibri" w:hAnsi="Calibri" w:cs="Times New Roman"/>
      <w:sz w:val="20"/>
      <w:szCs w:val="20"/>
      <w:lang w:eastAsia="lt-LT"/>
    </w:rPr>
  </w:style>
  <w:style w:type="character" w:customStyle="1" w:styleId="Pagrindiniotekstotrauka2Diagrama">
    <w:name w:val="Pagrindinio teksto įtrauka 2 Diagrama"/>
    <w:basedOn w:val="Numatytasispastraiposriftas"/>
    <w:link w:val="Pagrindiniotekstotrauka2"/>
    <w:uiPriority w:val="99"/>
    <w:semiHidden/>
    <w:rsid w:val="00F31888"/>
    <w:rPr>
      <w:rFonts w:ascii="Calibri" w:eastAsia="Calibri" w:hAnsi="Calibri" w:cs="Times New Roman"/>
      <w:sz w:val="20"/>
      <w:szCs w:val="20"/>
      <w:lang w:eastAsia="lt-LT"/>
    </w:rPr>
  </w:style>
  <w:style w:type="character" w:customStyle="1" w:styleId="BodyTextIndent3Char">
    <w:name w:val="Body Text Indent 3 Char"/>
    <w:uiPriority w:val="99"/>
    <w:semiHidden/>
    <w:locked/>
    <w:rsid w:val="00F31888"/>
    <w:rPr>
      <w:sz w:val="16"/>
    </w:rPr>
  </w:style>
  <w:style w:type="paragraph" w:styleId="Pagrindiniotekstotrauka3">
    <w:name w:val="Body Text Indent 3"/>
    <w:basedOn w:val="prastasis"/>
    <w:link w:val="Pagrindiniotekstotrauka3Diagrama"/>
    <w:uiPriority w:val="99"/>
    <w:semiHidden/>
    <w:rsid w:val="00F31888"/>
    <w:pPr>
      <w:spacing w:after="120" w:line="276" w:lineRule="auto"/>
      <w:ind w:left="283" w:firstLine="0"/>
      <w:jc w:val="left"/>
    </w:pPr>
    <w:rPr>
      <w:rFonts w:ascii="Calibri" w:eastAsia="Calibri" w:hAnsi="Calibri" w:cs="Times New Roman"/>
      <w:sz w:val="16"/>
      <w:szCs w:val="20"/>
      <w:lang w:eastAsia="lt-LT"/>
    </w:rPr>
  </w:style>
  <w:style w:type="character" w:customStyle="1" w:styleId="Pagrindiniotekstotrauka3Diagrama">
    <w:name w:val="Pagrindinio teksto įtrauka 3 Diagrama"/>
    <w:basedOn w:val="Numatytasispastraiposriftas"/>
    <w:link w:val="Pagrindiniotekstotrauka3"/>
    <w:uiPriority w:val="99"/>
    <w:semiHidden/>
    <w:rsid w:val="00F31888"/>
    <w:rPr>
      <w:rFonts w:ascii="Calibri" w:eastAsia="Calibri" w:hAnsi="Calibri" w:cs="Times New Roman"/>
      <w:sz w:val="16"/>
      <w:szCs w:val="20"/>
      <w:lang w:eastAsia="lt-LT"/>
    </w:rPr>
  </w:style>
  <w:style w:type="table" w:customStyle="1" w:styleId="MediumShading1-Accent11">
    <w:name w:val="Medium Shading 1 - Accent 11"/>
    <w:uiPriority w:val="99"/>
    <w:rsid w:val="00F31888"/>
    <w:pPr>
      <w:spacing w:after="0" w:line="240" w:lineRule="auto"/>
    </w:pPr>
    <w:rPr>
      <w:rFonts w:ascii="Calibri" w:eastAsia="Times New Roman" w:hAnsi="Calibri" w:cs="Times New Roman"/>
      <w:sz w:val="24"/>
      <w:szCs w:val="24"/>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ormal-p">
    <w:name w:val="normal-p"/>
    <w:basedOn w:val="prastasis"/>
    <w:uiPriority w:val="99"/>
    <w:rsid w:val="00F31888"/>
    <w:pPr>
      <w:spacing w:before="100" w:beforeAutospacing="1" w:after="100" w:afterAutospacing="1" w:line="240" w:lineRule="auto"/>
      <w:ind w:firstLine="0"/>
      <w:jc w:val="left"/>
    </w:pPr>
    <w:rPr>
      <w:rFonts w:ascii="Times New Roman" w:eastAsia="Times New Roman" w:hAnsi="Times New Roman" w:cs="Times New Roman"/>
      <w:sz w:val="24"/>
      <w:szCs w:val="24"/>
      <w:lang w:eastAsia="lt-LT"/>
    </w:rPr>
  </w:style>
  <w:style w:type="table" w:customStyle="1" w:styleId="MediumList11">
    <w:name w:val="Medium List 11"/>
    <w:uiPriority w:val="99"/>
    <w:rsid w:val="00F31888"/>
    <w:pPr>
      <w:spacing w:after="0" w:line="240" w:lineRule="auto"/>
    </w:pPr>
    <w:rPr>
      <w:rFonts w:ascii="Calibri" w:eastAsia="Times New Roman" w:hAnsi="Calibri" w:cs="Times New Roman"/>
      <w:color w:val="000000"/>
      <w:sz w:val="24"/>
      <w:szCs w:val="24"/>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viesussraas3parykinimas">
    <w:name w:val="Light List Accent 3"/>
    <w:basedOn w:val="prastojilentel"/>
    <w:uiPriority w:val="99"/>
    <w:rsid w:val="00F31888"/>
    <w:pPr>
      <w:spacing w:after="0" w:line="240" w:lineRule="auto"/>
    </w:pPr>
    <w:rPr>
      <w:rFonts w:ascii="Calibri" w:eastAsia="Times New Roman" w:hAnsi="Calibri" w:cs="Times New Roman"/>
      <w:sz w:val="24"/>
      <w:szCs w:val="24"/>
      <w:lang w:eastAsia="lt-L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viesussraas2parykinimas">
    <w:name w:val="Light List Accent 2"/>
    <w:basedOn w:val="prastojilentel"/>
    <w:uiPriority w:val="99"/>
    <w:rsid w:val="00F31888"/>
    <w:pPr>
      <w:spacing w:after="0" w:line="240" w:lineRule="auto"/>
    </w:pPr>
    <w:rPr>
      <w:rFonts w:ascii="Calibri" w:eastAsia="Times New Roman" w:hAnsi="Calibri" w:cs="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Dokumentostruktra">
    <w:name w:val="Document Map"/>
    <w:basedOn w:val="prastasis"/>
    <w:link w:val="DokumentostruktraDiagrama"/>
    <w:uiPriority w:val="99"/>
    <w:semiHidden/>
    <w:rsid w:val="00F31888"/>
    <w:pPr>
      <w:spacing w:after="0" w:line="240" w:lineRule="auto"/>
      <w:ind w:firstLine="0"/>
      <w:jc w:val="left"/>
    </w:pPr>
    <w:rPr>
      <w:rFonts w:ascii="Tahoma" w:eastAsia="Calibri"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F31888"/>
    <w:rPr>
      <w:rFonts w:ascii="Tahoma" w:eastAsia="Calibri" w:hAnsi="Tahoma" w:cs="Tahoma"/>
      <w:sz w:val="16"/>
      <w:szCs w:val="16"/>
    </w:rPr>
  </w:style>
  <w:style w:type="table" w:customStyle="1" w:styleId="MediumShading1-Accent111">
    <w:name w:val="Medium Shading 1 - Accent 111"/>
    <w:uiPriority w:val="99"/>
    <w:rsid w:val="00F31888"/>
    <w:pPr>
      <w:spacing w:after="0" w:line="240" w:lineRule="auto"/>
    </w:pPr>
    <w:rPr>
      <w:rFonts w:ascii="Cambria" w:eastAsia="MS Mincho" w:hAnsi="Cambria" w:cs="Times New Roman"/>
      <w:sz w:val="20"/>
      <w:szCs w:val="20"/>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uiPriority w:val="99"/>
    <w:rsid w:val="00F31888"/>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F31888"/>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TMLiankstoformatuotas">
    <w:name w:val="HTML Preformatted"/>
    <w:basedOn w:val="prastasis"/>
    <w:link w:val="HTMLiankstoformatuotasDiagrama"/>
    <w:uiPriority w:val="99"/>
    <w:rsid w:val="00F31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firstLine="0"/>
      <w:jc w:val="left"/>
    </w:pPr>
    <w:rPr>
      <w:rFonts w:ascii="Courier New" w:eastAsia="Calibri"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F31888"/>
    <w:rPr>
      <w:rFonts w:ascii="Courier New" w:eastAsia="Calibri" w:hAnsi="Courier New" w:cs="Courier New"/>
      <w:sz w:val="20"/>
      <w:szCs w:val="20"/>
      <w:lang w:eastAsia="lt-LT"/>
    </w:rPr>
  </w:style>
  <w:style w:type="table" w:customStyle="1" w:styleId="MediumShading1-Accent12">
    <w:name w:val="Medium Shading 1 - Accent 12"/>
    <w:uiPriority w:val="99"/>
    <w:rsid w:val="00F31888"/>
    <w:pPr>
      <w:spacing w:after="0" w:line="240" w:lineRule="auto"/>
    </w:pPr>
    <w:rPr>
      <w:rFonts w:ascii="Calibri" w:eastAsia="Calibri" w:hAnsi="Calibri" w:cs="Times New Roman"/>
      <w:sz w:val="20"/>
      <w:szCs w:val="20"/>
      <w:lang w:eastAsia="lt-L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4">
    <w:name w:val="Light List - Accent 14"/>
    <w:basedOn w:val="prastojilentel"/>
    <w:next w:val="viesussraas1parykinimas"/>
    <w:uiPriority w:val="61"/>
    <w:rsid w:val="00F31888"/>
    <w:pPr>
      <w:spacing w:after="0" w:line="240" w:lineRule="auto"/>
    </w:pPr>
    <w:rPr>
      <w:rFonts w:ascii="Calibri" w:eastAsia="Calibri" w:hAnsi="Calibri" w:cs="Times New Roman"/>
      <w:lang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g-scope">
    <w:name w:val="ng-scope"/>
    <w:basedOn w:val="Numatytasispastraiposriftas"/>
    <w:rsid w:val="00F31888"/>
  </w:style>
  <w:style w:type="paragraph" w:customStyle="1" w:styleId="lentel0">
    <w:name w:val="lentelė"/>
    <w:basedOn w:val="prastasis"/>
    <w:link w:val="lentelChar0"/>
    <w:qFormat/>
    <w:rsid w:val="00F31888"/>
    <w:pPr>
      <w:tabs>
        <w:tab w:val="left" w:pos="709"/>
      </w:tabs>
      <w:spacing w:before="120" w:after="120" w:line="240" w:lineRule="auto"/>
      <w:ind w:firstLine="0"/>
      <w:jc w:val="center"/>
    </w:pPr>
    <w:rPr>
      <w:rFonts w:ascii="Cambria" w:hAnsi="Cambria" w:cs="Arial"/>
      <w:b/>
      <w:sz w:val="20"/>
      <w:szCs w:val="20"/>
    </w:rPr>
  </w:style>
  <w:style w:type="character" w:customStyle="1" w:styleId="lentelChar0">
    <w:name w:val="lentelė Char"/>
    <w:basedOn w:val="Numatytasispastraiposriftas"/>
    <w:link w:val="lentel0"/>
    <w:rsid w:val="00F31888"/>
    <w:rPr>
      <w:rFonts w:ascii="Cambria" w:hAnsi="Cambria" w:cs="Arial"/>
      <w:b/>
      <w:sz w:val="20"/>
      <w:szCs w:val="20"/>
    </w:rPr>
  </w:style>
  <w:style w:type="table" w:customStyle="1" w:styleId="ListTable4-Accent11">
    <w:name w:val="List Table 4 - Accent 11"/>
    <w:basedOn w:val="prastojilentel"/>
    <w:next w:val="4sraolentel1parykinimas"/>
    <w:uiPriority w:val="49"/>
    <w:rsid w:val="00F31888"/>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v">
    <w:name w:val="Pav."/>
    <w:basedOn w:val="prastasis"/>
    <w:link w:val="PavDiagrama"/>
    <w:qFormat/>
    <w:rsid w:val="00503E3C"/>
    <w:pPr>
      <w:numPr>
        <w:ilvl w:val="1"/>
      </w:numPr>
      <w:spacing w:after="200" w:line="276" w:lineRule="auto"/>
      <w:ind w:firstLine="567"/>
      <w:jc w:val="center"/>
    </w:pPr>
    <w:rPr>
      <w:rFonts w:eastAsia="Times New Roman" w:cs="Times New Roman"/>
      <w:b/>
      <w:iCs/>
      <w:color w:val="000000"/>
      <w:szCs w:val="20"/>
    </w:rPr>
  </w:style>
  <w:style w:type="character" w:customStyle="1" w:styleId="PavDiagrama">
    <w:name w:val="Pav. Diagrama"/>
    <w:basedOn w:val="Numatytasispastraiposriftas"/>
    <w:link w:val="Pav"/>
    <w:rsid w:val="00503E3C"/>
    <w:rPr>
      <w:rFonts w:ascii="Arial" w:eastAsia="Times New Roman" w:hAnsi="Arial" w:cs="Times New Roman"/>
      <w:b/>
      <w:iCs/>
      <w:color w:val="000000"/>
      <w:szCs w:val="20"/>
    </w:rPr>
  </w:style>
  <w:style w:type="table" w:customStyle="1" w:styleId="TableGridLight1">
    <w:name w:val="Table Grid Light1"/>
    <w:basedOn w:val="prastojilentel"/>
    <w:next w:val="Lentelstinklelisviesus"/>
    <w:uiPriority w:val="40"/>
    <w:rsid w:val="00F31888"/>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
    <w:name w:val="List Table 3 - Accent 11"/>
    <w:basedOn w:val="prastojilentel"/>
    <w:next w:val="3sraolentel1parykinimas"/>
    <w:uiPriority w:val="48"/>
    <w:rsid w:val="00F31888"/>
    <w:pPr>
      <w:spacing w:after="0" w:line="240" w:lineRule="auto"/>
    </w:pPr>
    <w:rPr>
      <w:sz w:val="24"/>
      <w:szCs w:val="24"/>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sraolentel1parykinimas11">
    <w:name w:val="3 sąrašo lentelė – 1 paryškinimas11"/>
    <w:basedOn w:val="prastojilentel"/>
    <w:uiPriority w:val="48"/>
    <w:rsid w:val="00F31888"/>
    <w:pPr>
      <w:spacing w:after="0" w:line="240" w:lineRule="auto"/>
    </w:pPr>
    <w:rPr>
      <w:rFonts w:eastAsia="Times New Roman"/>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ghtList-Accent111">
    <w:name w:val="Light List - Accent 111"/>
    <w:basedOn w:val="prastojilentel"/>
    <w:next w:val="prastojilentel"/>
    <w:uiPriority w:val="61"/>
    <w:rsid w:val="00F31888"/>
    <w:pPr>
      <w:spacing w:after="0" w:line="240" w:lineRule="auto"/>
    </w:pPr>
    <w:rPr>
      <w:rFonts w:eastAsia="Times New Roman"/>
      <w:sz w:val="24"/>
      <w:szCs w:val="24"/>
      <w:lang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kumentoinaostekstas">
    <w:name w:val="endnote text"/>
    <w:basedOn w:val="prastasis"/>
    <w:link w:val="DokumentoinaostekstasDiagrama"/>
    <w:uiPriority w:val="99"/>
    <w:semiHidden/>
    <w:unhideWhenUsed/>
    <w:rsid w:val="00F31888"/>
    <w:pPr>
      <w:spacing w:after="0" w:line="240" w:lineRule="auto"/>
      <w:ind w:firstLine="0"/>
      <w:jc w:val="left"/>
    </w:pPr>
    <w:rPr>
      <w:rFonts w:ascii="Calibri" w:eastAsia="Calibri" w:hAnsi="Calibri" w:cs="Times New Roman"/>
      <w:sz w:val="20"/>
      <w:szCs w:val="20"/>
    </w:rPr>
  </w:style>
  <w:style w:type="character" w:customStyle="1" w:styleId="DokumentoinaostekstasDiagrama">
    <w:name w:val="Dokumento išnašos tekstas Diagrama"/>
    <w:basedOn w:val="Numatytasispastraiposriftas"/>
    <w:link w:val="Dokumentoinaostekstas"/>
    <w:uiPriority w:val="99"/>
    <w:semiHidden/>
    <w:rsid w:val="00F31888"/>
    <w:rPr>
      <w:rFonts w:ascii="Calibri" w:eastAsia="Calibri" w:hAnsi="Calibri" w:cs="Times New Roman"/>
      <w:sz w:val="20"/>
      <w:szCs w:val="20"/>
    </w:rPr>
  </w:style>
  <w:style w:type="character" w:styleId="Dokumentoinaosnumeris">
    <w:name w:val="endnote reference"/>
    <w:basedOn w:val="Numatytasispastraiposriftas"/>
    <w:uiPriority w:val="99"/>
    <w:semiHidden/>
    <w:unhideWhenUsed/>
    <w:rsid w:val="00F31888"/>
    <w:rPr>
      <w:vertAlign w:val="superscript"/>
    </w:rPr>
  </w:style>
  <w:style w:type="table" w:customStyle="1" w:styleId="4sraolentel1parykinimas1">
    <w:name w:val="4 sąrašo lentelė – 1 paryškinimas1"/>
    <w:basedOn w:val="prastojilentel"/>
    <w:uiPriority w:val="49"/>
    <w:rsid w:val="00F31888"/>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e1">
    <w:name w:val="Style1"/>
    <w:basedOn w:val="Antrat"/>
    <w:link w:val="Style1Char"/>
    <w:qFormat/>
    <w:rsid w:val="00F31888"/>
    <w:pPr>
      <w:spacing w:before="0"/>
      <w:ind w:firstLine="0"/>
      <w:jc w:val="both"/>
    </w:pPr>
    <w:rPr>
      <w:rFonts w:ascii="Calibri" w:eastAsia="Calibri" w:hAnsi="Calibri" w:cs="Times New Roman"/>
      <w:color w:val="auto"/>
      <w:szCs w:val="22"/>
    </w:rPr>
  </w:style>
  <w:style w:type="character" w:customStyle="1" w:styleId="Style1Char">
    <w:name w:val="Style1 Char"/>
    <w:basedOn w:val="Numatytasispastraiposriftas"/>
    <w:link w:val="Style1"/>
    <w:rsid w:val="00F31888"/>
    <w:rPr>
      <w:rFonts w:ascii="Calibri" w:eastAsia="Calibri" w:hAnsi="Calibri" w:cs="Times New Roman"/>
      <w:b/>
      <w:bCs/>
    </w:rPr>
  </w:style>
  <w:style w:type="table" w:customStyle="1" w:styleId="ListTable4Accent111">
    <w:name w:val="List Table 4 Accent 111"/>
    <w:basedOn w:val="prastojilentel"/>
    <w:uiPriority w:val="49"/>
    <w:rsid w:val="00F31888"/>
    <w:pPr>
      <w:spacing w:after="0" w:line="240" w:lineRule="auto"/>
    </w:pPr>
    <w:rPr>
      <w:rFonts w:ascii="Cambria" w:eastAsia="Times New Roman" w:hAnsi="Cambria" w:cs="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copre">
    <w:name w:val="acopre"/>
    <w:basedOn w:val="Numatytasispastraiposriftas"/>
    <w:rsid w:val="00F31888"/>
  </w:style>
  <w:style w:type="table" w:styleId="viesussraas1parykinimas">
    <w:name w:val="Light List Accent 1"/>
    <w:basedOn w:val="prastojilentel"/>
    <w:uiPriority w:val="61"/>
    <w:unhideWhenUsed/>
    <w:rsid w:val="00F3188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entelstinklelisviesus">
    <w:name w:val="Grid Table Light"/>
    <w:basedOn w:val="prastojilentel"/>
    <w:uiPriority w:val="40"/>
    <w:rsid w:val="00F318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urinys4">
    <w:name w:val="toc 4"/>
    <w:basedOn w:val="prastasis"/>
    <w:next w:val="prastasis"/>
    <w:autoRedefine/>
    <w:uiPriority w:val="39"/>
    <w:semiHidden/>
    <w:unhideWhenUsed/>
    <w:rsid w:val="00F31888"/>
    <w:pPr>
      <w:spacing w:after="0" w:line="276" w:lineRule="auto"/>
      <w:ind w:left="660" w:firstLine="0"/>
      <w:jc w:val="left"/>
    </w:pPr>
    <w:rPr>
      <w:rFonts w:asciiTheme="minorHAnsi" w:eastAsia="Times New Roman" w:hAnsiTheme="minorHAnsi" w:cstheme="minorHAnsi"/>
      <w:sz w:val="18"/>
      <w:szCs w:val="18"/>
      <w:lang w:val="en-US"/>
    </w:rPr>
  </w:style>
  <w:style w:type="paragraph" w:styleId="Turinys5">
    <w:name w:val="toc 5"/>
    <w:basedOn w:val="prastasis"/>
    <w:next w:val="prastasis"/>
    <w:autoRedefine/>
    <w:uiPriority w:val="39"/>
    <w:semiHidden/>
    <w:unhideWhenUsed/>
    <w:rsid w:val="00F31888"/>
    <w:pPr>
      <w:spacing w:after="0" w:line="276" w:lineRule="auto"/>
      <w:ind w:left="880" w:firstLine="0"/>
      <w:jc w:val="left"/>
    </w:pPr>
    <w:rPr>
      <w:rFonts w:asciiTheme="minorHAnsi" w:eastAsia="Times New Roman" w:hAnsiTheme="minorHAnsi" w:cstheme="minorHAnsi"/>
      <w:sz w:val="18"/>
      <w:szCs w:val="18"/>
      <w:lang w:val="en-US"/>
    </w:rPr>
  </w:style>
  <w:style w:type="paragraph" w:styleId="Turinys6">
    <w:name w:val="toc 6"/>
    <w:basedOn w:val="prastasis"/>
    <w:next w:val="prastasis"/>
    <w:autoRedefine/>
    <w:uiPriority w:val="39"/>
    <w:semiHidden/>
    <w:unhideWhenUsed/>
    <w:rsid w:val="00F31888"/>
    <w:pPr>
      <w:spacing w:after="0" w:line="276" w:lineRule="auto"/>
      <w:ind w:left="1100" w:firstLine="0"/>
      <w:jc w:val="left"/>
    </w:pPr>
    <w:rPr>
      <w:rFonts w:asciiTheme="minorHAnsi" w:eastAsia="Times New Roman" w:hAnsiTheme="minorHAnsi" w:cstheme="minorHAnsi"/>
      <w:sz w:val="18"/>
      <w:szCs w:val="18"/>
      <w:lang w:val="en-US"/>
    </w:rPr>
  </w:style>
  <w:style w:type="paragraph" w:styleId="Turinys7">
    <w:name w:val="toc 7"/>
    <w:basedOn w:val="prastasis"/>
    <w:next w:val="prastasis"/>
    <w:autoRedefine/>
    <w:uiPriority w:val="39"/>
    <w:semiHidden/>
    <w:unhideWhenUsed/>
    <w:rsid w:val="00F31888"/>
    <w:pPr>
      <w:spacing w:after="0" w:line="276" w:lineRule="auto"/>
      <w:ind w:left="1320" w:firstLine="0"/>
      <w:jc w:val="left"/>
    </w:pPr>
    <w:rPr>
      <w:rFonts w:asciiTheme="minorHAnsi" w:eastAsia="Times New Roman" w:hAnsiTheme="minorHAnsi" w:cstheme="minorHAnsi"/>
      <w:sz w:val="18"/>
      <w:szCs w:val="18"/>
      <w:lang w:val="en-US"/>
    </w:rPr>
  </w:style>
  <w:style w:type="paragraph" w:styleId="Turinys9">
    <w:name w:val="toc 9"/>
    <w:basedOn w:val="prastasis"/>
    <w:next w:val="prastasis"/>
    <w:autoRedefine/>
    <w:uiPriority w:val="39"/>
    <w:semiHidden/>
    <w:unhideWhenUsed/>
    <w:rsid w:val="00F31888"/>
    <w:pPr>
      <w:spacing w:after="0" w:line="276" w:lineRule="auto"/>
      <w:ind w:left="1760" w:firstLine="0"/>
      <w:jc w:val="left"/>
    </w:pPr>
    <w:rPr>
      <w:rFonts w:asciiTheme="minorHAnsi" w:eastAsia="Times New Roman" w:hAnsiTheme="minorHAnsi" w:cstheme="minorHAnsi"/>
      <w:sz w:val="18"/>
      <w:szCs w:val="18"/>
      <w:lang w:val="en-US"/>
    </w:rPr>
  </w:style>
  <w:style w:type="table" w:styleId="1sraolentelviesi4parykinimas">
    <w:name w:val="List Table 1 Light Accent 4"/>
    <w:basedOn w:val="prastojilentel"/>
    <w:uiPriority w:val="46"/>
    <w:rsid w:val="00F31888"/>
    <w:pPr>
      <w:spacing w:after="0" w:line="240" w:lineRule="auto"/>
    </w:pPr>
    <w:rPr>
      <w:sz w:val="24"/>
      <w:szCs w:val="24"/>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sraolentelviesi">
    <w:name w:val="List Table 1 Light"/>
    <w:basedOn w:val="prastojilentel"/>
    <w:uiPriority w:val="46"/>
    <w:rsid w:val="00F31888"/>
    <w:pPr>
      <w:spacing w:after="0" w:line="240" w:lineRule="auto"/>
    </w:pPr>
    <w:rPr>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paprastojilentel">
    <w:name w:val="Plain Table 3"/>
    <w:basedOn w:val="prastojilentel"/>
    <w:uiPriority w:val="43"/>
    <w:rsid w:val="00F31888"/>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tinkleliolentelspalvinga">
    <w:name w:val="Grid Table 7 Colorful"/>
    <w:basedOn w:val="prastojilentel"/>
    <w:uiPriority w:val="52"/>
    <w:rsid w:val="00F31888"/>
    <w:pPr>
      <w:spacing w:after="0" w:line="240" w:lineRule="auto"/>
    </w:pPr>
    <w:rPr>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g-binding1">
    <w:name w:val="ng-binding1"/>
    <w:basedOn w:val="Numatytasispastraiposriftas"/>
    <w:rsid w:val="00F31888"/>
  </w:style>
  <w:style w:type="paragraph" w:styleId="Pataisymai">
    <w:name w:val="Revision"/>
    <w:hidden/>
    <w:uiPriority w:val="99"/>
    <w:semiHidden/>
    <w:rsid w:val="00F31888"/>
    <w:pPr>
      <w:spacing w:after="0" w:line="240" w:lineRule="auto"/>
    </w:pPr>
    <w:rPr>
      <w:rFonts w:ascii="Times New Roman" w:eastAsia="Times New Roman" w:hAnsi="Times New Roman" w:cs="Times New Roman"/>
      <w:sz w:val="24"/>
      <w:szCs w:val="24"/>
      <w:lang w:eastAsia="en-GB"/>
    </w:rPr>
  </w:style>
  <w:style w:type="character" w:customStyle="1" w:styleId="tlid-translation">
    <w:name w:val="tlid-translation"/>
    <w:basedOn w:val="Numatytasispastraiposriftas"/>
    <w:rsid w:val="00F31888"/>
  </w:style>
  <w:style w:type="table" w:customStyle="1" w:styleId="LightList-Accent1111">
    <w:name w:val="Light List - Accent 1111"/>
    <w:basedOn w:val="prastojilentel"/>
    <w:uiPriority w:val="61"/>
    <w:rsid w:val="00F31888"/>
    <w:pPr>
      <w:spacing w:after="0" w:line="240" w:lineRule="auto"/>
    </w:pPr>
    <w:rPr>
      <w:rFonts w:eastAsiaTheme="minorEastAsia"/>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LentelsL">
    <w:name w:val="Lentelės L"/>
    <w:basedOn w:val="Antrat5"/>
    <w:link w:val="LentelsLDiagrama"/>
    <w:qFormat/>
    <w:rsid w:val="00C60DF6"/>
    <w:pPr>
      <w:spacing w:before="0" w:after="160"/>
    </w:pPr>
    <w:rPr>
      <w:color w:val="1F3864" w:themeColor="accent1" w:themeShade="80"/>
    </w:rPr>
  </w:style>
  <w:style w:type="character" w:customStyle="1" w:styleId="LentelsLDiagrama">
    <w:name w:val="Lentelės L Diagrama"/>
    <w:basedOn w:val="Numatytasispastraiposriftas"/>
    <w:link w:val="LentelsL"/>
    <w:rsid w:val="00C60DF6"/>
    <w:rPr>
      <w:rFonts w:ascii="Arial" w:eastAsiaTheme="majorEastAsia" w:hAnsi="Arial" w:cstheme="majorBidi"/>
      <w:b/>
      <w:color w:val="1F3864" w:themeColor="accent1" w:themeShade="80"/>
    </w:rPr>
  </w:style>
  <w:style w:type="table" w:customStyle="1" w:styleId="GridTable4-Accent32">
    <w:name w:val="Grid Table 4 - Accent 32"/>
    <w:basedOn w:val="prastojilentel"/>
    <w:next w:val="4tinkleliolentel3parykinimas"/>
    <w:uiPriority w:val="49"/>
    <w:rsid w:val="00C60DF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ntrat4Diagrama1">
    <w:name w:val="Antraštė 4 Diagrama1"/>
    <w:aliases w:val="Paveikslai Diagrama1"/>
    <w:basedOn w:val="Numatytasispastraiposriftas"/>
    <w:uiPriority w:val="9"/>
    <w:semiHidden/>
    <w:rsid w:val="005D3D1C"/>
    <w:rPr>
      <w:rFonts w:asciiTheme="majorHAnsi" w:eastAsiaTheme="majorEastAsia" w:hAnsiTheme="majorHAnsi" w:cstheme="majorBidi"/>
      <w:i/>
      <w:iCs/>
      <w:color w:val="2F5496" w:themeColor="accent1" w:themeShade="BF"/>
      <w:sz w:val="22"/>
      <w:szCs w:val="22"/>
    </w:rPr>
  </w:style>
  <w:style w:type="character" w:customStyle="1" w:styleId="Antrat5Diagrama1">
    <w:name w:val="Antraštė 5 Diagrama1"/>
    <w:aliases w:val="Lentelės Diagrama1"/>
    <w:basedOn w:val="Numatytasispastraiposriftas"/>
    <w:uiPriority w:val="9"/>
    <w:semiHidden/>
    <w:rsid w:val="005D3D1C"/>
    <w:rPr>
      <w:rFonts w:asciiTheme="majorHAnsi" w:eastAsiaTheme="majorEastAsia" w:hAnsiTheme="majorHAnsi" w:cstheme="majorBidi"/>
      <w:color w:val="2F5496" w:themeColor="accent1" w:themeShade="BF"/>
      <w:sz w:val="22"/>
      <w:szCs w:val="22"/>
    </w:rPr>
  </w:style>
  <w:style w:type="character" w:customStyle="1" w:styleId="Antrat6Diagrama1">
    <w:name w:val="Antraštė 6 Diagrama1"/>
    <w:aliases w:val="Priedai Diagrama1"/>
    <w:basedOn w:val="Numatytasispastraiposriftas"/>
    <w:uiPriority w:val="9"/>
    <w:semiHidden/>
    <w:rsid w:val="005D3D1C"/>
    <w:rPr>
      <w:rFonts w:asciiTheme="majorHAnsi" w:eastAsiaTheme="majorEastAsia" w:hAnsiTheme="majorHAnsi" w:cstheme="majorBidi"/>
      <w:color w:val="1F3763" w:themeColor="accent1" w:themeShade="7F"/>
      <w:sz w:val="22"/>
      <w:szCs w:val="22"/>
    </w:rPr>
  </w:style>
  <w:style w:type="character" w:customStyle="1" w:styleId="PuslapioinaostekstasDiagrama1">
    <w:name w:val="Puslapio išnašos tekstas Diagrama1"/>
    <w:aliases w:val="Diagrama Diagrama1,Footnote Diagrama2,Footnote Text Char Char Diagrama1,Fußnotentextf Diagrama1,Footnote Diagrama Diagrama1,Footnote text Diagrama1,Footnote Text Char Char Char Diagrama1,Footnote Text1 Diagrama1"/>
    <w:basedOn w:val="Numatytasispastraiposriftas"/>
    <w:uiPriority w:val="99"/>
    <w:semiHidden/>
    <w:rsid w:val="005D3D1C"/>
    <w:rPr>
      <w:rFonts w:ascii="Arial" w:eastAsia="Calibri" w:hAnsi="Arial" w:cs="Times New Roman"/>
      <w:sz w:val="20"/>
      <w:szCs w:val="20"/>
    </w:rPr>
  </w:style>
  <w:style w:type="character" w:customStyle="1" w:styleId="PaprastasistekstasDiagrama">
    <w:name w:val="Paprastasis tekstas Diagrama"/>
    <w:basedOn w:val="Numatytasispastraiposriftas"/>
    <w:link w:val="Paprastasistekstas"/>
    <w:uiPriority w:val="99"/>
    <w:semiHidden/>
    <w:locked/>
    <w:rsid w:val="005D3D1C"/>
    <w:rPr>
      <w:rFonts w:ascii="Calibri" w:hAnsi="Calibri" w:cs="Calibri"/>
      <w:szCs w:val="21"/>
    </w:rPr>
  </w:style>
  <w:style w:type="character" w:customStyle="1" w:styleId="KomentarotekstasDiagrama1">
    <w:name w:val="Komentaro tekstas Diagrama1"/>
    <w:basedOn w:val="Numatytasispastraiposriftas"/>
    <w:uiPriority w:val="99"/>
    <w:semiHidden/>
    <w:rsid w:val="005D3D1C"/>
    <w:rPr>
      <w:rFonts w:ascii="Arial" w:eastAsia="Calibri" w:hAnsi="Arial" w:cs="Times New Roman"/>
      <w:sz w:val="20"/>
      <w:szCs w:val="20"/>
    </w:rPr>
  </w:style>
  <w:style w:type="character" w:customStyle="1" w:styleId="Style2Char">
    <w:name w:val="Style2 Char"/>
    <w:basedOn w:val="Antrat1Diagrama"/>
    <w:link w:val="Style2"/>
    <w:locked/>
    <w:rsid w:val="005D3D1C"/>
    <w:rPr>
      <w:rFonts w:ascii="Arial" w:eastAsia="Times New Roman" w:hAnsi="Arial" w:cs="Arial"/>
      <w:b w:val="0"/>
      <w:caps w:val="0"/>
      <w:color w:val="1F3864" w:themeColor="accent1" w:themeShade="80"/>
      <w:sz w:val="28"/>
      <w:szCs w:val="32"/>
    </w:rPr>
  </w:style>
  <w:style w:type="paragraph" w:customStyle="1" w:styleId="Style2">
    <w:name w:val="Style2"/>
    <w:basedOn w:val="Antrat1"/>
    <w:link w:val="Style2Char"/>
    <w:qFormat/>
    <w:rsid w:val="005D3D1C"/>
    <w:pPr>
      <w:spacing w:before="0" w:after="0" w:line="240" w:lineRule="auto"/>
    </w:pPr>
    <w:rPr>
      <w:rFonts w:eastAsia="Times New Roman" w:cs="Arial"/>
      <w:b w:val="0"/>
      <w:caps w:val="0"/>
      <w:color w:val="1F3864" w:themeColor="accent1" w:themeShade="80"/>
    </w:rPr>
  </w:style>
  <w:style w:type="character" w:customStyle="1" w:styleId="PaveikslasLDiagrama">
    <w:name w:val="Paveikslas L Diagrama"/>
    <w:basedOn w:val="Antrat4Diagrama"/>
    <w:link w:val="PaveikslasL"/>
    <w:locked/>
    <w:rsid w:val="00201B89"/>
    <w:rPr>
      <w:rFonts w:ascii="Arial" w:eastAsiaTheme="majorEastAsia" w:hAnsi="Arial" w:cstheme="majorBidi"/>
      <w:b/>
      <w:iCs/>
      <w:color w:val="002060"/>
    </w:rPr>
  </w:style>
  <w:style w:type="paragraph" w:customStyle="1" w:styleId="PaveikslasL">
    <w:name w:val="Paveikslas L"/>
    <w:basedOn w:val="Antrat4"/>
    <w:link w:val="PaveikslasLDiagrama"/>
    <w:qFormat/>
    <w:rsid w:val="00201B89"/>
    <w:pPr>
      <w:spacing w:before="0" w:line="257" w:lineRule="auto"/>
    </w:pPr>
  </w:style>
  <w:style w:type="paragraph" w:customStyle="1" w:styleId="xmsonormal">
    <w:name w:val="x_msonormal"/>
    <w:basedOn w:val="prastasis"/>
    <w:uiPriority w:val="99"/>
    <w:rsid w:val="005D3D1C"/>
    <w:pPr>
      <w:spacing w:after="0" w:line="240" w:lineRule="auto"/>
      <w:ind w:firstLine="0"/>
      <w:jc w:val="left"/>
    </w:pPr>
    <w:rPr>
      <w:rFonts w:ascii="Calibri" w:eastAsia="Calibri" w:hAnsi="Calibri" w:cs="Calibri"/>
      <w:lang w:eastAsia="lt-LT"/>
    </w:rPr>
  </w:style>
  <w:style w:type="character" w:customStyle="1" w:styleId="AntratsDiagrama1">
    <w:name w:val="Antraštės Diagrama1"/>
    <w:basedOn w:val="Numatytasispastraiposriftas"/>
    <w:uiPriority w:val="99"/>
    <w:semiHidden/>
    <w:rsid w:val="005D3D1C"/>
    <w:rPr>
      <w:rFonts w:ascii="Arial" w:eastAsia="Calibri" w:hAnsi="Arial" w:cs="Times New Roman"/>
    </w:rPr>
  </w:style>
  <w:style w:type="character" w:customStyle="1" w:styleId="PoratDiagrama1">
    <w:name w:val="Poraštė Diagrama1"/>
    <w:basedOn w:val="Numatytasispastraiposriftas"/>
    <w:uiPriority w:val="99"/>
    <w:semiHidden/>
    <w:rsid w:val="005D3D1C"/>
    <w:rPr>
      <w:rFonts w:ascii="Arial" w:eastAsia="Calibri" w:hAnsi="Arial" w:cs="Times New Roman"/>
    </w:rPr>
  </w:style>
  <w:style w:type="character" w:customStyle="1" w:styleId="KomentarotemaDiagrama1">
    <w:name w:val="Komentaro tema Diagrama1"/>
    <w:basedOn w:val="KomentarotekstasDiagrama1"/>
    <w:uiPriority w:val="99"/>
    <w:semiHidden/>
    <w:rsid w:val="005D3D1C"/>
    <w:rPr>
      <w:rFonts w:ascii="Arial" w:eastAsia="Calibri" w:hAnsi="Arial" w:cs="Times New Roman"/>
      <w:b/>
      <w:bCs/>
      <w:sz w:val="20"/>
      <w:szCs w:val="20"/>
    </w:rPr>
  </w:style>
  <w:style w:type="paragraph" w:styleId="Paprastasistekstas">
    <w:name w:val="Plain Text"/>
    <w:basedOn w:val="prastasis"/>
    <w:link w:val="PaprastasistekstasDiagrama"/>
    <w:uiPriority w:val="99"/>
    <w:semiHidden/>
    <w:unhideWhenUsed/>
    <w:rsid w:val="005D3D1C"/>
    <w:pPr>
      <w:spacing w:after="0" w:line="240" w:lineRule="auto"/>
      <w:ind w:firstLine="0"/>
      <w:jc w:val="left"/>
    </w:pPr>
    <w:rPr>
      <w:rFonts w:ascii="Calibri" w:hAnsi="Calibri" w:cs="Calibri"/>
      <w:szCs w:val="21"/>
    </w:rPr>
  </w:style>
  <w:style w:type="character" w:customStyle="1" w:styleId="PaprastasistekstasDiagrama1">
    <w:name w:val="Paprastasis tekstas Diagrama1"/>
    <w:basedOn w:val="Numatytasispastraiposriftas"/>
    <w:uiPriority w:val="99"/>
    <w:semiHidden/>
    <w:rsid w:val="005D3D1C"/>
    <w:rPr>
      <w:rFonts w:ascii="Consolas" w:hAnsi="Consolas"/>
      <w:sz w:val="21"/>
      <w:szCs w:val="21"/>
    </w:rPr>
  </w:style>
  <w:style w:type="character" w:customStyle="1" w:styleId="DebesliotekstasDiagrama1">
    <w:name w:val="Debesėlio tekstas Diagrama1"/>
    <w:basedOn w:val="Numatytasispastraiposriftas"/>
    <w:uiPriority w:val="99"/>
    <w:semiHidden/>
    <w:rsid w:val="005D3D1C"/>
    <w:rPr>
      <w:rFonts w:ascii="Segoe UI" w:eastAsia="Calibri" w:hAnsi="Segoe UI" w:cs="Segoe UI"/>
      <w:sz w:val="18"/>
      <w:szCs w:val="18"/>
    </w:rPr>
  </w:style>
  <w:style w:type="character" w:customStyle="1" w:styleId="Pagrindinistekstas2Diagrama1">
    <w:name w:val="Pagrindinis tekstas 2 Diagrama1"/>
    <w:basedOn w:val="Numatytasispastraiposriftas"/>
    <w:uiPriority w:val="99"/>
    <w:semiHidden/>
    <w:rsid w:val="005D3D1C"/>
    <w:rPr>
      <w:rFonts w:ascii="Arial" w:eastAsia="Calibri" w:hAnsi="Arial" w:cs="Times New Roman"/>
    </w:rPr>
  </w:style>
  <w:style w:type="character" w:customStyle="1" w:styleId="Pagrindiniotekstotrauka2Diagrama1">
    <w:name w:val="Pagrindinio teksto įtrauka 2 Diagrama1"/>
    <w:basedOn w:val="Numatytasispastraiposriftas"/>
    <w:uiPriority w:val="99"/>
    <w:semiHidden/>
    <w:rsid w:val="005D3D1C"/>
    <w:rPr>
      <w:rFonts w:ascii="Arial" w:eastAsia="Calibri" w:hAnsi="Arial" w:cs="Times New Roman"/>
    </w:rPr>
  </w:style>
  <w:style w:type="character" w:customStyle="1" w:styleId="Pagrindiniotekstotrauka3Diagrama1">
    <w:name w:val="Pagrindinio teksto įtrauka 3 Diagrama1"/>
    <w:basedOn w:val="Numatytasispastraiposriftas"/>
    <w:uiPriority w:val="99"/>
    <w:semiHidden/>
    <w:rsid w:val="005D3D1C"/>
    <w:rPr>
      <w:rFonts w:ascii="Arial" w:eastAsia="Calibri" w:hAnsi="Arial" w:cs="Times New Roman"/>
      <w:sz w:val="16"/>
      <w:szCs w:val="16"/>
    </w:rPr>
  </w:style>
  <w:style w:type="character" w:customStyle="1" w:styleId="DokumentostruktraDiagrama1">
    <w:name w:val="Dokumento struktūra Diagrama1"/>
    <w:basedOn w:val="Numatytasispastraiposriftas"/>
    <w:uiPriority w:val="99"/>
    <w:semiHidden/>
    <w:rsid w:val="005D3D1C"/>
    <w:rPr>
      <w:rFonts w:ascii="Segoe UI" w:eastAsia="Calibri" w:hAnsi="Segoe UI" w:cs="Segoe UI"/>
      <w:sz w:val="16"/>
      <w:szCs w:val="16"/>
    </w:rPr>
  </w:style>
  <w:style w:type="character" w:customStyle="1" w:styleId="DokumentoinaostekstasDiagrama1">
    <w:name w:val="Dokumento išnašos tekstas Diagrama1"/>
    <w:basedOn w:val="Numatytasispastraiposriftas"/>
    <w:uiPriority w:val="99"/>
    <w:semiHidden/>
    <w:rsid w:val="005D3D1C"/>
    <w:rPr>
      <w:rFonts w:ascii="Arial" w:eastAsia="Calibri" w:hAnsi="Arial" w:cs="Times New Roman"/>
      <w:sz w:val="20"/>
      <w:szCs w:val="20"/>
    </w:rPr>
  </w:style>
  <w:style w:type="table" w:customStyle="1" w:styleId="Lentelstinklelis3">
    <w:name w:val="Lentelės tinklelis3"/>
    <w:basedOn w:val="prastojilentel"/>
    <w:next w:val="Lentelstinklelis"/>
    <w:uiPriority w:val="39"/>
    <w:rsid w:val="005D3D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
    <w:name w:val="Šviesus sąrašas – 1 paryškinimas1"/>
    <w:basedOn w:val="prastojilentel"/>
    <w:next w:val="viesussraas1parykinimas"/>
    <w:uiPriority w:val="61"/>
    <w:semiHidden/>
    <w:unhideWhenUsed/>
    <w:rsid w:val="005D3D1C"/>
    <w:pPr>
      <w:spacing w:after="0" w:line="240" w:lineRule="auto"/>
    </w:pPr>
    <w:rPr>
      <w:rFonts w:ascii="Calibri" w:eastAsia="Calibri" w:hAnsi="Calibri" w:cs="Times New Roman"/>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3vidutinistinklelis1parykinimas1">
    <w:name w:val="3 vidutinis tinklelis – 1 paryškinimas1"/>
    <w:basedOn w:val="prastojilentel"/>
    <w:next w:val="3vidutinistinklelis1parykinimas"/>
    <w:uiPriority w:val="99"/>
    <w:semiHidden/>
    <w:unhideWhenUsed/>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viesussraas2parykinimas1">
    <w:name w:val="Šviesus sąrašas – 2 paryškinimas1"/>
    <w:basedOn w:val="prastojilentel"/>
    <w:next w:val="viesussraas2parykinimas"/>
    <w:uiPriority w:val="99"/>
    <w:semiHidden/>
    <w:unhideWhenUsed/>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viesussraas3parykinimas1">
    <w:name w:val="Šviesus sąrašas – 3 paryškinimas1"/>
    <w:basedOn w:val="prastojilentel"/>
    <w:next w:val="viesussraas3parykinimas"/>
    <w:uiPriority w:val="99"/>
    <w:semiHidden/>
    <w:unhideWhenUsed/>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vidutinisspalvinimas3parykinimas1">
    <w:name w:val="1 vidutinis spalvinimas – 3 paryškinimas1"/>
    <w:basedOn w:val="prastojilentel"/>
    <w:next w:val="1vidutinisspalvinimas3parykinimas"/>
    <w:uiPriority w:val="99"/>
    <w:semiHidden/>
    <w:unhideWhenUsed/>
    <w:rsid w:val="005D3D1C"/>
    <w:pPr>
      <w:spacing w:after="0" w:line="240" w:lineRule="auto"/>
      <w:jc w:val="both"/>
    </w:pPr>
    <w:rPr>
      <w:rFonts w:ascii="Calibri" w:eastAsia="Calibri" w:hAnsi="Calibri" w:cs="Times New Roman"/>
      <w:sz w:val="20"/>
      <w:szCs w:val="20"/>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viesussraas5parykinimas1">
    <w:name w:val="Šviesus sąrašas – 5 paryškinimas1"/>
    <w:basedOn w:val="prastojilentel"/>
    <w:next w:val="viesussraas5parykinimas"/>
    <w:uiPriority w:val="99"/>
    <w:semiHidden/>
    <w:unhideWhenUsed/>
    <w:rsid w:val="005D3D1C"/>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paprastojilentel1">
    <w:name w:val="3 paprastoji lentelė1"/>
    <w:basedOn w:val="prastojilentel"/>
    <w:next w:val="3paprastojilentel"/>
    <w:uiPriority w:val="43"/>
    <w:rsid w:val="005D3D1C"/>
    <w:pPr>
      <w:spacing w:after="0" w:line="240" w:lineRule="auto"/>
    </w:pPr>
    <w:rPr>
      <w:rFonts w:ascii="Calibri" w:eastAsia="Calibri" w:hAnsi="Calibri" w:cs="Times New Roman"/>
      <w:sz w:val="24"/>
      <w:szCs w:val="24"/>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entelstinklelisviesus1">
    <w:name w:val="Lentelės tinklelis – šviesus1"/>
    <w:basedOn w:val="prastojilentel"/>
    <w:next w:val="Lentelstinklelisviesus"/>
    <w:uiPriority w:val="40"/>
    <w:rsid w:val="005D3D1C"/>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tinkleliolentelviesi1">
    <w:name w:val="1 tinklelio lentelė – šviesi1"/>
    <w:basedOn w:val="prastojilentel"/>
    <w:next w:val="1tinkleliolentelviesi"/>
    <w:uiPriority w:val="46"/>
    <w:rsid w:val="005D3D1C"/>
    <w:pPr>
      <w:spacing w:after="0" w:line="240" w:lineRule="auto"/>
    </w:pPr>
    <w:rPr>
      <w:rFonts w:ascii="Calibri" w:eastAsia="Calibri" w:hAnsi="Calibri" w:cs="Times New Roman"/>
      <w:sz w:val="24"/>
      <w:szCs w:val="24"/>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tinkleliolentel2">
    <w:name w:val="2 tinklelio lentelė2"/>
    <w:basedOn w:val="prastojilentel"/>
    <w:next w:val="2tinkleliolentel"/>
    <w:uiPriority w:val="47"/>
    <w:rsid w:val="005D3D1C"/>
    <w:pPr>
      <w:spacing w:after="0" w:line="240" w:lineRule="auto"/>
    </w:pPr>
    <w:rPr>
      <w:rFonts w:ascii="Calibri" w:eastAsia="Calibri" w:hAnsi="Calibri" w:cs="Times New Roman"/>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tinkleliolentelspalvinga1">
    <w:name w:val="7 tinklelio lentelė – spalvinga1"/>
    <w:basedOn w:val="prastojilentel"/>
    <w:next w:val="7tinkleliolentelspalvinga"/>
    <w:uiPriority w:val="52"/>
    <w:rsid w:val="005D3D1C"/>
    <w:pPr>
      <w:spacing w:after="0" w:line="240" w:lineRule="auto"/>
    </w:pPr>
    <w:rPr>
      <w:rFonts w:ascii="Calibri" w:eastAsia="Calibri" w:hAnsi="Calibri" w:cs="Times New Roman"/>
      <w:color w:val="000000" w:themeColor="text1"/>
      <w:sz w:val="24"/>
      <w:szCs w:val="24"/>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tinkleliolentelviesi-1parykinimas1">
    <w:name w:val="1 tinklelio lentelė (šviesi) - 1 paryškinimas1"/>
    <w:basedOn w:val="prastojilentel"/>
    <w:next w:val="1tinkleliolentelviesi-1parykinimas"/>
    <w:uiPriority w:val="46"/>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2tinkleliolentel-1parykinimas1">
    <w:name w:val="2 tinklelio lentelė - 1 paryškinimas1"/>
    <w:basedOn w:val="prastojilentel"/>
    <w:next w:val="2tinkleliolentel-1parykinimas"/>
    <w:uiPriority w:val="47"/>
    <w:rsid w:val="005D3D1C"/>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tinkleliolentel-1parykinimas1">
    <w:name w:val="4 tinklelio lentelė - 1 paryškinimas1"/>
    <w:basedOn w:val="prastojilentel"/>
    <w:next w:val="4tinkleliolentel-1parykinimas"/>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tinkleliolenteltamsi-1parykinimas1">
    <w:name w:val="5 tinklelio lentelė (tamsi) - 1 paryškinimas1"/>
    <w:basedOn w:val="prastojilentel"/>
    <w:next w:val="5tinkleliolenteltamsi-1parykinimas"/>
    <w:uiPriority w:val="50"/>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tinkleliolentelviesi2parykinimas1">
    <w:name w:val="1 tinklelio lentelė Šviesi – 2 paryškinimas1"/>
    <w:basedOn w:val="prastojilentel"/>
    <w:next w:val="1tinkleliolentelviesi2parykinimas"/>
    <w:uiPriority w:val="46"/>
    <w:rsid w:val="005D3D1C"/>
    <w:pPr>
      <w:spacing w:after="0" w:line="240" w:lineRule="auto"/>
    </w:pPr>
    <w:rPr>
      <w:rFonts w:ascii="Calibri" w:eastAsia="Calibri" w:hAnsi="Calibri" w:cs="Times New Roman"/>
      <w:sz w:val="24"/>
      <w:szCs w:val="24"/>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2tinkleliolentel3parykinimas1">
    <w:name w:val="2 tinklelio lentelė – 3 paryškinimas1"/>
    <w:basedOn w:val="prastojilentel"/>
    <w:next w:val="2tinkleliolentel3parykinimas"/>
    <w:uiPriority w:val="47"/>
    <w:rsid w:val="005D3D1C"/>
    <w:pPr>
      <w:spacing w:after="0" w:line="240" w:lineRule="auto"/>
    </w:pPr>
    <w:rPr>
      <w:rFonts w:ascii="Calibri" w:eastAsia="Calibri" w:hAnsi="Calibri" w:cs="Times New Roman"/>
      <w:sz w:val="24"/>
      <w:szCs w:val="24"/>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tinkleliolentel3parykinimas1">
    <w:name w:val="3 tinklelio lentelė – 3 paryškinimas1"/>
    <w:basedOn w:val="prastojilentel"/>
    <w:next w:val="3tinkleliolentel3parykinimas"/>
    <w:uiPriority w:val="48"/>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4tinkleliolentel3parykinimas1">
    <w:name w:val="4 tinklelio lentelė – 3 paryškinimas1"/>
    <w:basedOn w:val="prastojilentel"/>
    <w:next w:val="4tinkleliolentel3parykinimas"/>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tinkleliolenteltamsi3parykinimas1">
    <w:name w:val="5 tinklelio lentelė (tamsi) – 3 paryškinimas1"/>
    <w:basedOn w:val="prastojilentel"/>
    <w:next w:val="5tinkleliolenteltamsi3parykinimas"/>
    <w:uiPriority w:val="50"/>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tinkleliolentelviesi5parykinimas1">
    <w:name w:val="1 tinklelio lentelė (šviesi) – 5 paryškinimas1"/>
    <w:basedOn w:val="prastojilentel"/>
    <w:next w:val="1tinkleliolentelviesi5parykinimas"/>
    <w:uiPriority w:val="46"/>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2tinkleliolentel5parykinimas1">
    <w:name w:val="2 tinklelio lentelė – 5 paryškinimas1"/>
    <w:basedOn w:val="prastojilentel"/>
    <w:next w:val="2tinkleliolentel5parykinimas"/>
    <w:uiPriority w:val="47"/>
    <w:rsid w:val="005D3D1C"/>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3tinkleliolentel5parykinimas1">
    <w:name w:val="3 tinklelio lentelė – 5 paryškinimas1"/>
    <w:basedOn w:val="prastojilentel"/>
    <w:next w:val="3tinkleliolentel5parykinimas"/>
    <w:uiPriority w:val="48"/>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4tinkleliolentel5parykinimas1">
    <w:name w:val="4 tinklelio lentelė – 5 paryškinimas1"/>
    <w:basedOn w:val="prastojilentel"/>
    <w:next w:val="4tinkleliolentel5parykinimas"/>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7tinkleliolentelspalvinga5parykinimas1">
    <w:name w:val="7 tinklelio lentelė (spalvinga) – 5 paryškinimas1"/>
    <w:basedOn w:val="prastojilentel"/>
    <w:next w:val="7tinkleliolentelspalvinga5parykinimas"/>
    <w:uiPriority w:val="52"/>
    <w:rsid w:val="005D3D1C"/>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1sraolentelviesi1">
    <w:name w:val="1 sąrašo lentelė (šviesi)1"/>
    <w:basedOn w:val="prastojilentel"/>
    <w:next w:val="1sraolentelviesi"/>
    <w:uiPriority w:val="46"/>
    <w:rsid w:val="005D3D1C"/>
    <w:pPr>
      <w:spacing w:after="0" w:line="240" w:lineRule="auto"/>
    </w:pPr>
    <w:rPr>
      <w:rFonts w:ascii="Calibri" w:eastAsia="Calibri" w:hAnsi="Calibri" w:cs="Times New Roman"/>
      <w:sz w:val="24"/>
      <w:szCs w:val="24"/>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sraolentel1parykinimas1">
    <w:name w:val="2 sąrašo lentelė – 1 paryškinimas1"/>
    <w:basedOn w:val="prastojilentel"/>
    <w:next w:val="2sraolentel1parykinimas"/>
    <w:uiPriority w:val="47"/>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sraolentel1parykinimas1">
    <w:name w:val="3 sąrašo lentelė – 1 paryškinimas1"/>
    <w:basedOn w:val="prastojilentel"/>
    <w:next w:val="3sraolentel1parykinimas"/>
    <w:uiPriority w:val="48"/>
    <w:rsid w:val="0029646A"/>
    <w:pPr>
      <w:spacing w:after="0" w:line="240" w:lineRule="auto"/>
    </w:pPr>
    <w:rPr>
      <w:rFonts w:ascii="Arial" w:eastAsia="Calibri" w:hAnsi="Arial" w:cs="Times New Roman"/>
      <w:sz w:val="20"/>
      <w:lang w:val="en-US"/>
    </w:rPr>
    <w:tblPr>
      <w:tblStyleRowBandSize w:val="1"/>
      <w:tblStyleColBandSize w:val="1"/>
      <w:jc w:val="center"/>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rPr>
      <w:jc w:val="center"/>
    </w:trPr>
    <w:tblStylePr w:type="firstRow">
      <w:pPr>
        <w:jc w:val="center"/>
      </w:pPr>
      <w:rPr>
        <w:b/>
        <w:bCs/>
        <w:color w:val="FFFFFF" w:themeColor="background1"/>
      </w:rPr>
      <w:tblPr/>
      <w:tcPr>
        <w:shd w:val="clear" w:color="auto" w:fill="4788C7"/>
        <w:vAlign w:val="center"/>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4sraolentel1parykinimas2">
    <w:name w:val="4 sąrašo lentelė – 1 paryškinimas2"/>
    <w:basedOn w:val="prastojilentel"/>
    <w:next w:val="4sraolentel1parykinimas"/>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sraolentelspalvinga1parykinimas1">
    <w:name w:val="6 sąrašo lentelė (spalvinga) – 1 paryškinimas1"/>
    <w:basedOn w:val="prastojilentel"/>
    <w:next w:val="6sraolentelspalvinga1parykinimas"/>
    <w:uiPriority w:val="51"/>
    <w:rsid w:val="005D3D1C"/>
    <w:pPr>
      <w:spacing w:after="0" w:line="240" w:lineRule="auto"/>
    </w:pPr>
    <w:rPr>
      <w:rFonts w:ascii="Calibri" w:eastAsia="Calibri" w:hAnsi="Calibri" w:cs="Times New Roman"/>
      <w:color w:val="2F5496" w:themeColor="accent1" w:themeShade="BF"/>
    </w:rPr>
    <w:tblPr>
      <w:tblStyleRowBandSize w:val="1"/>
      <w:tblStyleColBandSize w:val="1"/>
      <w:tblInd w:w="0" w:type="nil"/>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sraolentel3parykinimas1">
    <w:name w:val="3 sąrašo lentelė – 3 paryškinimas1"/>
    <w:basedOn w:val="prastojilentel"/>
    <w:next w:val="3sraolentel3parykinimas"/>
    <w:uiPriority w:val="48"/>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4sraolentel3parykinimas">
    <w:name w:val="List Table 4 Accent 3"/>
    <w:basedOn w:val="prastojilentel"/>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sraolentelviesi4parykinimas1">
    <w:name w:val="1 sąrašo lentelė (šviesi) – 4 paryškinimas1"/>
    <w:basedOn w:val="prastojilentel"/>
    <w:next w:val="1sraolentelviesi4parykinimas"/>
    <w:uiPriority w:val="46"/>
    <w:rsid w:val="005D3D1C"/>
    <w:pPr>
      <w:spacing w:after="0" w:line="240" w:lineRule="auto"/>
    </w:pPr>
    <w:rPr>
      <w:rFonts w:ascii="Calibri" w:eastAsia="Calibri" w:hAnsi="Calibri" w:cs="Times New Roman"/>
      <w:sz w:val="24"/>
      <w:szCs w:val="24"/>
    </w:rPr>
    <w:tblPr>
      <w:tblStyleRowBandSize w:val="1"/>
      <w:tblStyleColBandSize w:val="1"/>
      <w:tblInd w:w="0" w:type="nil"/>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sraolentel1parykinimas111">
    <w:name w:val="4 sąrašo lentelė – 1 paryškinimas111"/>
    <w:basedOn w:val="prastojilentel"/>
    <w:uiPriority w:val="49"/>
    <w:rsid w:val="005D3D1C"/>
    <w:pPr>
      <w:spacing w:after="0" w:line="240" w:lineRule="auto"/>
    </w:pPr>
    <w:rPr>
      <w:rFonts w:ascii="Calibri" w:eastAsia="Calibri" w:hAnsi="Calibri" w:cs="Calibri"/>
      <w:sz w:val="24"/>
      <w:szCs w:val="24"/>
    </w:rPr>
    <w:tblPr>
      <w:tblStyleRowBandSize w:val="1"/>
      <w:tblStyleColBandSize w:val="1"/>
      <w:tblInd w:w="0" w:type="nil"/>
      <w:tblBorders>
        <w:insideH w:val="single" w:sz="4" w:space="0" w:color="95B3D7"/>
      </w:tblBorders>
      <w:tblCellMar>
        <w:left w:w="0" w:type="dxa"/>
        <w:right w:w="0"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0" w:space="0" w:color="auto"/>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31">
    <w:name w:val="Grid Table 4 - Accent 31"/>
    <w:basedOn w:val="prastojilentel"/>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1">
    <w:name w:val="Grid Table 4 - Accent 321"/>
    <w:basedOn w:val="prastojilentel"/>
    <w:uiPriority w:val="49"/>
    <w:rsid w:val="005D3D1C"/>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List-Accent151">
    <w:name w:val="Light List - Accent 151"/>
    <w:basedOn w:val="prastojilentel"/>
    <w:uiPriority w:val="61"/>
    <w:rsid w:val="005D3D1C"/>
    <w:pPr>
      <w:spacing w:after="0" w:line="240" w:lineRule="auto"/>
    </w:pPr>
    <w:rPr>
      <w:rFonts w:ascii="Calibri" w:eastAsia="Calibri" w:hAnsi="Calibri" w:cs="Times New Roman"/>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entelstinklelis11">
    <w:name w:val="Lentelės tinklelis11"/>
    <w:basedOn w:val="prastojilentel"/>
    <w:uiPriority w:val="59"/>
    <w:rsid w:val="005D3D1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uiPriority w:val="39"/>
    <w:rsid w:val="005D3D1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prastojilentel"/>
    <w:uiPriority w:val="61"/>
    <w:rsid w:val="005D3D1C"/>
    <w:pPr>
      <w:spacing w:after="0" w:line="240" w:lineRule="auto"/>
    </w:pPr>
    <w:rPr>
      <w:rFonts w:ascii="Calibri" w:eastAsia="Calibri" w:hAnsi="Calibri" w:cs="Times New Roman"/>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2tinkleliolentel11">
    <w:name w:val="2 tinklelio lentelė11"/>
    <w:basedOn w:val="prastojilentel"/>
    <w:uiPriority w:val="47"/>
    <w:rsid w:val="005D3D1C"/>
    <w:pPr>
      <w:spacing w:after="0" w:line="240" w:lineRule="auto"/>
    </w:pPr>
    <w:rPr>
      <w:rFonts w:ascii="Calibri" w:eastAsia="Calibri" w:hAnsi="Calibri" w:cs="Times New Roman"/>
      <w:sz w:val="24"/>
      <w:szCs w:val="24"/>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List-Accent141">
    <w:name w:val="Light List - Accent 141"/>
    <w:basedOn w:val="prastojilentel"/>
    <w:uiPriority w:val="61"/>
    <w:rsid w:val="005D3D1C"/>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4-Accent111">
    <w:name w:val="List Table 4 - Accent 111"/>
    <w:basedOn w:val="prastojilentel"/>
    <w:uiPriority w:val="49"/>
    <w:rsid w:val="005D3D1C"/>
    <w:pPr>
      <w:spacing w:after="0" w:line="240" w:lineRule="auto"/>
    </w:pPr>
    <w:rPr>
      <w:rFonts w:ascii="Calibri" w:eastAsia="Calibri" w:hAnsi="Calibri" w:cs="Times New Roman"/>
      <w:lang w:val="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Light11">
    <w:name w:val="Table Grid Light11"/>
    <w:basedOn w:val="prastojilentel"/>
    <w:uiPriority w:val="40"/>
    <w:rsid w:val="005D3D1C"/>
    <w:pPr>
      <w:spacing w:after="0" w:line="240" w:lineRule="auto"/>
    </w:pPr>
    <w:rPr>
      <w:rFonts w:ascii="Calibri" w:eastAsia="Calibri" w:hAnsi="Calibri" w:cs="Times New Roman"/>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
    <w:name w:val="List Table 3 - Accent 111"/>
    <w:basedOn w:val="prastojilentel"/>
    <w:uiPriority w:val="48"/>
    <w:rsid w:val="005D3D1C"/>
    <w:pPr>
      <w:spacing w:after="0" w:line="240" w:lineRule="auto"/>
    </w:pPr>
    <w:rPr>
      <w:rFonts w:ascii="Calibri" w:eastAsia="Calibri" w:hAnsi="Calibri" w:cs="Times New Roman"/>
      <w:sz w:val="24"/>
      <w:szCs w:val="24"/>
      <w:lang w:val="en-US"/>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sraolentel1parykinimas111">
    <w:name w:val="3 sąrašo lentelė – 1 paryškinimas111"/>
    <w:basedOn w:val="prastojilentel"/>
    <w:uiPriority w:val="48"/>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ghtList-Accent1112">
    <w:name w:val="Light List - Accent 1112"/>
    <w:basedOn w:val="prastojilentel"/>
    <w:uiPriority w:val="61"/>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sraolentel1parykinimas12">
    <w:name w:val="4 sąrašo lentelė – 1 paryškinimas12"/>
    <w:basedOn w:val="prastojilentel"/>
    <w:uiPriority w:val="49"/>
    <w:rsid w:val="005D3D1C"/>
    <w:pPr>
      <w:spacing w:after="0" w:line="240" w:lineRule="auto"/>
    </w:pPr>
    <w:rPr>
      <w:rFonts w:ascii="Calibri" w:eastAsia="Times New Roman" w:hAnsi="Calibri" w:cs="Times New Roman"/>
      <w:sz w:val="24"/>
      <w:szCs w:val="24"/>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11">
    <w:name w:val="List Table 4 Accent 1111"/>
    <w:basedOn w:val="prastojilentel"/>
    <w:uiPriority w:val="49"/>
    <w:rsid w:val="005D3D1C"/>
    <w:pPr>
      <w:spacing w:after="0" w:line="240" w:lineRule="auto"/>
    </w:pPr>
    <w:rPr>
      <w:rFonts w:ascii="Cambria" w:eastAsia="Times New Roman" w:hAnsi="Cambria" w:cs="Times New Roman"/>
      <w:sz w:val="24"/>
      <w:szCs w:val="24"/>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1111">
    <w:name w:val="Light List - Accent 11111"/>
    <w:basedOn w:val="prastojilentel"/>
    <w:uiPriority w:val="61"/>
    <w:rsid w:val="005D3D1C"/>
    <w:pPr>
      <w:spacing w:after="0" w:line="240" w:lineRule="auto"/>
    </w:pPr>
    <w:rPr>
      <w:rFonts w:ascii="Calibri" w:eastAsia="Times New Roman" w:hAnsi="Calibri" w:cs="Times New Roman"/>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4tinkleliolentel3parykinimas2">
    <w:name w:val="4 tinklelio lentelė – 3 paryškinimas2"/>
    <w:basedOn w:val="prastojilentel"/>
    <w:next w:val="4tinkleliolentel3parykinimas"/>
    <w:uiPriority w:val="49"/>
    <w:rsid w:val="000725F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tinkleliolentel3parykinimas3">
    <w:name w:val="4 tinklelio lentelė – 3 paryškinimas3"/>
    <w:basedOn w:val="prastojilentel"/>
    <w:next w:val="4tinkleliolentel3parykinimas"/>
    <w:uiPriority w:val="49"/>
    <w:rsid w:val="00A427E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Spacing1">
    <w:name w:val="No Spacing1"/>
    <w:uiPriority w:val="1"/>
    <w:rsid w:val="00973DAF"/>
    <w:pPr>
      <w:spacing w:after="0" w:line="240" w:lineRule="auto"/>
    </w:pPr>
    <w:rPr>
      <w:rFonts w:ascii="Calibri" w:eastAsia="Calibri" w:hAnsi="Calibri" w:cs="Arial Unicode MS"/>
      <w:lang w:bidi="lo-LA"/>
    </w:rPr>
  </w:style>
  <w:style w:type="table" w:styleId="viesussraas6parykinimas">
    <w:name w:val="Light List Accent 6"/>
    <w:basedOn w:val="prastojilentel"/>
    <w:uiPriority w:val="61"/>
    <w:rsid w:val="00973DAF"/>
    <w:pPr>
      <w:spacing w:after="0" w:line="240" w:lineRule="auto"/>
    </w:pPr>
    <w:rPr>
      <w:sz w:val="24"/>
      <w:szCs w:val="24"/>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prastasis1">
    <w:name w:val="Įprastasis1"/>
    <w:rsid w:val="006D02CB"/>
    <w:pPr>
      <w:suppressAutoHyphens/>
      <w:autoSpaceDN w:val="0"/>
      <w:spacing w:line="249" w:lineRule="auto"/>
    </w:pPr>
    <w:rPr>
      <w:rFonts w:ascii="Calibri" w:eastAsia="Calibri" w:hAnsi="Calibri" w:cs="Times New Roman"/>
      <w:lang w:val="de-DE"/>
    </w:rPr>
  </w:style>
  <w:style w:type="character" w:customStyle="1" w:styleId="Numatytasispastraiposriftas1">
    <w:name w:val="Numatytasis pastraipos šriftas1"/>
    <w:rsid w:val="00C149B7"/>
  </w:style>
  <w:style w:type="character" w:customStyle="1" w:styleId="normaltextrun">
    <w:name w:val="normaltextrun"/>
    <w:basedOn w:val="Numatytasispastraiposriftas"/>
    <w:rsid w:val="0063455B"/>
  </w:style>
  <w:style w:type="character" w:customStyle="1" w:styleId="spellingerror">
    <w:name w:val="spellingerror"/>
    <w:basedOn w:val="Numatytasispastraiposriftas"/>
    <w:rsid w:val="0063455B"/>
  </w:style>
  <w:style w:type="paragraph" w:customStyle="1" w:styleId="Lentel1">
    <w:name w:val="Lentelė1"/>
    <w:basedOn w:val="prastasis"/>
    <w:link w:val="Lentel1Diagrama"/>
    <w:autoRedefine/>
    <w:qFormat/>
    <w:rsid w:val="00AC1248"/>
    <w:pPr>
      <w:spacing w:before="120" w:after="120"/>
      <w:ind w:firstLine="0"/>
      <w:jc w:val="center"/>
      <w:outlineLvl w:val="4"/>
    </w:pPr>
    <w:rPr>
      <w:rFonts w:eastAsia="Calibri" w:cs="Arial Unicode MS"/>
      <w:b/>
      <w:szCs w:val="20"/>
      <w:lang w:val="x-none" w:eastAsia="x-none" w:bidi="lo-LA"/>
    </w:rPr>
  </w:style>
  <w:style w:type="character" w:customStyle="1" w:styleId="Lentel1Diagrama">
    <w:name w:val="Lentelė1 Diagrama"/>
    <w:link w:val="Lentel1"/>
    <w:rsid w:val="00AC1248"/>
    <w:rPr>
      <w:rFonts w:ascii="Arial" w:eastAsia="Calibri" w:hAnsi="Arial" w:cs="Arial Unicode MS"/>
      <w:b/>
      <w:color w:val="000000" w:themeColor="text1"/>
      <w:szCs w:val="20"/>
      <w:lang w:val="x-none" w:eastAsia="x-none" w:bidi="lo-LA"/>
    </w:rPr>
  </w:style>
  <w:style w:type="character" w:styleId="Knygospavadinimas">
    <w:name w:val="Book Title"/>
    <w:basedOn w:val="Numatytasispastraiposriftas"/>
    <w:uiPriority w:val="33"/>
    <w:qFormat/>
    <w:rsid w:val="00232A35"/>
    <w:rPr>
      <w:rFonts w:ascii="Arial" w:hAnsi="Arial"/>
      <w:b/>
      <w:bCs/>
      <w:i w:val="0"/>
      <w:iCs/>
      <w:color w:val="auto"/>
      <w:spacing w:val="5"/>
      <w:sz w:val="22"/>
    </w:rPr>
  </w:style>
  <w:style w:type="table" w:customStyle="1" w:styleId="ListTable3-Accent112">
    <w:name w:val="List Table 3 - Accent 112"/>
    <w:basedOn w:val="prastojilentel"/>
    <w:next w:val="prastojilentel"/>
    <w:uiPriority w:val="48"/>
    <w:rsid w:val="00E851F5"/>
    <w:pPr>
      <w:spacing w:after="0" w:line="240" w:lineRule="auto"/>
    </w:pPr>
    <w:rPr>
      <w:rFonts w:eastAsiaTheme="minorEastAsia"/>
      <w:lang w:eastAsia="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visualization-table">
    <w:name w:val="visualization-table"/>
    <w:basedOn w:val="Numatytasispastraiposriftas"/>
    <w:rsid w:val="00125A7E"/>
  </w:style>
  <w:style w:type="table" w:customStyle="1" w:styleId="LightList-Accent1113">
    <w:name w:val="Light List - Accent 1113"/>
    <w:basedOn w:val="prastojilentel"/>
    <w:uiPriority w:val="61"/>
    <w:rsid w:val="00923493"/>
    <w:pPr>
      <w:spacing w:after="0" w:line="240" w:lineRule="auto"/>
    </w:pPr>
    <w:rPr>
      <w:rFonts w:eastAsiaTheme="minorEastAsia"/>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114">
    <w:name w:val="Light List - Accent 1114"/>
    <w:basedOn w:val="prastojilentel"/>
    <w:uiPriority w:val="61"/>
    <w:rsid w:val="007C1D6E"/>
    <w:pPr>
      <w:spacing w:after="0" w:line="240" w:lineRule="auto"/>
    </w:pPr>
    <w:rPr>
      <w:rFonts w:eastAsiaTheme="minorEastAsia"/>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raonra1">
    <w:name w:val="Sąrašo nėra1"/>
    <w:next w:val="Sraonra"/>
    <w:uiPriority w:val="99"/>
    <w:semiHidden/>
    <w:unhideWhenUsed/>
    <w:rsid w:val="00415AEB"/>
  </w:style>
  <w:style w:type="numbering" w:customStyle="1" w:styleId="NoList1">
    <w:name w:val="No List1"/>
    <w:next w:val="Sraonra"/>
    <w:uiPriority w:val="99"/>
    <w:semiHidden/>
    <w:unhideWhenUsed/>
    <w:rsid w:val="00415AEB"/>
  </w:style>
  <w:style w:type="table" w:customStyle="1" w:styleId="ListTable3-Accent113">
    <w:name w:val="List Table 3 - Accent 113"/>
    <w:basedOn w:val="prastojilentel"/>
    <w:next w:val="3sraolentel1parykinimas"/>
    <w:uiPriority w:val="48"/>
    <w:rsid w:val="00415AEB"/>
    <w:pPr>
      <w:spacing w:after="0" w:line="240" w:lineRule="auto"/>
    </w:pPr>
    <w:rPr>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12">
    <w:name w:val="3 sąrašo lentelė – 1 paryškinimas112"/>
    <w:basedOn w:val="prastojilentel"/>
    <w:uiPriority w:val="48"/>
    <w:rsid w:val="00415AEB"/>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ullet">
    <w:name w:val="Bullet"/>
    <w:basedOn w:val="Sraopastraipa"/>
    <w:link w:val="BulletChar"/>
    <w:rsid w:val="00415AEB"/>
    <w:pPr>
      <w:numPr>
        <w:numId w:val="2"/>
      </w:numPr>
      <w:tabs>
        <w:tab w:val="num" w:pos="360"/>
      </w:tabs>
      <w:spacing w:before="0" w:after="60" w:line="360" w:lineRule="auto"/>
      <w:ind w:left="720" w:firstLine="567"/>
      <w:contextualSpacing w:val="0"/>
    </w:pPr>
    <w:rPr>
      <w:rFonts w:ascii="Times New Roman" w:eastAsia="MS Gothic" w:hAnsi="Times New Roman" w:cs="Cambria"/>
      <w:bCs/>
      <w:sz w:val="24"/>
      <w:lang w:eastAsia="en-GB"/>
    </w:rPr>
  </w:style>
  <w:style w:type="character" w:customStyle="1" w:styleId="BulletChar">
    <w:name w:val="Bullet Char"/>
    <w:basedOn w:val="Numatytasispastraiposriftas"/>
    <w:link w:val="Bullet"/>
    <w:rsid w:val="00415AEB"/>
    <w:rPr>
      <w:rFonts w:ascii="Times New Roman" w:eastAsia="MS Gothic" w:hAnsi="Times New Roman" w:cs="Cambria"/>
      <w:bCs/>
      <w:color w:val="000000" w:themeColor="text1"/>
      <w:sz w:val="24"/>
      <w:lang w:eastAsia="en-GB"/>
    </w:rPr>
  </w:style>
  <w:style w:type="table" w:customStyle="1" w:styleId="3sraolentel1parykinimas12">
    <w:name w:val="3 sąrašo lentelė – 1 paryškinimas12"/>
    <w:basedOn w:val="prastojilentel"/>
    <w:next w:val="3sraolentel1parykinimas"/>
    <w:uiPriority w:val="48"/>
    <w:rsid w:val="00415AEB"/>
    <w:pPr>
      <w:spacing w:after="0" w:line="240" w:lineRule="auto"/>
    </w:pPr>
    <w:rPr>
      <w:rFonts w:ascii="Arial" w:hAnsi="Arial"/>
      <w:sz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pPr>
        <w:jc w:val="center"/>
      </w:pPr>
      <w:rPr>
        <w:b/>
        <w:bCs/>
        <w:color w:val="FFFFFF" w:themeColor="background1"/>
      </w:rPr>
      <w:tblPr/>
      <w:tcPr>
        <w:shd w:val="clear" w:color="auto" w:fill="4472C4" w:themeFill="accent1"/>
        <w:vAlign w:val="center"/>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Paantrat">
    <w:name w:val="Subtitle"/>
    <w:basedOn w:val="prastasis"/>
    <w:next w:val="prastasis"/>
    <w:link w:val="PaantratDiagrama"/>
    <w:qFormat/>
    <w:rsid w:val="00745D23"/>
    <w:pPr>
      <w:numPr>
        <w:ilvl w:val="1"/>
      </w:numPr>
      <w:spacing w:after="120"/>
      <w:ind w:firstLine="567"/>
      <w:jc w:val="left"/>
    </w:pPr>
    <w:rPr>
      <w:rFonts w:eastAsiaTheme="minorEastAsia"/>
      <w:b/>
      <w:color w:val="002060"/>
    </w:rPr>
  </w:style>
  <w:style w:type="character" w:customStyle="1" w:styleId="PaantratDiagrama">
    <w:name w:val="Paantraštė Diagrama"/>
    <w:basedOn w:val="Numatytasispastraiposriftas"/>
    <w:link w:val="Paantrat"/>
    <w:rsid w:val="00745D23"/>
    <w:rPr>
      <w:rFonts w:ascii="Arial" w:eastAsiaTheme="minorEastAsia" w:hAnsi="Arial"/>
      <w:b/>
      <w:color w:val="002060"/>
    </w:rPr>
  </w:style>
  <w:style w:type="paragraph" w:styleId="Pavadinimas">
    <w:name w:val="Title"/>
    <w:aliases w:val="Paveikslas"/>
    <w:basedOn w:val="prastasis"/>
    <w:next w:val="prastasis"/>
    <w:link w:val="PavadinimasDiagrama"/>
    <w:qFormat/>
    <w:rsid w:val="005429F4"/>
    <w:pPr>
      <w:spacing w:after="120"/>
      <w:ind w:firstLine="0"/>
      <w:contextualSpacing/>
      <w:jc w:val="center"/>
    </w:pPr>
    <w:rPr>
      <w:rFonts w:eastAsiaTheme="majorEastAsia" w:cstheme="majorBidi"/>
      <w:b/>
      <w:color w:val="002060"/>
      <w:kern w:val="28"/>
      <w:szCs w:val="56"/>
    </w:rPr>
  </w:style>
  <w:style w:type="character" w:customStyle="1" w:styleId="PavadinimasDiagrama">
    <w:name w:val="Pavadinimas Diagrama"/>
    <w:aliases w:val="Paveikslas Diagrama"/>
    <w:basedOn w:val="Numatytasispastraiposriftas"/>
    <w:link w:val="Pavadinimas"/>
    <w:rsid w:val="005429F4"/>
    <w:rPr>
      <w:rFonts w:ascii="Arial" w:eastAsiaTheme="majorEastAsia" w:hAnsi="Arial" w:cstheme="majorBidi"/>
      <w:b/>
      <w:color w:val="002060"/>
      <w:kern w:val="28"/>
      <w:szCs w:val="56"/>
    </w:rPr>
  </w:style>
  <w:style w:type="table" w:customStyle="1" w:styleId="LightList-Accent1115">
    <w:name w:val="Light List - Accent 1115"/>
    <w:basedOn w:val="prastojilentel"/>
    <w:next w:val="prastojilentel"/>
    <w:uiPriority w:val="61"/>
    <w:rsid w:val="00415AEB"/>
    <w:pPr>
      <w:spacing w:after="0" w:line="240" w:lineRule="auto"/>
    </w:pPr>
    <w:rPr>
      <w:rFonts w:eastAsiaTheme="minorEastAsia"/>
      <w:sz w:val="24"/>
      <w:szCs w:val="24"/>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stTable3-Accent1121">
    <w:name w:val="List Table 3 - Accent 1121"/>
    <w:basedOn w:val="prastojilentel"/>
    <w:next w:val="prastojilentel"/>
    <w:uiPriority w:val="48"/>
    <w:rsid w:val="00415AEB"/>
    <w:pPr>
      <w:spacing w:after="0" w:line="240" w:lineRule="auto"/>
    </w:pPr>
    <w:rPr>
      <w:rFonts w:eastAsiaTheme="minorEastAsia"/>
      <w:lang w:eastAsia="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21">
    <w:name w:val="3 sąrašo lentelė – 1 paryškinimas121"/>
    <w:basedOn w:val="prastojilentel"/>
    <w:next w:val="3sraolentel1parykinimas"/>
    <w:uiPriority w:val="48"/>
    <w:rsid w:val="00415AE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ghtList-Accent155">
    <w:name w:val="Light List - Accent 155"/>
    <w:basedOn w:val="prastojilentel"/>
    <w:uiPriority w:val="61"/>
    <w:rsid w:val="00415AE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lentel10">
    <w:name w:val="lentelė1"/>
    <w:basedOn w:val="prastasis"/>
    <w:link w:val="lentel1Diagrama0"/>
    <w:autoRedefine/>
    <w:rsid w:val="00415AEB"/>
    <w:pPr>
      <w:spacing w:after="120"/>
      <w:ind w:firstLine="0"/>
      <w:jc w:val="center"/>
    </w:pPr>
    <w:rPr>
      <w:rFonts w:eastAsia="Calibri" w:cs="Arial"/>
      <w:b/>
      <w:lang w:val="en-US" w:eastAsia="lt-LT" w:bidi="lo-LA"/>
    </w:rPr>
  </w:style>
  <w:style w:type="character" w:customStyle="1" w:styleId="lentel1Diagrama0">
    <w:name w:val="lentelė1 Diagrama"/>
    <w:link w:val="lentel10"/>
    <w:rsid w:val="00415AEB"/>
    <w:rPr>
      <w:rFonts w:ascii="Arial" w:eastAsia="Calibri" w:hAnsi="Arial" w:cs="Arial"/>
      <w:b/>
      <w:lang w:val="en-US" w:eastAsia="lt-LT" w:bidi="lo-LA"/>
    </w:rPr>
  </w:style>
  <w:style w:type="table" w:customStyle="1" w:styleId="ListTable3-Accent13">
    <w:name w:val="List Table 3 - Accent 13"/>
    <w:basedOn w:val="prastojilentel"/>
    <w:next w:val="3sraolentel1parykinimas"/>
    <w:uiPriority w:val="48"/>
    <w:rsid w:val="00415AEB"/>
    <w:pPr>
      <w:spacing w:after="0" w:line="240" w:lineRule="auto"/>
    </w:pPr>
    <w:rPr>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Light12">
    <w:name w:val="Table Grid Light12"/>
    <w:basedOn w:val="prastojilentel"/>
    <w:uiPriority w:val="40"/>
    <w:rsid w:val="00415AEB"/>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sraolentel1parykinimas1111">
    <w:name w:val="3 sąrašo lentelė – 1 paryškinimas1111"/>
    <w:basedOn w:val="prastojilentel"/>
    <w:uiPriority w:val="48"/>
    <w:rsid w:val="00415AEB"/>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122">
    <w:name w:val="List Table 3 - Accent 1122"/>
    <w:basedOn w:val="prastojilentel"/>
    <w:next w:val="prastojilentel"/>
    <w:uiPriority w:val="48"/>
    <w:rsid w:val="00415AEB"/>
    <w:pPr>
      <w:spacing w:after="0" w:line="240" w:lineRule="auto"/>
    </w:pPr>
    <w:rPr>
      <w:rFonts w:eastAsiaTheme="minorEastAsia"/>
      <w:lang w:eastAsia="lt-LT"/>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vlmtxt">
    <w:name w:val="vlm_txt"/>
    <w:basedOn w:val="Numatytasispastraiposriftas"/>
    <w:rsid w:val="00415AEB"/>
  </w:style>
  <w:style w:type="paragraph" w:customStyle="1" w:styleId="Text0">
    <w:name w:val="Text"/>
    <w:basedOn w:val="prastasis"/>
    <w:next w:val="prastasis"/>
    <w:link w:val="TextChar"/>
    <w:rsid w:val="00415AEB"/>
    <w:pPr>
      <w:spacing w:after="0" w:line="276" w:lineRule="auto"/>
      <w:ind w:firstLine="851"/>
    </w:pPr>
    <w:rPr>
      <w:rFonts w:asciiTheme="minorHAnsi" w:hAnsiTheme="minorHAnsi"/>
    </w:rPr>
  </w:style>
  <w:style w:type="character" w:customStyle="1" w:styleId="TextChar">
    <w:name w:val="Text Char"/>
    <w:basedOn w:val="Numatytasispastraiposriftas"/>
    <w:link w:val="Text0"/>
    <w:rsid w:val="00415AEB"/>
  </w:style>
  <w:style w:type="paragraph" w:customStyle="1" w:styleId="Style4">
    <w:name w:val="Style4"/>
    <w:basedOn w:val="Antrat4"/>
    <w:link w:val="Style4Char"/>
    <w:qFormat/>
    <w:rsid w:val="00415AEB"/>
    <w:pPr>
      <w:spacing w:before="0" w:after="0"/>
    </w:pPr>
    <w:rPr>
      <w:color w:val="1F3864" w:themeColor="accent1" w:themeShade="80"/>
    </w:rPr>
  </w:style>
  <w:style w:type="character" w:customStyle="1" w:styleId="Style4Char">
    <w:name w:val="Style4 Char"/>
    <w:basedOn w:val="Antrat4Diagrama"/>
    <w:link w:val="Style4"/>
    <w:rsid w:val="00415AEB"/>
    <w:rPr>
      <w:rFonts w:ascii="Arial" w:eastAsiaTheme="majorEastAsia" w:hAnsi="Arial" w:cstheme="majorBidi"/>
      <w:b/>
      <w:iCs/>
      <w:color w:val="1F3864" w:themeColor="accent1" w:themeShade="80"/>
    </w:rPr>
  </w:style>
  <w:style w:type="table" w:customStyle="1" w:styleId="4sraolentel3parykinimas1">
    <w:name w:val="4 sąrašo lentelė – 3 paryškinimas1"/>
    <w:basedOn w:val="prastojilentel"/>
    <w:next w:val="4sraolentel3parykinimas"/>
    <w:uiPriority w:val="49"/>
    <w:rsid w:val="00415AE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List-Accent1116">
    <w:name w:val="Light List - Accent 1116"/>
    <w:basedOn w:val="prastojilentel"/>
    <w:uiPriority w:val="61"/>
    <w:rsid w:val="00AD323C"/>
    <w:pPr>
      <w:spacing w:after="0" w:line="240" w:lineRule="auto"/>
    </w:pPr>
    <w:rPr>
      <w:rFonts w:eastAsiaTheme="minorEastAsia"/>
      <w:lang w:eastAsia="lt-L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ighlight">
    <w:name w:val="highlight"/>
    <w:basedOn w:val="Numatytasispastraiposriftas"/>
    <w:rsid w:val="001F2E02"/>
  </w:style>
  <w:style w:type="table" w:customStyle="1" w:styleId="4tinkleliolentel3parykinimas11">
    <w:name w:val="4 tinklelio lentelė – 3 paryškinimas11"/>
    <w:basedOn w:val="prastojilentel"/>
    <w:next w:val="GridTable4-Accent31"/>
    <w:uiPriority w:val="49"/>
    <w:rsid w:val="004D2831"/>
    <w:pPr>
      <w:spacing w:after="0" w:line="240" w:lineRule="auto"/>
    </w:pPr>
    <w:rPr>
      <w:rFonts w:ascii="Calibri" w:eastAsia="Calibri"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5">
    <w:name w:val="Style5"/>
    <w:basedOn w:val="Antrat5"/>
    <w:link w:val="Style5Char"/>
    <w:qFormat/>
    <w:rsid w:val="004D2831"/>
    <w:pPr>
      <w:spacing w:before="0" w:after="160"/>
    </w:pPr>
    <w:rPr>
      <w:color w:val="1F3864" w:themeColor="accent1" w:themeShade="80"/>
    </w:rPr>
  </w:style>
  <w:style w:type="character" w:customStyle="1" w:styleId="Style5Char">
    <w:name w:val="Style5 Char"/>
    <w:basedOn w:val="Antrat5Diagrama"/>
    <w:link w:val="Style5"/>
    <w:rsid w:val="004D2831"/>
    <w:rPr>
      <w:rFonts w:ascii="Arial" w:eastAsiaTheme="majorEastAsia" w:hAnsi="Arial" w:cstheme="majorBidi"/>
      <w:b/>
      <w:color w:val="1F3864" w:themeColor="accent1" w:themeShade="80"/>
    </w:rPr>
  </w:style>
  <w:style w:type="paragraph" w:customStyle="1" w:styleId="SCFigTitle">
    <w:name w:val="SC Fig Title"/>
    <w:basedOn w:val="Dokumentoinaostekstas"/>
    <w:link w:val="SCFigTitleDiagrama"/>
    <w:rsid w:val="009F5ED8"/>
    <w:rPr>
      <w:rFonts w:ascii="Calibri Light" w:eastAsia="Times New Roman" w:hAnsi="Calibri Light"/>
      <w:color w:val="4472C4" w:themeColor="accent1"/>
      <w:sz w:val="18"/>
      <w:szCs w:val="18"/>
      <w:lang w:val="en-US" w:eastAsia="en-GB"/>
    </w:rPr>
  </w:style>
  <w:style w:type="character" w:customStyle="1" w:styleId="SCFigTitleDiagrama">
    <w:name w:val="SC Fig Title Diagrama"/>
    <w:basedOn w:val="DokumentoinaostekstasDiagrama"/>
    <w:link w:val="SCFigTitle"/>
    <w:rsid w:val="009F5ED8"/>
    <w:rPr>
      <w:rFonts w:ascii="Calibri Light" w:eastAsia="Times New Roman" w:hAnsi="Calibri Light" w:cs="Times New Roman"/>
      <w:color w:val="4472C4" w:themeColor="accent1"/>
      <w:sz w:val="18"/>
      <w:szCs w:val="18"/>
      <w:lang w:val="en-US" w:eastAsia="en-GB"/>
    </w:rPr>
  </w:style>
  <w:style w:type="paragraph" w:styleId="Iliustracijsraas">
    <w:name w:val="table of figures"/>
    <w:basedOn w:val="prastasis"/>
    <w:next w:val="prastasis"/>
    <w:uiPriority w:val="99"/>
    <w:unhideWhenUsed/>
    <w:rsid w:val="00122F36"/>
    <w:pPr>
      <w:spacing w:after="0" w:line="276" w:lineRule="auto"/>
      <w:ind w:left="440" w:hanging="440"/>
      <w:jc w:val="left"/>
    </w:pPr>
    <w:rPr>
      <w:rFonts w:asciiTheme="minorHAnsi" w:eastAsia="Calibri" w:hAnsiTheme="minorHAnsi" w:cs="Times New Roman"/>
      <w:caps/>
      <w:sz w:val="20"/>
      <w:szCs w:val="20"/>
    </w:rPr>
  </w:style>
  <w:style w:type="paragraph" w:customStyle="1" w:styleId="CharChar1">
    <w:name w:val="Char Char1"/>
    <w:basedOn w:val="prastasis"/>
    <w:rsid w:val="00122F36"/>
    <w:pPr>
      <w:spacing w:line="240" w:lineRule="exact"/>
      <w:ind w:firstLine="0"/>
      <w:jc w:val="left"/>
    </w:pPr>
    <w:rPr>
      <w:rFonts w:ascii="Tahoma" w:eastAsia="Times New Roman" w:hAnsi="Tahoma" w:cs="Times New Roman"/>
      <w:sz w:val="20"/>
      <w:szCs w:val="20"/>
      <w:lang w:val="en-US"/>
    </w:rPr>
  </w:style>
  <w:style w:type="paragraph" w:customStyle="1" w:styleId="CharChar12">
    <w:name w:val="Char Char12"/>
    <w:basedOn w:val="prastasis"/>
    <w:rsid w:val="00122F36"/>
    <w:pPr>
      <w:spacing w:line="240" w:lineRule="exact"/>
      <w:ind w:firstLine="0"/>
      <w:jc w:val="left"/>
    </w:pPr>
    <w:rPr>
      <w:rFonts w:ascii="Tahoma" w:eastAsia="Times New Roman" w:hAnsi="Tahoma" w:cs="Times New Roman"/>
      <w:sz w:val="20"/>
      <w:szCs w:val="20"/>
      <w:lang w:val="en-US"/>
    </w:rPr>
  </w:style>
  <w:style w:type="paragraph" w:customStyle="1" w:styleId="CharChar11">
    <w:name w:val="Char Char11"/>
    <w:basedOn w:val="prastasis"/>
    <w:rsid w:val="00122F36"/>
    <w:pPr>
      <w:spacing w:line="240" w:lineRule="exact"/>
      <w:ind w:firstLine="0"/>
      <w:jc w:val="left"/>
    </w:pPr>
    <w:rPr>
      <w:rFonts w:ascii="Tahoma" w:eastAsia="Times New Roman" w:hAnsi="Tahoma" w:cs="Times New Roman"/>
      <w:sz w:val="20"/>
      <w:szCs w:val="20"/>
      <w:lang w:val="en-US"/>
    </w:rPr>
  </w:style>
  <w:style w:type="character" w:styleId="Vietosrezervavimoenklotekstas">
    <w:name w:val="Placeholder Text"/>
    <w:uiPriority w:val="99"/>
    <w:semiHidden/>
    <w:rsid w:val="00122F36"/>
    <w:rPr>
      <w:color w:val="808080"/>
    </w:rPr>
  </w:style>
  <w:style w:type="paragraph" w:customStyle="1" w:styleId="CharChar13">
    <w:name w:val="Char Char13"/>
    <w:basedOn w:val="prastasis"/>
    <w:rsid w:val="00122F36"/>
    <w:pPr>
      <w:spacing w:line="240" w:lineRule="exact"/>
      <w:ind w:firstLine="0"/>
      <w:jc w:val="left"/>
    </w:pPr>
    <w:rPr>
      <w:rFonts w:ascii="Tahoma" w:eastAsia="Times New Roman" w:hAnsi="Tahoma" w:cs="Times New Roman"/>
      <w:sz w:val="20"/>
      <w:szCs w:val="20"/>
      <w:lang w:val="en-US"/>
    </w:rPr>
  </w:style>
  <w:style w:type="paragraph" w:customStyle="1" w:styleId="CharChar14">
    <w:name w:val="Char Char14"/>
    <w:basedOn w:val="prastasis"/>
    <w:rsid w:val="00122F36"/>
    <w:pPr>
      <w:spacing w:line="240" w:lineRule="exact"/>
      <w:ind w:firstLine="0"/>
      <w:jc w:val="left"/>
    </w:pPr>
    <w:rPr>
      <w:rFonts w:ascii="Tahoma" w:eastAsia="Times New Roman" w:hAnsi="Tahoma" w:cs="Times New Roman"/>
      <w:sz w:val="20"/>
      <w:szCs w:val="20"/>
      <w:lang w:val="en-US"/>
    </w:rPr>
  </w:style>
  <w:style w:type="paragraph" w:customStyle="1" w:styleId="DiagramaDiagramaDiagramaDiagramaDiagrama">
    <w:name w:val="Diagrama Diagrama Diagrama Diagrama Diagrama"/>
    <w:basedOn w:val="prastasis"/>
    <w:rsid w:val="00122F36"/>
    <w:pPr>
      <w:spacing w:line="240" w:lineRule="exact"/>
      <w:ind w:firstLine="0"/>
      <w:jc w:val="left"/>
    </w:pPr>
    <w:rPr>
      <w:rFonts w:ascii="Tahoma" w:eastAsia="Times New Roman" w:hAnsi="Tahoma" w:cs="Times New Roman"/>
      <w:sz w:val="20"/>
      <w:szCs w:val="20"/>
      <w:lang w:val="en-US"/>
    </w:rPr>
  </w:style>
  <w:style w:type="paragraph" w:customStyle="1" w:styleId="CM1">
    <w:name w:val="CM1"/>
    <w:basedOn w:val="Default"/>
    <w:next w:val="Default"/>
    <w:uiPriority w:val="99"/>
    <w:rsid w:val="00122F36"/>
    <w:rPr>
      <w:rFonts w:ascii="EUAlbertina" w:eastAsia="Calibri" w:hAnsi="EUAlbertina" w:cs="Times New Roman"/>
      <w:color w:val="auto"/>
      <w:lang w:eastAsia="lt-LT"/>
    </w:rPr>
  </w:style>
  <w:style w:type="paragraph" w:customStyle="1" w:styleId="CM3">
    <w:name w:val="CM3"/>
    <w:basedOn w:val="Default"/>
    <w:next w:val="Default"/>
    <w:uiPriority w:val="99"/>
    <w:rsid w:val="00122F36"/>
    <w:rPr>
      <w:rFonts w:ascii="EUAlbertina" w:eastAsia="Calibri" w:hAnsi="EUAlbertina" w:cs="Times New Roman"/>
      <w:color w:val="auto"/>
      <w:lang w:eastAsia="lt-LT"/>
    </w:rPr>
  </w:style>
  <w:style w:type="paragraph" w:customStyle="1" w:styleId="Text1">
    <w:name w:val="Text 1"/>
    <w:basedOn w:val="prastasis"/>
    <w:rsid w:val="00122F36"/>
    <w:pPr>
      <w:spacing w:after="240" w:line="240" w:lineRule="auto"/>
      <w:ind w:left="482" w:firstLine="0"/>
    </w:pPr>
    <w:rPr>
      <w:rFonts w:ascii="Times New Roman" w:eastAsia="Times New Roman" w:hAnsi="Times New Roman" w:cs="Times New Roman"/>
      <w:sz w:val="24"/>
      <w:szCs w:val="20"/>
      <w:lang w:val="en-GB"/>
    </w:rPr>
  </w:style>
  <w:style w:type="character" w:customStyle="1" w:styleId="icon-xls">
    <w:name w:val="icon-xls"/>
    <w:basedOn w:val="Numatytasispastraiposriftas"/>
    <w:rsid w:val="00122F36"/>
  </w:style>
  <w:style w:type="table" w:styleId="1paprastojilentel">
    <w:name w:val="Plain Table 1"/>
    <w:basedOn w:val="prastojilentel"/>
    <w:uiPriority w:val="41"/>
    <w:rsid w:val="00122F3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ipTable">
    <w:name w:val="Tip Table"/>
    <w:basedOn w:val="prastojilentel"/>
    <w:uiPriority w:val="99"/>
    <w:rsid w:val="00122F36"/>
    <w:pPr>
      <w:spacing w:after="0" w:line="240" w:lineRule="auto"/>
    </w:pPr>
    <w:rPr>
      <w:color w:val="404040" w:themeColor="text1" w:themeTint="BF"/>
      <w:sz w:val="18"/>
      <w:szCs w:val="20"/>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character" w:customStyle="1" w:styleId="Antrat7Diagrama">
    <w:name w:val="Antraštė 7 Diagrama"/>
    <w:basedOn w:val="Numatytasispastraiposriftas"/>
    <w:link w:val="Antrat7"/>
    <w:uiPriority w:val="9"/>
    <w:rsid w:val="00CE7F18"/>
    <w:rPr>
      <w:rFonts w:asciiTheme="majorHAnsi" w:eastAsiaTheme="majorEastAsia" w:hAnsiTheme="majorHAnsi" w:cstheme="majorBidi"/>
      <w:i/>
      <w:iCs/>
      <w:color w:val="1F3763" w:themeColor="accent1" w:themeShade="7F"/>
    </w:rPr>
  </w:style>
  <w:style w:type="paragraph" w:customStyle="1" w:styleId="Tekstostilius">
    <w:name w:val="Teksto stilius"/>
    <w:basedOn w:val="Teksto"/>
    <w:link w:val="TekstostiliusDiagrama"/>
    <w:qFormat/>
    <w:rsid w:val="00C12859"/>
    <w:pPr>
      <w:spacing w:after="160" w:line="259" w:lineRule="auto"/>
      <w:ind w:firstLine="567"/>
    </w:pPr>
    <w:rPr>
      <w:rFonts w:ascii="Arial" w:hAnsi="Arial"/>
      <w:sz w:val="22"/>
    </w:rPr>
  </w:style>
  <w:style w:type="character" w:customStyle="1" w:styleId="TekstostiliusDiagrama">
    <w:name w:val="Teksto stilius Diagrama"/>
    <w:basedOn w:val="TekstoChar"/>
    <w:link w:val="Tekstostilius"/>
    <w:rsid w:val="00C12859"/>
    <w:rPr>
      <w:rFonts w:ascii="Arial" w:eastAsia="Calibri" w:hAnsi="Arial" w:cs="Times New Roman"/>
      <w:color w:val="000000" w:themeColor="text1"/>
      <w:sz w:val="20"/>
      <w:szCs w:val="20"/>
      <w:lang w:val="en-US" w:eastAsia="lt-LT"/>
    </w:rPr>
  </w:style>
  <w:style w:type="paragraph" w:customStyle="1" w:styleId="Poskyris">
    <w:name w:val="Poskyris"/>
    <w:basedOn w:val="Antrat2"/>
    <w:link w:val="PoskyrisDiagrama"/>
    <w:autoRedefine/>
    <w:qFormat/>
    <w:rsid w:val="00A050C6"/>
    <w:pPr>
      <w:tabs>
        <w:tab w:val="left" w:pos="567"/>
        <w:tab w:val="left" w:pos="993"/>
      </w:tabs>
      <w:suppressAutoHyphens/>
      <w:spacing w:before="0" w:line="22" w:lineRule="atLeast"/>
      <w:ind w:firstLine="0"/>
      <w:jc w:val="left"/>
    </w:pPr>
    <w:rPr>
      <w:rFonts w:eastAsiaTheme="minorHAnsi" w:cs="Arial"/>
      <w:szCs w:val="24"/>
      <w:lang w:eastAsia="lt-LT"/>
    </w:rPr>
  </w:style>
  <w:style w:type="character" w:customStyle="1" w:styleId="PoskyrisDiagrama">
    <w:name w:val="Poskyris Diagrama"/>
    <w:basedOn w:val="Antrat2Diagrama"/>
    <w:link w:val="Poskyris"/>
    <w:rsid w:val="00A050C6"/>
    <w:rPr>
      <w:rFonts w:ascii="Arial" w:eastAsiaTheme="majorEastAsia" w:hAnsi="Arial" w:cs="Arial"/>
      <w:b/>
      <w:color w:val="002060"/>
      <w:sz w:val="24"/>
      <w:szCs w:val="24"/>
      <w:lang w:eastAsia="lt-LT"/>
    </w:rPr>
  </w:style>
  <w:style w:type="table" w:customStyle="1" w:styleId="3sraolentel1parykinimas15">
    <w:name w:val="3 sąrašo lentelė – 1 paryškinimas15"/>
    <w:basedOn w:val="prastojilentel"/>
    <w:next w:val="ListTable3-Accent11"/>
    <w:uiPriority w:val="48"/>
    <w:rsid w:val="00B817A5"/>
    <w:pPr>
      <w:spacing w:after="0" w:line="240" w:lineRule="auto"/>
    </w:pPr>
    <w:rPr>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i-provider">
    <w:name w:val="ui-provider"/>
    <w:basedOn w:val="Numatytasispastraiposriftas"/>
    <w:rsid w:val="00CE7B53"/>
  </w:style>
  <w:style w:type="table" w:customStyle="1" w:styleId="3sraolentel1parykinimas13">
    <w:name w:val="3 sąrašo lentelė – 1 paryškinimas13"/>
    <w:basedOn w:val="prastojilentel"/>
    <w:uiPriority w:val="48"/>
    <w:rsid w:val="00B8315D"/>
    <w:pPr>
      <w:spacing w:after="0" w:line="240" w:lineRule="auto"/>
    </w:pPr>
    <w:rPr>
      <w:rFonts w:ascii="Arial" w:eastAsia="Calibri" w:hAnsi="Arial" w:cs="Times New Roman"/>
      <w:sz w:val="20"/>
      <w:lang w:val="en-US"/>
    </w:rPr>
    <w:tblPr>
      <w:tblStyleRowBandSize w:val="1"/>
      <w:tblStyleColBandSize w:val="1"/>
      <w:jc w:val="center"/>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rPr>
      <w:jc w:val="center"/>
    </w:trPr>
    <w:tblStylePr w:type="firstRow">
      <w:pPr>
        <w:jc w:val="center"/>
      </w:pPr>
      <w:rPr>
        <w:b/>
        <w:bCs/>
        <w:color w:val="FFFFFF" w:themeColor="background1"/>
      </w:rPr>
      <w:tblPr/>
      <w:tcPr>
        <w:shd w:val="clear" w:color="auto" w:fill="4788C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4">
    <w:name w:val="3 sąrašo lentelė – 1 paryškinimas14"/>
    <w:basedOn w:val="prastojilentel"/>
    <w:uiPriority w:val="48"/>
    <w:rsid w:val="005205D6"/>
    <w:pPr>
      <w:spacing w:after="0" w:line="240" w:lineRule="auto"/>
    </w:pPr>
    <w:rPr>
      <w:rFonts w:ascii="Arial" w:eastAsia="Calibri" w:hAnsi="Arial" w:cs="Times New Roman"/>
      <w:sz w:val="20"/>
      <w:lang w:val="en-US"/>
    </w:rPr>
    <w:tblPr>
      <w:tblStyleRowBandSize w:val="1"/>
      <w:tblStyleColBandSize w:val="1"/>
      <w:jc w:val="center"/>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rPr>
      <w:jc w:val="center"/>
    </w:trPr>
    <w:tblStylePr w:type="firstRow">
      <w:pPr>
        <w:jc w:val="center"/>
      </w:pPr>
      <w:rPr>
        <w:b/>
        <w:bCs/>
        <w:color w:val="FFFFFF" w:themeColor="background1"/>
      </w:rPr>
      <w:tblPr/>
      <w:tcPr>
        <w:shd w:val="clear" w:color="auto" w:fill="4788C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1parykinimas16">
    <w:name w:val="3 sąrašo lentelė – 1 paryškinimas16"/>
    <w:basedOn w:val="prastojilentel"/>
    <w:uiPriority w:val="48"/>
    <w:rsid w:val="00F25D85"/>
    <w:pPr>
      <w:spacing w:after="0" w:line="240" w:lineRule="auto"/>
    </w:pPr>
    <w:rPr>
      <w:rFonts w:ascii="Arial" w:eastAsia="Calibri" w:hAnsi="Arial" w:cs="Times New Roman"/>
      <w:sz w:val="20"/>
      <w:lang w:val="en-US"/>
    </w:rPr>
    <w:tblPr>
      <w:tblStyleRowBandSize w:val="1"/>
      <w:tblStyleColBandSize w:val="1"/>
      <w:jc w:val="center"/>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rPr>
      <w:jc w:val="center"/>
    </w:trPr>
    <w:tblStylePr w:type="firstRow">
      <w:pPr>
        <w:jc w:val="center"/>
      </w:pPr>
      <w:rPr>
        <w:b/>
        <w:bCs/>
        <w:color w:val="FFFFFF" w:themeColor="background1"/>
      </w:rPr>
      <w:tblPr/>
      <w:tcPr>
        <w:shd w:val="clear" w:color="auto" w:fill="4788C7"/>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eop">
    <w:name w:val="eop"/>
    <w:basedOn w:val="Numatytasispastraiposriftas"/>
    <w:rsid w:val="003049B3"/>
  </w:style>
  <w:style w:type="character" w:customStyle="1" w:styleId="cf01">
    <w:name w:val="cf01"/>
    <w:basedOn w:val="Numatytasispastraiposriftas"/>
    <w:rsid w:val="009872E3"/>
    <w:rPr>
      <w:rFonts w:ascii="Segoe UI" w:hAnsi="Segoe UI" w:cs="Segoe UI" w:hint="default"/>
      <w:sz w:val="18"/>
      <w:szCs w:val="18"/>
    </w:rPr>
  </w:style>
  <w:style w:type="table" w:customStyle="1" w:styleId="3sraolentel1parykinimas1121">
    <w:name w:val="3 sąrašo lentelė – 1 paryškinimas1121"/>
    <w:basedOn w:val="prastojilentel"/>
    <w:uiPriority w:val="48"/>
    <w:rsid w:val="003F39D7"/>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ghtList-Accent152">
    <w:name w:val="Light List - Accent 152"/>
    <w:basedOn w:val="prastojilentel"/>
    <w:uiPriority w:val="61"/>
    <w:rsid w:val="007C0D4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aymui">
    <w:name w:val="Rašymui"/>
    <w:basedOn w:val="prastasis"/>
    <w:link w:val="RaymuiDiagrama"/>
    <w:qFormat/>
    <w:rsid w:val="00B81A06"/>
    <w:pPr>
      <w:suppressAutoHyphens/>
      <w:autoSpaceDN w:val="0"/>
      <w:ind w:firstLine="0"/>
      <w:jc w:val="left"/>
      <w:textAlignment w:val="baseline"/>
    </w:pPr>
    <w:rPr>
      <w:rFonts w:eastAsia="SegoeUI" w:cs="Arial"/>
      <w:color w:val="auto"/>
      <w:w w:val="105"/>
      <w:szCs w:val="38"/>
    </w:rPr>
  </w:style>
  <w:style w:type="character" w:customStyle="1" w:styleId="RaymuiDiagrama">
    <w:name w:val="Rašymui Diagrama"/>
    <w:basedOn w:val="Numatytasispastraiposriftas"/>
    <w:link w:val="Raymui"/>
    <w:rsid w:val="00B81A06"/>
    <w:rPr>
      <w:rFonts w:ascii="Arial" w:eastAsia="SegoeUI" w:hAnsi="Arial" w:cs="Arial"/>
      <w:w w:val="105"/>
      <w:szCs w:val="38"/>
    </w:rPr>
  </w:style>
  <w:style w:type="paragraph" w:customStyle="1" w:styleId="pf0">
    <w:name w:val="pf0"/>
    <w:basedOn w:val="prastasis"/>
    <w:rsid w:val="00BE13DC"/>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eastAsia="lt-LT"/>
    </w:rPr>
  </w:style>
  <w:style w:type="character" w:customStyle="1" w:styleId="cf11">
    <w:name w:val="cf11"/>
    <w:basedOn w:val="Numatytasispastraiposriftas"/>
    <w:rsid w:val="00BE13DC"/>
    <w:rPr>
      <w:rFonts w:ascii="Segoe UI" w:hAnsi="Segoe UI" w:cs="Segoe UI" w:hint="default"/>
      <w:sz w:val="18"/>
      <w:szCs w:val="18"/>
      <w:vertAlign w:val="superscript"/>
    </w:rPr>
  </w:style>
  <w:style w:type="paragraph" w:customStyle="1" w:styleId="SUPERSChar">
    <w:name w:val="SUPERS Char"/>
    <w:aliases w:val="EN Footnote Reference Char"/>
    <w:basedOn w:val="prastasis"/>
    <w:link w:val="Puslapioinaosnuoroda"/>
    <w:uiPriority w:val="99"/>
    <w:rsid w:val="00C146DB"/>
    <w:pPr>
      <w:spacing w:before="120" w:line="240" w:lineRule="exact"/>
      <w:ind w:firstLine="0"/>
    </w:pPr>
    <w:rPr>
      <w:rFonts w:asciiTheme="minorHAnsi" w:hAnsiTheme="minorHAnsi"/>
      <w:color w:val="auto"/>
      <w:vertAlign w:val="superscript"/>
    </w:rPr>
  </w:style>
  <w:style w:type="character" w:styleId="Neapdorotaspaminjimas">
    <w:name w:val="Unresolved Mention"/>
    <w:basedOn w:val="Numatytasispastraiposriftas"/>
    <w:uiPriority w:val="99"/>
    <w:semiHidden/>
    <w:unhideWhenUsed/>
    <w:rsid w:val="004A5707"/>
    <w:rPr>
      <w:color w:val="605E5C"/>
      <w:shd w:val="clear" w:color="auto" w:fill="E1DFDD"/>
    </w:rPr>
  </w:style>
  <w:style w:type="numbering" w:customStyle="1" w:styleId="Sraonra2">
    <w:name w:val="Sąrašo nėra2"/>
    <w:next w:val="Sraonra"/>
    <w:uiPriority w:val="99"/>
    <w:semiHidden/>
    <w:unhideWhenUsed/>
    <w:rsid w:val="004F263A"/>
  </w:style>
  <w:style w:type="table" w:customStyle="1" w:styleId="GridTable4-Accent311">
    <w:name w:val="Grid Table 4 - Accent 311"/>
    <w:basedOn w:val="prastojilentel"/>
    <w:uiPriority w:val="49"/>
    <w:rsid w:val="004F263A"/>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tinkleliolenteltamsi">
    <w:name w:val="Grid Table 5 Dark"/>
    <w:basedOn w:val="prastojilentel"/>
    <w:uiPriority w:val="50"/>
    <w:rsid w:val="004F26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viesussraas1parykinimas11">
    <w:name w:val="Šviesus sąrašas – 1 paryškinimas11"/>
    <w:basedOn w:val="prastojilentel"/>
    <w:next w:val="viesussraas1parykinimas1"/>
    <w:uiPriority w:val="61"/>
    <w:rsid w:val="004F263A"/>
    <w:pPr>
      <w:spacing w:after="0" w:line="240" w:lineRule="auto"/>
    </w:pPr>
    <w:rPr>
      <w:rFonts w:ascii="Cambria" w:eastAsia="MS Mincho" w:hAnsi="Cambria" w:cs="Times New Roman"/>
      <w:sz w:val="24"/>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GridTable4-Accent11">
    <w:name w:val="Grid Table 4 - Accent 11"/>
    <w:basedOn w:val="prastojilentel"/>
    <w:uiPriority w:val="49"/>
    <w:rsid w:val="004F263A"/>
    <w:pPr>
      <w:spacing w:after="0" w:line="240" w:lineRule="auto"/>
    </w:pPr>
    <w:rPr>
      <w:rFonts w:eastAsiaTheme="minorEastAsia"/>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raonra3">
    <w:name w:val="Sąrašo nėra3"/>
    <w:next w:val="Sraonra"/>
    <w:uiPriority w:val="99"/>
    <w:semiHidden/>
    <w:unhideWhenUsed/>
    <w:rsid w:val="004F263A"/>
  </w:style>
  <w:style w:type="table" w:customStyle="1" w:styleId="LightList-Accent113">
    <w:name w:val="Light List - Accent 113"/>
    <w:basedOn w:val="prastojilentel"/>
    <w:uiPriority w:val="61"/>
    <w:rsid w:val="004F263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14">
    <w:name w:val="Light List - Accent 114"/>
    <w:basedOn w:val="prastojilentel"/>
    <w:uiPriority w:val="61"/>
    <w:rsid w:val="004F263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GridTable4-Accent312">
    <w:name w:val="Grid Table 4 - Accent 312"/>
    <w:basedOn w:val="prastojilentel"/>
    <w:uiPriority w:val="49"/>
    <w:rsid w:val="004F263A"/>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ghtList-Accent115">
    <w:name w:val="Light List - Accent 115"/>
    <w:basedOn w:val="prastojilentel"/>
    <w:uiPriority w:val="61"/>
    <w:rsid w:val="004F263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GridTable4-Accent322">
    <w:name w:val="Grid Table 4 - Accent 322"/>
    <w:basedOn w:val="prastojilentel"/>
    <w:next w:val="4tinkleliolentel3parykinimas"/>
    <w:uiPriority w:val="49"/>
    <w:rsid w:val="004F26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3">
    <w:name w:val="Grid Table 4 - Accent 323"/>
    <w:basedOn w:val="prastojilentel"/>
    <w:next w:val="4tinkleliolentel3parykinimas"/>
    <w:uiPriority w:val="49"/>
    <w:rsid w:val="004F26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viesussraas1parykinimas2">
    <w:name w:val="Šviesus sąrašas – 1 paryškinimas2"/>
    <w:basedOn w:val="prastojilentel"/>
    <w:uiPriority w:val="61"/>
    <w:rsid w:val="004F263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iesusspalvinimas3parykinimas1">
    <w:name w:val="Šviesus spalvinimas – 3 paryškinimas1"/>
    <w:basedOn w:val="prastojilentel"/>
    <w:next w:val="viesusspalvinimas3parykinimas"/>
    <w:uiPriority w:val="60"/>
    <w:rsid w:val="004F263A"/>
    <w:pPr>
      <w:spacing w:after="0" w:line="240" w:lineRule="auto"/>
    </w:pPr>
    <w:rPr>
      <w:rFonts w:ascii="Calibri" w:eastAsia="Calibri" w:hAnsi="Calibri" w:cs="Times New Roman"/>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iesusspalvinimas3parykinimas">
    <w:name w:val="Light Shading Accent 3"/>
    <w:basedOn w:val="prastojilentel"/>
    <w:uiPriority w:val="60"/>
    <w:semiHidden/>
    <w:unhideWhenUsed/>
    <w:rsid w:val="004F263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stTable3-Accent313">
    <w:name w:val="List Table 3 - Accent 313"/>
    <w:basedOn w:val="prastojilentel"/>
    <w:uiPriority w:val="48"/>
    <w:rsid w:val="004F263A"/>
    <w:pPr>
      <w:spacing w:after="0" w:line="240" w:lineRule="auto"/>
    </w:pPr>
    <w:rPr>
      <w:sz w:val="24"/>
      <w:szCs w:val="24"/>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sraolentel5parykinimas">
    <w:name w:val="List Table 3 Accent 5"/>
    <w:basedOn w:val="prastojilentel"/>
    <w:uiPriority w:val="48"/>
    <w:rsid w:val="007A4E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sraolentel1parykinimas17">
    <w:name w:val="3 sąrašo lentelė – 1 paryškinimas17"/>
    <w:basedOn w:val="prastojilentel"/>
    <w:next w:val="3sraolentel1parykinimas"/>
    <w:uiPriority w:val="48"/>
    <w:rsid w:val="00454E77"/>
    <w:pPr>
      <w:spacing w:after="0" w:line="240" w:lineRule="auto"/>
    </w:pPr>
    <w:rPr>
      <w:rFonts w:ascii="Arial" w:eastAsia="Calibri" w:hAnsi="Arial" w:cs="Times New Roman"/>
      <w:sz w:val="20"/>
      <w:lang w:val="en-US"/>
    </w:rPr>
    <w:tblPr>
      <w:tblStyleRowBandSize w:val="1"/>
      <w:tblStyleColBandSize w:val="1"/>
      <w:jc w:val="center"/>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rPr>
      <w:jc w:val="center"/>
    </w:trPr>
    <w:tblStylePr w:type="firstRow">
      <w:pPr>
        <w:jc w:val="center"/>
      </w:pPr>
      <w:rPr>
        <w:b/>
        <w:bCs/>
        <w:color w:val="FFFFFF" w:themeColor="background1"/>
      </w:rPr>
      <w:tblPr/>
      <w:tcPr>
        <w:shd w:val="clear" w:color="auto" w:fill="4788C7"/>
        <w:vAlign w:val="center"/>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86">
      <w:bodyDiv w:val="1"/>
      <w:marLeft w:val="0"/>
      <w:marRight w:val="0"/>
      <w:marTop w:val="0"/>
      <w:marBottom w:val="0"/>
      <w:divBdr>
        <w:top w:val="none" w:sz="0" w:space="0" w:color="auto"/>
        <w:left w:val="none" w:sz="0" w:space="0" w:color="auto"/>
        <w:bottom w:val="none" w:sz="0" w:space="0" w:color="auto"/>
        <w:right w:val="none" w:sz="0" w:space="0" w:color="auto"/>
      </w:divBdr>
    </w:div>
    <w:div w:id="1979636">
      <w:bodyDiv w:val="1"/>
      <w:marLeft w:val="0"/>
      <w:marRight w:val="0"/>
      <w:marTop w:val="0"/>
      <w:marBottom w:val="0"/>
      <w:divBdr>
        <w:top w:val="none" w:sz="0" w:space="0" w:color="auto"/>
        <w:left w:val="none" w:sz="0" w:space="0" w:color="auto"/>
        <w:bottom w:val="none" w:sz="0" w:space="0" w:color="auto"/>
        <w:right w:val="none" w:sz="0" w:space="0" w:color="auto"/>
      </w:divBdr>
    </w:div>
    <w:div w:id="6097982">
      <w:bodyDiv w:val="1"/>
      <w:marLeft w:val="0"/>
      <w:marRight w:val="0"/>
      <w:marTop w:val="0"/>
      <w:marBottom w:val="0"/>
      <w:divBdr>
        <w:top w:val="none" w:sz="0" w:space="0" w:color="auto"/>
        <w:left w:val="none" w:sz="0" w:space="0" w:color="auto"/>
        <w:bottom w:val="none" w:sz="0" w:space="0" w:color="auto"/>
        <w:right w:val="none" w:sz="0" w:space="0" w:color="auto"/>
      </w:divBdr>
    </w:div>
    <w:div w:id="12152683">
      <w:bodyDiv w:val="1"/>
      <w:marLeft w:val="0"/>
      <w:marRight w:val="0"/>
      <w:marTop w:val="0"/>
      <w:marBottom w:val="0"/>
      <w:divBdr>
        <w:top w:val="none" w:sz="0" w:space="0" w:color="auto"/>
        <w:left w:val="none" w:sz="0" w:space="0" w:color="auto"/>
        <w:bottom w:val="none" w:sz="0" w:space="0" w:color="auto"/>
        <w:right w:val="none" w:sz="0" w:space="0" w:color="auto"/>
      </w:divBdr>
    </w:div>
    <w:div w:id="27072837">
      <w:bodyDiv w:val="1"/>
      <w:marLeft w:val="0"/>
      <w:marRight w:val="0"/>
      <w:marTop w:val="0"/>
      <w:marBottom w:val="0"/>
      <w:divBdr>
        <w:top w:val="none" w:sz="0" w:space="0" w:color="auto"/>
        <w:left w:val="none" w:sz="0" w:space="0" w:color="auto"/>
        <w:bottom w:val="none" w:sz="0" w:space="0" w:color="auto"/>
        <w:right w:val="none" w:sz="0" w:space="0" w:color="auto"/>
      </w:divBdr>
    </w:div>
    <w:div w:id="28998550">
      <w:bodyDiv w:val="1"/>
      <w:marLeft w:val="0"/>
      <w:marRight w:val="0"/>
      <w:marTop w:val="0"/>
      <w:marBottom w:val="0"/>
      <w:divBdr>
        <w:top w:val="none" w:sz="0" w:space="0" w:color="auto"/>
        <w:left w:val="none" w:sz="0" w:space="0" w:color="auto"/>
        <w:bottom w:val="none" w:sz="0" w:space="0" w:color="auto"/>
        <w:right w:val="none" w:sz="0" w:space="0" w:color="auto"/>
      </w:divBdr>
    </w:div>
    <w:div w:id="36511720">
      <w:bodyDiv w:val="1"/>
      <w:marLeft w:val="0"/>
      <w:marRight w:val="0"/>
      <w:marTop w:val="0"/>
      <w:marBottom w:val="0"/>
      <w:divBdr>
        <w:top w:val="none" w:sz="0" w:space="0" w:color="auto"/>
        <w:left w:val="none" w:sz="0" w:space="0" w:color="auto"/>
        <w:bottom w:val="none" w:sz="0" w:space="0" w:color="auto"/>
        <w:right w:val="none" w:sz="0" w:space="0" w:color="auto"/>
      </w:divBdr>
    </w:div>
    <w:div w:id="42023045">
      <w:bodyDiv w:val="1"/>
      <w:marLeft w:val="0"/>
      <w:marRight w:val="0"/>
      <w:marTop w:val="0"/>
      <w:marBottom w:val="0"/>
      <w:divBdr>
        <w:top w:val="none" w:sz="0" w:space="0" w:color="auto"/>
        <w:left w:val="none" w:sz="0" w:space="0" w:color="auto"/>
        <w:bottom w:val="none" w:sz="0" w:space="0" w:color="auto"/>
        <w:right w:val="none" w:sz="0" w:space="0" w:color="auto"/>
      </w:divBdr>
    </w:div>
    <w:div w:id="43607287">
      <w:bodyDiv w:val="1"/>
      <w:marLeft w:val="0"/>
      <w:marRight w:val="0"/>
      <w:marTop w:val="0"/>
      <w:marBottom w:val="0"/>
      <w:divBdr>
        <w:top w:val="none" w:sz="0" w:space="0" w:color="auto"/>
        <w:left w:val="none" w:sz="0" w:space="0" w:color="auto"/>
        <w:bottom w:val="none" w:sz="0" w:space="0" w:color="auto"/>
        <w:right w:val="none" w:sz="0" w:space="0" w:color="auto"/>
      </w:divBdr>
    </w:div>
    <w:div w:id="44254490">
      <w:bodyDiv w:val="1"/>
      <w:marLeft w:val="0"/>
      <w:marRight w:val="0"/>
      <w:marTop w:val="0"/>
      <w:marBottom w:val="0"/>
      <w:divBdr>
        <w:top w:val="none" w:sz="0" w:space="0" w:color="auto"/>
        <w:left w:val="none" w:sz="0" w:space="0" w:color="auto"/>
        <w:bottom w:val="none" w:sz="0" w:space="0" w:color="auto"/>
        <w:right w:val="none" w:sz="0" w:space="0" w:color="auto"/>
      </w:divBdr>
    </w:div>
    <w:div w:id="51973318">
      <w:bodyDiv w:val="1"/>
      <w:marLeft w:val="0"/>
      <w:marRight w:val="0"/>
      <w:marTop w:val="0"/>
      <w:marBottom w:val="0"/>
      <w:divBdr>
        <w:top w:val="none" w:sz="0" w:space="0" w:color="auto"/>
        <w:left w:val="none" w:sz="0" w:space="0" w:color="auto"/>
        <w:bottom w:val="none" w:sz="0" w:space="0" w:color="auto"/>
        <w:right w:val="none" w:sz="0" w:space="0" w:color="auto"/>
      </w:divBdr>
    </w:div>
    <w:div w:id="55320109">
      <w:bodyDiv w:val="1"/>
      <w:marLeft w:val="0"/>
      <w:marRight w:val="0"/>
      <w:marTop w:val="0"/>
      <w:marBottom w:val="0"/>
      <w:divBdr>
        <w:top w:val="none" w:sz="0" w:space="0" w:color="auto"/>
        <w:left w:val="none" w:sz="0" w:space="0" w:color="auto"/>
        <w:bottom w:val="none" w:sz="0" w:space="0" w:color="auto"/>
        <w:right w:val="none" w:sz="0" w:space="0" w:color="auto"/>
      </w:divBdr>
      <w:divsChild>
        <w:div w:id="1584876983">
          <w:marLeft w:val="547"/>
          <w:marRight w:val="0"/>
          <w:marTop w:val="0"/>
          <w:marBottom w:val="0"/>
          <w:divBdr>
            <w:top w:val="none" w:sz="0" w:space="0" w:color="auto"/>
            <w:left w:val="none" w:sz="0" w:space="0" w:color="auto"/>
            <w:bottom w:val="none" w:sz="0" w:space="0" w:color="auto"/>
            <w:right w:val="none" w:sz="0" w:space="0" w:color="auto"/>
          </w:divBdr>
        </w:div>
        <w:div w:id="666246093">
          <w:marLeft w:val="547"/>
          <w:marRight w:val="0"/>
          <w:marTop w:val="0"/>
          <w:marBottom w:val="0"/>
          <w:divBdr>
            <w:top w:val="none" w:sz="0" w:space="0" w:color="auto"/>
            <w:left w:val="none" w:sz="0" w:space="0" w:color="auto"/>
            <w:bottom w:val="none" w:sz="0" w:space="0" w:color="auto"/>
            <w:right w:val="none" w:sz="0" w:space="0" w:color="auto"/>
          </w:divBdr>
        </w:div>
        <w:div w:id="2131391529">
          <w:marLeft w:val="547"/>
          <w:marRight w:val="0"/>
          <w:marTop w:val="0"/>
          <w:marBottom w:val="0"/>
          <w:divBdr>
            <w:top w:val="none" w:sz="0" w:space="0" w:color="auto"/>
            <w:left w:val="none" w:sz="0" w:space="0" w:color="auto"/>
            <w:bottom w:val="none" w:sz="0" w:space="0" w:color="auto"/>
            <w:right w:val="none" w:sz="0" w:space="0" w:color="auto"/>
          </w:divBdr>
        </w:div>
      </w:divsChild>
    </w:div>
    <w:div w:id="56100990">
      <w:bodyDiv w:val="1"/>
      <w:marLeft w:val="0"/>
      <w:marRight w:val="0"/>
      <w:marTop w:val="0"/>
      <w:marBottom w:val="0"/>
      <w:divBdr>
        <w:top w:val="none" w:sz="0" w:space="0" w:color="auto"/>
        <w:left w:val="none" w:sz="0" w:space="0" w:color="auto"/>
        <w:bottom w:val="none" w:sz="0" w:space="0" w:color="auto"/>
        <w:right w:val="none" w:sz="0" w:space="0" w:color="auto"/>
      </w:divBdr>
    </w:div>
    <w:div w:id="58093418">
      <w:bodyDiv w:val="1"/>
      <w:marLeft w:val="0"/>
      <w:marRight w:val="0"/>
      <w:marTop w:val="0"/>
      <w:marBottom w:val="0"/>
      <w:divBdr>
        <w:top w:val="none" w:sz="0" w:space="0" w:color="auto"/>
        <w:left w:val="none" w:sz="0" w:space="0" w:color="auto"/>
        <w:bottom w:val="none" w:sz="0" w:space="0" w:color="auto"/>
        <w:right w:val="none" w:sz="0" w:space="0" w:color="auto"/>
      </w:divBdr>
    </w:div>
    <w:div w:id="63063838">
      <w:bodyDiv w:val="1"/>
      <w:marLeft w:val="0"/>
      <w:marRight w:val="0"/>
      <w:marTop w:val="0"/>
      <w:marBottom w:val="0"/>
      <w:divBdr>
        <w:top w:val="none" w:sz="0" w:space="0" w:color="auto"/>
        <w:left w:val="none" w:sz="0" w:space="0" w:color="auto"/>
        <w:bottom w:val="none" w:sz="0" w:space="0" w:color="auto"/>
        <w:right w:val="none" w:sz="0" w:space="0" w:color="auto"/>
      </w:divBdr>
    </w:div>
    <w:div w:id="65228032">
      <w:bodyDiv w:val="1"/>
      <w:marLeft w:val="0"/>
      <w:marRight w:val="0"/>
      <w:marTop w:val="0"/>
      <w:marBottom w:val="0"/>
      <w:divBdr>
        <w:top w:val="none" w:sz="0" w:space="0" w:color="auto"/>
        <w:left w:val="none" w:sz="0" w:space="0" w:color="auto"/>
        <w:bottom w:val="none" w:sz="0" w:space="0" w:color="auto"/>
        <w:right w:val="none" w:sz="0" w:space="0" w:color="auto"/>
      </w:divBdr>
    </w:div>
    <w:div w:id="69155747">
      <w:bodyDiv w:val="1"/>
      <w:marLeft w:val="0"/>
      <w:marRight w:val="0"/>
      <w:marTop w:val="0"/>
      <w:marBottom w:val="0"/>
      <w:divBdr>
        <w:top w:val="none" w:sz="0" w:space="0" w:color="auto"/>
        <w:left w:val="none" w:sz="0" w:space="0" w:color="auto"/>
        <w:bottom w:val="none" w:sz="0" w:space="0" w:color="auto"/>
        <w:right w:val="none" w:sz="0" w:space="0" w:color="auto"/>
      </w:divBdr>
    </w:div>
    <w:div w:id="71050358">
      <w:bodyDiv w:val="1"/>
      <w:marLeft w:val="0"/>
      <w:marRight w:val="0"/>
      <w:marTop w:val="0"/>
      <w:marBottom w:val="0"/>
      <w:divBdr>
        <w:top w:val="none" w:sz="0" w:space="0" w:color="auto"/>
        <w:left w:val="none" w:sz="0" w:space="0" w:color="auto"/>
        <w:bottom w:val="none" w:sz="0" w:space="0" w:color="auto"/>
        <w:right w:val="none" w:sz="0" w:space="0" w:color="auto"/>
      </w:divBdr>
    </w:div>
    <w:div w:id="76639454">
      <w:bodyDiv w:val="1"/>
      <w:marLeft w:val="0"/>
      <w:marRight w:val="0"/>
      <w:marTop w:val="0"/>
      <w:marBottom w:val="0"/>
      <w:divBdr>
        <w:top w:val="none" w:sz="0" w:space="0" w:color="auto"/>
        <w:left w:val="none" w:sz="0" w:space="0" w:color="auto"/>
        <w:bottom w:val="none" w:sz="0" w:space="0" w:color="auto"/>
        <w:right w:val="none" w:sz="0" w:space="0" w:color="auto"/>
      </w:divBdr>
    </w:div>
    <w:div w:id="85662144">
      <w:bodyDiv w:val="1"/>
      <w:marLeft w:val="0"/>
      <w:marRight w:val="0"/>
      <w:marTop w:val="0"/>
      <w:marBottom w:val="0"/>
      <w:divBdr>
        <w:top w:val="none" w:sz="0" w:space="0" w:color="auto"/>
        <w:left w:val="none" w:sz="0" w:space="0" w:color="auto"/>
        <w:bottom w:val="none" w:sz="0" w:space="0" w:color="auto"/>
        <w:right w:val="none" w:sz="0" w:space="0" w:color="auto"/>
      </w:divBdr>
    </w:div>
    <w:div w:id="90709179">
      <w:bodyDiv w:val="1"/>
      <w:marLeft w:val="0"/>
      <w:marRight w:val="0"/>
      <w:marTop w:val="0"/>
      <w:marBottom w:val="0"/>
      <w:divBdr>
        <w:top w:val="none" w:sz="0" w:space="0" w:color="auto"/>
        <w:left w:val="none" w:sz="0" w:space="0" w:color="auto"/>
        <w:bottom w:val="none" w:sz="0" w:space="0" w:color="auto"/>
        <w:right w:val="none" w:sz="0" w:space="0" w:color="auto"/>
      </w:divBdr>
    </w:div>
    <w:div w:id="92213315">
      <w:bodyDiv w:val="1"/>
      <w:marLeft w:val="0"/>
      <w:marRight w:val="0"/>
      <w:marTop w:val="0"/>
      <w:marBottom w:val="0"/>
      <w:divBdr>
        <w:top w:val="none" w:sz="0" w:space="0" w:color="auto"/>
        <w:left w:val="none" w:sz="0" w:space="0" w:color="auto"/>
        <w:bottom w:val="none" w:sz="0" w:space="0" w:color="auto"/>
        <w:right w:val="none" w:sz="0" w:space="0" w:color="auto"/>
      </w:divBdr>
    </w:div>
    <w:div w:id="95176082">
      <w:bodyDiv w:val="1"/>
      <w:marLeft w:val="0"/>
      <w:marRight w:val="0"/>
      <w:marTop w:val="0"/>
      <w:marBottom w:val="0"/>
      <w:divBdr>
        <w:top w:val="none" w:sz="0" w:space="0" w:color="auto"/>
        <w:left w:val="none" w:sz="0" w:space="0" w:color="auto"/>
        <w:bottom w:val="none" w:sz="0" w:space="0" w:color="auto"/>
        <w:right w:val="none" w:sz="0" w:space="0" w:color="auto"/>
      </w:divBdr>
      <w:divsChild>
        <w:div w:id="1583760349">
          <w:marLeft w:val="0"/>
          <w:marRight w:val="0"/>
          <w:marTop w:val="0"/>
          <w:marBottom w:val="0"/>
          <w:divBdr>
            <w:top w:val="none" w:sz="0" w:space="0" w:color="auto"/>
            <w:left w:val="none" w:sz="0" w:space="0" w:color="auto"/>
            <w:bottom w:val="none" w:sz="0" w:space="0" w:color="auto"/>
            <w:right w:val="none" w:sz="0" w:space="0" w:color="auto"/>
          </w:divBdr>
        </w:div>
      </w:divsChild>
    </w:div>
    <w:div w:id="98985426">
      <w:bodyDiv w:val="1"/>
      <w:marLeft w:val="0"/>
      <w:marRight w:val="0"/>
      <w:marTop w:val="0"/>
      <w:marBottom w:val="0"/>
      <w:divBdr>
        <w:top w:val="none" w:sz="0" w:space="0" w:color="auto"/>
        <w:left w:val="none" w:sz="0" w:space="0" w:color="auto"/>
        <w:bottom w:val="none" w:sz="0" w:space="0" w:color="auto"/>
        <w:right w:val="none" w:sz="0" w:space="0" w:color="auto"/>
      </w:divBdr>
    </w:div>
    <w:div w:id="99689406">
      <w:bodyDiv w:val="1"/>
      <w:marLeft w:val="0"/>
      <w:marRight w:val="0"/>
      <w:marTop w:val="0"/>
      <w:marBottom w:val="0"/>
      <w:divBdr>
        <w:top w:val="none" w:sz="0" w:space="0" w:color="auto"/>
        <w:left w:val="none" w:sz="0" w:space="0" w:color="auto"/>
        <w:bottom w:val="none" w:sz="0" w:space="0" w:color="auto"/>
        <w:right w:val="none" w:sz="0" w:space="0" w:color="auto"/>
      </w:divBdr>
    </w:div>
    <w:div w:id="105194690">
      <w:bodyDiv w:val="1"/>
      <w:marLeft w:val="0"/>
      <w:marRight w:val="0"/>
      <w:marTop w:val="0"/>
      <w:marBottom w:val="0"/>
      <w:divBdr>
        <w:top w:val="none" w:sz="0" w:space="0" w:color="auto"/>
        <w:left w:val="none" w:sz="0" w:space="0" w:color="auto"/>
        <w:bottom w:val="none" w:sz="0" w:space="0" w:color="auto"/>
        <w:right w:val="none" w:sz="0" w:space="0" w:color="auto"/>
      </w:divBdr>
    </w:div>
    <w:div w:id="105661182">
      <w:bodyDiv w:val="1"/>
      <w:marLeft w:val="0"/>
      <w:marRight w:val="0"/>
      <w:marTop w:val="0"/>
      <w:marBottom w:val="0"/>
      <w:divBdr>
        <w:top w:val="none" w:sz="0" w:space="0" w:color="auto"/>
        <w:left w:val="none" w:sz="0" w:space="0" w:color="auto"/>
        <w:bottom w:val="none" w:sz="0" w:space="0" w:color="auto"/>
        <w:right w:val="none" w:sz="0" w:space="0" w:color="auto"/>
      </w:divBdr>
      <w:divsChild>
        <w:div w:id="142432462">
          <w:marLeft w:val="547"/>
          <w:marRight w:val="0"/>
          <w:marTop w:val="0"/>
          <w:marBottom w:val="0"/>
          <w:divBdr>
            <w:top w:val="none" w:sz="0" w:space="0" w:color="auto"/>
            <w:left w:val="none" w:sz="0" w:space="0" w:color="auto"/>
            <w:bottom w:val="none" w:sz="0" w:space="0" w:color="auto"/>
            <w:right w:val="none" w:sz="0" w:space="0" w:color="auto"/>
          </w:divBdr>
        </w:div>
      </w:divsChild>
    </w:div>
    <w:div w:id="118648988">
      <w:bodyDiv w:val="1"/>
      <w:marLeft w:val="0"/>
      <w:marRight w:val="0"/>
      <w:marTop w:val="0"/>
      <w:marBottom w:val="0"/>
      <w:divBdr>
        <w:top w:val="none" w:sz="0" w:space="0" w:color="auto"/>
        <w:left w:val="none" w:sz="0" w:space="0" w:color="auto"/>
        <w:bottom w:val="none" w:sz="0" w:space="0" w:color="auto"/>
        <w:right w:val="none" w:sz="0" w:space="0" w:color="auto"/>
      </w:divBdr>
    </w:div>
    <w:div w:id="123695464">
      <w:bodyDiv w:val="1"/>
      <w:marLeft w:val="0"/>
      <w:marRight w:val="0"/>
      <w:marTop w:val="0"/>
      <w:marBottom w:val="0"/>
      <w:divBdr>
        <w:top w:val="none" w:sz="0" w:space="0" w:color="auto"/>
        <w:left w:val="none" w:sz="0" w:space="0" w:color="auto"/>
        <w:bottom w:val="none" w:sz="0" w:space="0" w:color="auto"/>
        <w:right w:val="none" w:sz="0" w:space="0" w:color="auto"/>
      </w:divBdr>
    </w:div>
    <w:div w:id="126239841">
      <w:bodyDiv w:val="1"/>
      <w:marLeft w:val="0"/>
      <w:marRight w:val="0"/>
      <w:marTop w:val="0"/>
      <w:marBottom w:val="0"/>
      <w:divBdr>
        <w:top w:val="none" w:sz="0" w:space="0" w:color="auto"/>
        <w:left w:val="none" w:sz="0" w:space="0" w:color="auto"/>
        <w:bottom w:val="none" w:sz="0" w:space="0" w:color="auto"/>
        <w:right w:val="none" w:sz="0" w:space="0" w:color="auto"/>
      </w:divBdr>
    </w:div>
    <w:div w:id="134300510">
      <w:bodyDiv w:val="1"/>
      <w:marLeft w:val="0"/>
      <w:marRight w:val="0"/>
      <w:marTop w:val="0"/>
      <w:marBottom w:val="0"/>
      <w:divBdr>
        <w:top w:val="none" w:sz="0" w:space="0" w:color="auto"/>
        <w:left w:val="none" w:sz="0" w:space="0" w:color="auto"/>
        <w:bottom w:val="none" w:sz="0" w:space="0" w:color="auto"/>
        <w:right w:val="none" w:sz="0" w:space="0" w:color="auto"/>
      </w:divBdr>
    </w:div>
    <w:div w:id="137767920">
      <w:bodyDiv w:val="1"/>
      <w:marLeft w:val="0"/>
      <w:marRight w:val="0"/>
      <w:marTop w:val="0"/>
      <w:marBottom w:val="0"/>
      <w:divBdr>
        <w:top w:val="none" w:sz="0" w:space="0" w:color="auto"/>
        <w:left w:val="none" w:sz="0" w:space="0" w:color="auto"/>
        <w:bottom w:val="none" w:sz="0" w:space="0" w:color="auto"/>
        <w:right w:val="none" w:sz="0" w:space="0" w:color="auto"/>
      </w:divBdr>
    </w:div>
    <w:div w:id="142352607">
      <w:bodyDiv w:val="1"/>
      <w:marLeft w:val="0"/>
      <w:marRight w:val="0"/>
      <w:marTop w:val="0"/>
      <w:marBottom w:val="0"/>
      <w:divBdr>
        <w:top w:val="none" w:sz="0" w:space="0" w:color="auto"/>
        <w:left w:val="none" w:sz="0" w:space="0" w:color="auto"/>
        <w:bottom w:val="none" w:sz="0" w:space="0" w:color="auto"/>
        <w:right w:val="none" w:sz="0" w:space="0" w:color="auto"/>
      </w:divBdr>
    </w:div>
    <w:div w:id="149446753">
      <w:bodyDiv w:val="1"/>
      <w:marLeft w:val="0"/>
      <w:marRight w:val="0"/>
      <w:marTop w:val="0"/>
      <w:marBottom w:val="0"/>
      <w:divBdr>
        <w:top w:val="none" w:sz="0" w:space="0" w:color="auto"/>
        <w:left w:val="none" w:sz="0" w:space="0" w:color="auto"/>
        <w:bottom w:val="none" w:sz="0" w:space="0" w:color="auto"/>
        <w:right w:val="none" w:sz="0" w:space="0" w:color="auto"/>
      </w:divBdr>
    </w:div>
    <w:div w:id="152645508">
      <w:bodyDiv w:val="1"/>
      <w:marLeft w:val="0"/>
      <w:marRight w:val="0"/>
      <w:marTop w:val="0"/>
      <w:marBottom w:val="0"/>
      <w:divBdr>
        <w:top w:val="none" w:sz="0" w:space="0" w:color="auto"/>
        <w:left w:val="none" w:sz="0" w:space="0" w:color="auto"/>
        <w:bottom w:val="none" w:sz="0" w:space="0" w:color="auto"/>
        <w:right w:val="none" w:sz="0" w:space="0" w:color="auto"/>
      </w:divBdr>
    </w:div>
    <w:div w:id="155000234">
      <w:bodyDiv w:val="1"/>
      <w:marLeft w:val="0"/>
      <w:marRight w:val="0"/>
      <w:marTop w:val="0"/>
      <w:marBottom w:val="0"/>
      <w:divBdr>
        <w:top w:val="none" w:sz="0" w:space="0" w:color="auto"/>
        <w:left w:val="none" w:sz="0" w:space="0" w:color="auto"/>
        <w:bottom w:val="none" w:sz="0" w:space="0" w:color="auto"/>
        <w:right w:val="none" w:sz="0" w:space="0" w:color="auto"/>
      </w:divBdr>
    </w:div>
    <w:div w:id="157889146">
      <w:bodyDiv w:val="1"/>
      <w:marLeft w:val="0"/>
      <w:marRight w:val="0"/>
      <w:marTop w:val="0"/>
      <w:marBottom w:val="0"/>
      <w:divBdr>
        <w:top w:val="none" w:sz="0" w:space="0" w:color="auto"/>
        <w:left w:val="none" w:sz="0" w:space="0" w:color="auto"/>
        <w:bottom w:val="none" w:sz="0" w:space="0" w:color="auto"/>
        <w:right w:val="none" w:sz="0" w:space="0" w:color="auto"/>
      </w:divBdr>
    </w:div>
    <w:div w:id="158430151">
      <w:bodyDiv w:val="1"/>
      <w:marLeft w:val="0"/>
      <w:marRight w:val="0"/>
      <w:marTop w:val="0"/>
      <w:marBottom w:val="0"/>
      <w:divBdr>
        <w:top w:val="none" w:sz="0" w:space="0" w:color="auto"/>
        <w:left w:val="none" w:sz="0" w:space="0" w:color="auto"/>
        <w:bottom w:val="none" w:sz="0" w:space="0" w:color="auto"/>
        <w:right w:val="none" w:sz="0" w:space="0" w:color="auto"/>
      </w:divBdr>
    </w:div>
    <w:div w:id="163400783">
      <w:bodyDiv w:val="1"/>
      <w:marLeft w:val="0"/>
      <w:marRight w:val="0"/>
      <w:marTop w:val="0"/>
      <w:marBottom w:val="0"/>
      <w:divBdr>
        <w:top w:val="none" w:sz="0" w:space="0" w:color="auto"/>
        <w:left w:val="none" w:sz="0" w:space="0" w:color="auto"/>
        <w:bottom w:val="none" w:sz="0" w:space="0" w:color="auto"/>
        <w:right w:val="none" w:sz="0" w:space="0" w:color="auto"/>
      </w:divBdr>
      <w:divsChild>
        <w:div w:id="931744559">
          <w:marLeft w:val="0"/>
          <w:marRight w:val="0"/>
          <w:marTop w:val="0"/>
          <w:marBottom w:val="0"/>
          <w:divBdr>
            <w:top w:val="none" w:sz="0" w:space="0" w:color="auto"/>
            <w:left w:val="none" w:sz="0" w:space="0" w:color="auto"/>
            <w:bottom w:val="none" w:sz="0" w:space="0" w:color="auto"/>
            <w:right w:val="none" w:sz="0" w:space="0" w:color="auto"/>
          </w:divBdr>
        </w:div>
      </w:divsChild>
    </w:div>
    <w:div w:id="164588682">
      <w:bodyDiv w:val="1"/>
      <w:marLeft w:val="0"/>
      <w:marRight w:val="0"/>
      <w:marTop w:val="0"/>
      <w:marBottom w:val="0"/>
      <w:divBdr>
        <w:top w:val="none" w:sz="0" w:space="0" w:color="auto"/>
        <w:left w:val="none" w:sz="0" w:space="0" w:color="auto"/>
        <w:bottom w:val="none" w:sz="0" w:space="0" w:color="auto"/>
        <w:right w:val="none" w:sz="0" w:space="0" w:color="auto"/>
      </w:divBdr>
    </w:div>
    <w:div w:id="165093855">
      <w:bodyDiv w:val="1"/>
      <w:marLeft w:val="0"/>
      <w:marRight w:val="0"/>
      <w:marTop w:val="0"/>
      <w:marBottom w:val="0"/>
      <w:divBdr>
        <w:top w:val="none" w:sz="0" w:space="0" w:color="auto"/>
        <w:left w:val="none" w:sz="0" w:space="0" w:color="auto"/>
        <w:bottom w:val="none" w:sz="0" w:space="0" w:color="auto"/>
        <w:right w:val="none" w:sz="0" w:space="0" w:color="auto"/>
      </w:divBdr>
      <w:divsChild>
        <w:div w:id="1813598423">
          <w:marLeft w:val="0"/>
          <w:marRight w:val="0"/>
          <w:marTop w:val="0"/>
          <w:marBottom w:val="0"/>
          <w:divBdr>
            <w:top w:val="none" w:sz="0" w:space="0" w:color="auto"/>
            <w:left w:val="none" w:sz="0" w:space="0" w:color="auto"/>
            <w:bottom w:val="none" w:sz="0" w:space="0" w:color="auto"/>
            <w:right w:val="none" w:sz="0" w:space="0" w:color="auto"/>
          </w:divBdr>
        </w:div>
      </w:divsChild>
    </w:div>
    <w:div w:id="169179985">
      <w:bodyDiv w:val="1"/>
      <w:marLeft w:val="0"/>
      <w:marRight w:val="0"/>
      <w:marTop w:val="0"/>
      <w:marBottom w:val="0"/>
      <w:divBdr>
        <w:top w:val="none" w:sz="0" w:space="0" w:color="auto"/>
        <w:left w:val="none" w:sz="0" w:space="0" w:color="auto"/>
        <w:bottom w:val="none" w:sz="0" w:space="0" w:color="auto"/>
        <w:right w:val="none" w:sz="0" w:space="0" w:color="auto"/>
      </w:divBdr>
    </w:div>
    <w:div w:id="170143645">
      <w:bodyDiv w:val="1"/>
      <w:marLeft w:val="0"/>
      <w:marRight w:val="0"/>
      <w:marTop w:val="0"/>
      <w:marBottom w:val="0"/>
      <w:divBdr>
        <w:top w:val="none" w:sz="0" w:space="0" w:color="auto"/>
        <w:left w:val="none" w:sz="0" w:space="0" w:color="auto"/>
        <w:bottom w:val="none" w:sz="0" w:space="0" w:color="auto"/>
        <w:right w:val="none" w:sz="0" w:space="0" w:color="auto"/>
      </w:divBdr>
    </w:div>
    <w:div w:id="174197984">
      <w:bodyDiv w:val="1"/>
      <w:marLeft w:val="0"/>
      <w:marRight w:val="0"/>
      <w:marTop w:val="0"/>
      <w:marBottom w:val="0"/>
      <w:divBdr>
        <w:top w:val="none" w:sz="0" w:space="0" w:color="auto"/>
        <w:left w:val="none" w:sz="0" w:space="0" w:color="auto"/>
        <w:bottom w:val="none" w:sz="0" w:space="0" w:color="auto"/>
        <w:right w:val="none" w:sz="0" w:space="0" w:color="auto"/>
      </w:divBdr>
    </w:div>
    <w:div w:id="178665954">
      <w:bodyDiv w:val="1"/>
      <w:marLeft w:val="0"/>
      <w:marRight w:val="0"/>
      <w:marTop w:val="0"/>
      <w:marBottom w:val="0"/>
      <w:divBdr>
        <w:top w:val="none" w:sz="0" w:space="0" w:color="auto"/>
        <w:left w:val="none" w:sz="0" w:space="0" w:color="auto"/>
        <w:bottom w:val="none" w:sz="0" w:space="0" w:color="auto"/>
        <w:right w:val="none" w:sz="0" w:space="0" w:color="auto"/>
      </w:divBdr>
      <w:divsChild>
        <w:div w:id="1779060802">
          <w:marLeft w:val="0"/>
          <w:marRight w:val="0"/>
          <w:marTop w:val="0"/>
          <w:marBottom w:val="0"/>
          <w:divBdr>
            <w:top w:val="none" w:sz="0" w:space="0" w:color="auto"/>
            <w:left w:val="none" w:sz="0" w:space="0" w:color="auto"/>
            <w:bottom w:val="none" w:sz="0" w:space="0" w:color="auto"/>
            <w:right w:val="none" w:sz="0" w:space="0" w:color="auto"/>
          </w:divBdr>
          <w:divsChild>
            <w:div w:id="1653364725">
              <w:marLeft w:val="0"/>
              <w:marRight w:val="0"/>
              <w:marTop w:val="0"/>
              <w:marBottom w:val="0"/>
              <w:divBdr>
                <w:top w:val="none" w:sz="0" w:space="0" w:color="auto"/>
                <w:left w:val="none" w:sz="0" w:space="0" w:color="auto"/>
                <w:bottom w:val="none" w:sz="0" w:space="0" w:color="auto"/>
                <w:right w:val="none" w:sz="0" w:space="0" w:color="auto"/>
              </w:divBdr>
              <w:divsChild>
                <w:div w:id="1136606331">
                  <w:marLeft w:val="0"/>
                  <w:marRight w:val="0"/>
                  <w:marTop w:val="0"/>
                  <w:marBottom w:val="0"/>
                  <w:divBdr>
                    <w:top w:val="none" w:sz="0" w:space="0" w:color="auto"/>
                    <w:left w:val="none" w:sz="0" w:space="0" w:color="auto"/>
                    <w:bottom w:val="none" w:sz="0" w:space="0" w:color="auto"/>
                    <w:right w:val="none" w:sz="0" w:space="0" w:color="auto"/>
                  </w:divBdr>
                  <w:divsChild>
                    <w:div w:id="646669024">
                      <w:marLeft w:val="0"/>
                      <w:marRight w:val="0"/>
                      <w:marTop w:val="0"/>
                      <w:marBottom w:val="0"/>
                      <w:divBdr>
                        <w:top w:val="none" w:sz="0" w:space="0" w:color="auto"/>
                        <w:left w:val="none" w:sz="0" w:space="0" w:color="auto"/>
                        <w:bottom w:val="none" w:sz="0" w:space="0" w:color="auto"/>
                        <w:right w:val="none" w:sz="0" w:space="0" w:color="auto"/>
                      </w:divBdr>
                      <w:divsChild>
                        <w:div w:id="1789155595">
                          <w:marLeft w:val="0"/>
                          <w:marRight w:val="0"/>
                          <w:marTop w:val="0"/>
                          <w:marBottom w:val="0"/>
                          <w:divBdr>
                            <w:top w:val="none" w:sz="0" w:space="0" w:color="auto"/>
                            <w:left w:val="none" w:sz="0" w:space="0" w:color="auto"/>
                            <w:bottom w:val="none" w:sz="0" w:space="0" w:color="auto"/>
                            <w:right w:val="none" w:sz="0" w:space="0" w:color="auto"/>
                          </w:divBdr>
                          <w:divsChild>
                            <w:div w:id="1724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28049">
      <w:bodyDiv w:val="1"/>
      <w:marLeft w:val="0"/>
      <w:marRight w:val="0"/>
      <w:marTop w:val="0"/>
      <w:marBottom w:val="0"/>
      <w:divBdr>
        <w:top w:val="none" w:sz="0" w:space="0" w:color="auto"/>
        <w:left w:val="none" w:sz="0" w:space="0" w:color="auto"/>
        <w:bottom w:val="none" w:sz="0" w:space="0" w:color="auto"/>
        <w:right w:val="none" w:sz="0" w:space="0" w:color="auto"/>
      </w:divBdr>
    </w:div>
    <w:div w:id="180510685">
      <w:bodyDiv w:val="1"/>
      <w:marLeft w:val="0"/>
      <w:marRight w:val="0"/>
      <w:marTop w:val="0"/>
      <w:marBottom w:val="0"/>
      <w:divBdr>
        <w:top w:val="none" w:sz="0" w:space="0" w:color="auto"/>
        <w:left w:val="none" w:sz="0" w:space="0" w:color="auto"/>
        <w:bottom w:val="none" w:sz="0" w:space="0" w:color="auto"/>
        <w:right w:val="none" w:sz="0" w:space="0" w:color="auto"/>
      </w:divBdr>
    </w:div>
    <w:div w:id="204022465">
      <w:bodyDiv w:val="1"/>
      <w:marLeft w:val="0"/>
      <w:marRight w:val="0"/>
      <w:marTop w:val="0"/>
      <w:marBottom w:val="0"/>
      <w:divBdr>
        <w:top w:val="none" w:sz="0" w:space="0" w:color="auto"/>
        <w:left w:val="none" w:sz="0" w:space="0" w:color="auto"/>
        <w:bottom w:val="none" w:sz="0" w:space="0" w:color="auto"/>
        <w:right w:val="none" w:sz="0" w:space="0" w:color="auto"/>
      </w:divBdr>
    </w:div>
    <w:div w:id="209801647">
      <w:bodyDiv w:val="1"/>
      <w:marLeft w:val="0"/>
      <w:marRight w:val="0"/>
      <w:marTop w:val="0"/>
      <w:marBottom w:val="0"/>
      <w:divBdr>
        <w:top w:val="none" w:sz="0" w:space="0" w:color="auto"/>
        <w:left w:val="none" w:sz="0" w:space="0" w:color="auto"/>
        <w:bottom w:val="none" w:sz="0" w:space="0" w:color="auto"/>
        <w:right w:val="none" w:sz="0" w:space="0" w:color="auto"/>
      </w:divBdr>
    </w:div>
    <w:div w:id="210465210">
      <w:bodyDiv w:val="1"/>
      <w:marLeft w:val="0"/>
      <w:marRight w:val="0"/>
      <w:marTop w:val="0"/>
      <w:marBottom w:val="0"/>
      <w:divBdr>
        <w:top w:val="none" w:sz="0" w:space="0" w:color="auto"/>
        <w:left w:val="none" w:sz="0" w:space="0" w:color="auto"/>
        <w:bottom w:val="none" w:sz="0" w:space="0" w:color="auto"/>
        <w:right w:val="none" w:sz="0" w:space="0" w:color="auto"/>
      </w:divBdr>
    </w:div>
    <w:div w:id="212691721">
      <w:bodyDiv w:val="1"/>
      <w:marLeft w:val="0"/>
      <w:marRight w:val="0"/>
      <w:marTop w:val="0"/>
      <w:marBottom w:val="0"/>
      <w:divBdr>
        <w:top w:val="none" w:sz="0" w:space="0" w:color="auto"/>
        <w:left w:val="none" w:sz="0" w:space="0" w:color="auto"/>
        <w:bottom w:val="none" w:sz="0" w:space="0" w:color="auto"/>
        <w:right w:val="none" w:sz="0" w:space="0" w:color="auto"/>
      </w:divBdr>
    </w:div>
    <w:div w:id="212741421">
      <w:bodyDiv w:val="1"/>
      <w:marLeft w:val="0"/>
      <w:marRight w:val="0"/>
      <w:marTop w:val="0"/>
      <w:marBottom w:val="0"/>
      <w:divBdr>
        <w:top w:val="none" w:sz="0" w:space="0" w:color="auto"/>
        <w:left w:val="none" w:sz="0" w:space="0" w:color="auto"/>
        <w:bottom w:val="none" w:sz="0" w:space="0" w:color="auto"/>
        <w:right w:val="none" w:sz="0" w:space="0" w:color="auto"/>
      </w:divBdr>
      <w:divsChild>
        <w:div w:id="1360358466">
          <w:marLeft w:val="0"/>
          <w:marRight w:val="0"/>
          <w:marTop w:val="0"/>
          <w:marBottom w:val="0"/>
          <w:divBdr>
            <w:top w:val="none" w:sz="0" w:space="0" w:color="auto"/>
            <w:left w:val="none" w:sz="0" w:space="0" w:color="auto"/>
            <w:bottom w:val="none" w:sz="0" w:space="0" w:color="auto"/>
            <w:right w:val="none" w:sz="0" w:space="0" w:color="auto"/>
          </w:divBdr>
        </w:div>
      </w:divsChild>
    </w:div>
    <w:div w:id="2183288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088">
          <w:marLeft w:val="0"/>
          <w:marRight w:val="0"/>
          <w:marTop w:val="0"/>
          <w:marBottom w:val="0"/>
          <w:divBdr>
            <w:top w:val="none" w:sz="0" w:space="0" w:color="auto"/>
            <w:left w:val="none" w:sz="0" w:space="0" w:color="auto"/>
            <w:bottom w:val="none" w:sz="0" w:space="0" w:color="auto"/>
            <w:right w:val="none" w:sz="0" w:space="0" w:color="auto"/>
          </w:divBdr>
        </w:div>
      </w:divsChild>
    </w:div>
    <w:div w:id="219364460">
      <w:bodyDiv w:val="1"/>
      <w:marLeft w:val="0"/>
      <w:marRight w:val="0"/>
      <w:marTop w:val="0"/>
      <w:marBottom w:val="0"/>
      <w:divBdr>
        <w:top w:val="none" w:sz="0" w:space="0" w:color="auto"/>
        <w:left w:val="none" w:sz="0" w:space="0" w:color="auto"/>
        <w:bottom w:val="none" w:sz="0" w:space="0" w:color="auto"/>
        <w:right w:val="none" w:sz="0" w:space="0" w:color="auto"/>
      </w:divBdr>
    </w:div>
    <w:div w:id="224143943">
      <w:bodyDiv w:val="1"/>
      <w:marLeft w:val="0"/>
      <w:marRight w:val="0"/>
      <w:marTop w:val="0"/>
      <w:marBottom w:val="0"/>
      <w:divBdr>
        <w:top w:val="none" w:sz="0" w:space="0" w:color="auto"/>
        <w:left w:val="none" w:sz="0" w:space="0" w:color="auto"/>
        <w:bottom w:val="none" w:sz="0" w:space="0" w:color="auto"/>
        <w:right w:val="none" w:sz="0" w:space="0" w:color="auto"/>
      </w:divBdr>
    </w:div>
    <w:div w:id="225343976">
      <w:bodyDiv w:val="1"/>
      <w:marLeft w:val="0"/>
      <w:marRight w:val="0"/>
      <w:marTop w:val="0"/>
      <w:marBottom w:val="0"/>
      <w:divBdr>
        <w:top w:val="none" w:sz="0" w:space="0" w:color="auto"/>
        <w:left w:val="none" w:sz="0" w:space="0" w:color="auto"/>
        <w:bottom w:val="none" w:sz="0" w:space="0" w:color="auto"/>
        <w:right w:val="none" w:sz="0" w:space="0" w:color="auto"/>
      </w:divBdr>
    </w:div>
    <w:div w:id="231041605">
      <w:bodyDiv w:val="1"/>
      <w:marLeft w:val="0"/>
      <w:marRight w:val="0"/>
      <w:marTop w:val="0"/>
      <w:marBottom w:val="0"/>
      <w:divBdr>
        <w:top w:val="none" w:sz="0" w:space="0" w:color="auto"/>
        <w:left w:val="none" w:sz="0" w:space="0" w:color="auto"/>
        <w:bottom w:val="none" w:sz="0" w:space="0" w:color="auto"/>
        <w:right w:val="none" w:sz="0" w:space="0" w:color="auto"/>
      </w:divBdr>
    </w:div>
    <w:div w:id="233592850">
      <w:bodyDiv w:val="1"/>
      <w:marLeft w:val="0"/>
      <w:marRight w:val="0"/>
      <w:marTop w:val="0"/>
      <w:marBottom w:val="0"/>
      <w:divBdr>
        <w:top w:val="none" w:sz="0" w:space="0" w:color="auto"/>
        <w:left w:val="none" w:sz="0" w:space="0" w:color="auto"/>
        <w:bottom w:val="none" w:sz="0" w:space="0" w:color="auto"/>
        <w:right w:val="none" w:sz="0" w:space="0" w:color="auto"/>
      </w:divBdr>
    </w:div>
    <w:div w:id="234517076">
      <w:bodyDiv w:val="1"/>
      <w:marLeft w:val="0"/>
      <w:marRight w:val="0"/>
      <w:marTop w:val="0"/>
      <w:marBottom w:val="0"/>
      <w:divBdr>
        <w:top w:val="none" w:sz="0" w:space="0" w:color="auto"/>
        <w:left w:val="none" w:sz="0" w:space="0" w:color="auto"/>
        <w:bottom w:val="none" w:sz="0" w:space="0" w:color="auto"/>
        <w:right w:val="none" w:sz="0" w:space="0" w:color="auto"/>
      </w:divBdr>
    </w:div>
    <w:div w:id="236790274">
      <w:bodyDiv w:val="1"/>
      <w:marLeft w:val="0"/>
      <w:marRight w:val="0"/>
      <w:marTop w:val="0"/>
      <w:marBottom w:val="0"/>
      <w:divBdr>
        <w:top w:val="none" w:sz="0" w:space="0" w:color="auto"/>
        <w:left w:val="none" w:sz="0" w:space="0" w:color="auto"/>
        <w:bottom w:val="none" w:sz="0" w:space="0" w:color="auto"/>
        <w:right w:val="none" w:sz="0" w:space="0" w:color="auto"/>
      </w:divBdr>
      <w:divsChild>
        <w:div w:id="1085371687">
          <w:marLeft w:val="0"/>
          <w:marRight w:val="0"/>
          <w:marTop w:val="0"/>
          <w:marBottom w:val="0"/>
          <w:divBdr>
            <w:top w:val="none" w:sz="0" w:space="0" w:color="auto"/>
            <w:left w:val="none" w:sz="0" w:space="0" w:color="auto"/>
            <w:bottom w:val="none" w:sz="0" w:space="0" w:color="auto"/>
            <w:right w:val="none" w:sz="0" w:space="0" w:color="auto"/>
          </w:divBdr>
        </w:div>
      </w:divsChild>
    </w:div>
    <w:div w:id="242297818">
      <w:bodyDiv w:val="1"/>
      <w:marLeft w:val="0"/>
      <w:marRight w:val="0"/>
      <w:marTop w:val="0"/>
      <w:marBottom w:val="0"/>
      <w:divBdr>
        <w:top w:val="none" w:sz="0" w:space="0" w:color="auto"/>
        <w:left w:val="none" w:sz="0" w:space="0" w:color="auto"/>
        <w:bottom w:val="none" w:sz="0" w:space="0" w:color="auto"/>
        <w:right w:val="none" w:sz="0" w:space="0" w:color="auto"/>
      </w:divBdr>
    </w:div>
    <w:div w:id="244611794">
      <w:bodyDiv w:val="1"/>
      <w:marLeft w:val="0"/>
      <w:marRight w:val="0"/>
      <w:marTop w:val="0"/>
      <w:marBottom w:val="0"/>
      <w:divBdr>
        <w:top w:val="none" w:sz="0" w:space="0" w:color="auto"/>
        <w:left w:val="none" w:sz="0" w:space="0" w:color="auto"/>
        <w:bottom w:val="none" w:sz="0" w:space="0" w:color="auto"/>
        <w:right w:val="none" w:sz="0" w:space="0" w:color="auto"/>
      </w:divBdr>
    </w:div>
    <w:div w:id="248658184">
      <w:bodyDiv w:val="1"/>
      <w:marLeft w:val="0"/>
      <w:marRight w:val="0"/>
      <w:marTop w:val="0"/>
      <w:marBottom w:val="0"/>
      <w:divBdr>
        <w:top w:val="none" w:sz="0" w:space="0" w:color="auto"/>
        <w:left w:val="none" w:sz="0" w:space="0" w:color="auto"/>
        <w:bottom w:val="none" w:sz="0" w:space="0" w:color="auto"/>
        <w:right w:val="none" w:sz="0" w:space="0" w:color="auto"/>
      </w:divBdr>
      <w:divsChild>
        <w:div w:id="1326740483">
          <w:marLeft w:val="0"/>
          <w:marRight w:val="0"/>
          <w:marTop w:val="0"/>
          <w:marBottom w:val="0"/>
          <w:divBdr>
            <w:top w:val="none" w:sz="0" w:space="0" w:color="auto"/>
            <w:left w:val="none" w:sz="0" w:space="0" w:color="auto"/>
            <w:bottom w:val="none" w:sz="0" w:space="0" w:color="auto"/>
            <w:right w:val="none" w:sz="0" w:space="0" w:color="auto"/>
          </w:divBdr>
        </w:div>
      </w:divsChild>
    </w:div>
    <w:div w:id="250626896">
      <w:bodyDiv w:val="1"/>
      <w:marLeft w:val="0"/>
      <w:marRight w:val="0"/>
      <w:marTop w:val="0"/>
      <w:marBottom w:val="0"/>
      <w:divBdr>
        <w:top w:val="none" w:sz="0" w:space="0" w:color="auto"/>
        <w:left w:val="none" w:sz="0" w:space="0" w:color="auto"/>
        <w:bottom w:val="none" w:sz="0" w:space="0" w:color="auto"/>
        <w:right w:val="none" w:sz="0" w:space="0" w:color="auto"/>
      </w:divBdr>
    </w:div>
    <w:div w:id="257562686">
      <w:bodyDiv w:val="1"/>
      <w:marLeft w:val="0"/>
      <w:marRight w:val="0"/>
      <w:marTop w:val="0"/>
      <w:marBottom w:val="0"/>
      <w:divBdr>
        <w:top w:val="none" w:sz="0" w:space="0" w:color="auto"/>
        <w:left w:val="none" w:sz="0" w:space="0" w:color="auto"/>
        <w:bottom w:val="none" w:sz="0" w:space="0" w:color="auto"/>
        <w:right w:val="none" w:sz="0" w:space="0" w:color="auto"/>
      </w:divBdr>
    </w:div>
    <w:div w:id="259027139">
      <w:bodyDiv w:val="1"/>
      <w:marLeft w:val="0"/>
      <w:marRight w:val="0"/>
      <w:marTop w:val="0"/>
      <w:marBottom w:val="0"/>
      <w:divBdr>
        <w:top w:val="none" w:sz="0" w:space="0" w:color="auto"/>
        <w:left w:val="none" w:sz="0" w:space="0" w:color="auto"/>
        <w:bottom w:val="none" w:sz="0" w:space="0" w:color="auto"/>
        <w:right w:val="none" w:sz="0" w:space="0" w:color="auto"/>
      </w:divBdr>
    </w:div>
    <w:div w:id="270476652">
      <w:bodyDiv w:val="1"/>
      <w:marLeft w:val="0"/>
      <w:marRight w:val="0"/>
      <w:marTop w:val="0"/>
      <w:marBottom w:val="0"/>
      <w:divBdr>
        <w:top w:val="none" w:sz="0" w:space="0" w:color="auto"/>
        <w:left w:val="none" w:sz="0" w:space="0" w:color="auto"/>
        <w:bottom w:val="none" w:sz="0" w:space="0" w:color="auto"/>
        <w:right w:val="none" w:sz="0" w:space="0" w:color="auto"/>
      </w:divBdr>
    </w:div>
    <w:div w:id="274025558">
      <w:bodyDiv w:val="1"/>
      <w:marLeft w:val="0"/>
      <w:marRight w:val="0"/>
      <w:marTop w:val="0"/>
      <w:marBottom w:val="0"/>
      <w:divBdr>
        <w:top w:val="none" w:sz="0" w:space="0" w:color="auto"/>
        <w:left w:val="none" w:sz="0" w:space="0" w:color="auto"/>
        <w:bottom w:val="none" w:sz="0" w:space="0" w:color="auto"/>
        <w:right w:val="none" w:sz="0" w:space="0" w:color="auto"/>
      </w:divBdr>
    </w:div>
    <w:div w:id="277875402">
      <w:bodyDiv w:val="1"/>
      <w:marLeft w:val="0"/>
      <w:marRight w:val="0"/>
      <w:marTop w:val="0"/>
      <w:marBottom w:val="0"/>
      <w:divBdr>
        <w:top w:val="none" w:sz="0" w:space="0" w:color="auto"/>
        <w:left w:val="none" w:sz="0" w:space="0" w:color="auto"/>
        <w:bottom w:val="none" w:sz="0" w:space="0" w:color="auto"/>
        <w:right w:val="none" w:sz="0" w:space="0" w:color="auto"/>
      </w:divBdr>
    </w:div>
    <w:div w:id="281232597">
      <w:bodyDiv w:val="1"/>
      <w:marLeft w:val="0"/>
      <w:marRight w:val="0"/>
      <w:marTop w:val="0"/>
      <w:marBottom w:val="0"/>
      <w:divBdr>
        <w:top w:val="none" w:sz="0" w:space="0" w:color="auto"/>
        <w:left w:val="none" w:sz="0" w:space="0" w:color="auto"/>
        <w:bottom w:val="none" w:sz="0" w:space="0" w:color="auto"/>
        <w:right w:val="none" w:sz="0" w:space="0" w:color="auto"/>
      </w:divBdr>
    </w:div>
    <w:div w:id="282731982">
      <w:bodyDiv w:val="1"/>
      <w:marLeft w:val="0"/>
      <w:marRight w:val="0"/>
      <w:marTop w:val="0"/>
      <w:marBottom w:val="0"/>
      <w:divBdr>
        <w:top w:val="none" w:sz="0" w:space="0" w:color="auto"/>
        <w:left w:val="none" w:sz="0" w:space="0" w:color="auto"/>
        <w:bottom w:val="none" w:sz="0" w:space="0" w:color="auto"/>
        <w:right w:val="none" w:sz="0" w:space="0" w:color="auto"/>
      </w:divBdr>
    </w:div>
    <w:div w:id="285310548">
      <w:bodyDiv w:val="1"/>
      <w:marLeft w:val="0"/>
      <w:marRight w:val="0"/>
      <w:marTop w:val="0"/>
      <w:marBottom w:val="0"/>
      <w:divBdr>
        <w:top w:val="none" w:sz="0" w:space="0" w:color="auto"/>
        <w:left w:val="none" w:sz="0" w:space="0" w:color="auto"/>
        <w:bottom w:val="none" w:sz="0" w:space="0" w:color="auto"/>
        <w:right w:val="none" w:sz="0" w:space="0" w:color="auto"/>
      </w:divBdr>
    </w:div>
    <w:div w:id="290401574">
      <w:bodyDiv w:val="1"/>
      <w:marLeft w:val="0"/>
      <w:marRight w:val="0"/>
      <w:marTop w:val="0"/>
      <w:marBottom w:val="0"/>
      <w:divBdr>
        <w:top w:val="none" w:sz="0" w:space="0" w:color="auto"/>
        <w:left w:val="none" w:sz="0" w:space="0" w:color="auto"/>
        <w:bottom w:val="none" w:sz="0" w:space="0" w:color="auto"/>
        <w:right w:val="none" w:sz="0" w:space="0" w:color="auto"/>
      </w:divBdr>
    </w:div>
    <w:div w:id="291255780">
      <w:bodyDiv w:val="1"/>
      <w:marLeft w:val="0"/>
      <w:marRight w:val="0"/>
      <w:marTop w:val="0"/>
      <w:marBottom w:val="0"/>
      <w:divBdr>
        <w:top w:val="none" w:sz="0" w:space="0" w:color="auto"/>
        <w:left w:val="none" w:sz="0" w:space="0" w:color="auto"/>
        <w:bottom w:val="none" w:sz="0" w:space="0" w:color="auto"/>
        <w:right w:val="none" w:sz="0" w:space="0" w:color="auto"/>
      </w:divBdr>
      <w:divsChild>
        <w:div w:id="1736512827">
          <w:marLeft w:val="0"/>
          <w:marRight w:val="0"/>
          <w:marTop w:val="0"/>
          <w:marBottom w:val="0"/>
          <w:divBdr>
            <w:top w:val="none" w:sz="0" w:space="0" w:color="auto"/>
            <w:left w:val="none" w:sz="0" w:space="0" w:color="auto"/>
            <w:bottom w:val="none" w:sz="0" w:space="0" w:color="auto"/>
            <w:right w:val="none" w:sz="0" w:space="0" w:color="auto"/>
          </w:divBdr>
          <w:divsChild>
            <w:div w:id="19524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5667">
      <w:bodyDiv w:val="1"/>
      <w:marLeft w:val="0"/>
      <w:marRight w:val="0"/>
      <w:marTop w:val="0"/>
      <w:marBottom w:val="0"/>
      <w:divBdr>
        <w:top w:val="none" w:sz="0" w:space="0" w:color="auto"/>
        <w:left w:val="none" w:sz="0" w:space="0" w:color="auto"/>
        <w:bottom w:val="none" w:sz="0" w:space="0" w:color="auto"/>
        <w:right w:val="none" w:sz="0" w:space="0" w:color="auto"/>
      </w:divBdr>
      <w:divsChild>
        <w:div w:id="750279190">
          <w:marLeft w:val="0"/>
          <w:marRight w:val="0"/>
          <w:marTop w:val="0"/>
          <w:marBottom w:val="0"/>
          <w:divBdr>
            <w:top w:val="none" w:sz="0" w:space="0" w:color="auto"/>
            <w:left w:val="none" w:sz="0" w:space="0" w:color="auto"/>
            <w:bottom w:val="none" w:sz="0" w:space="0" w:color="auto"/>
            <w:right w:val="none" w:sz="0" w:space="0" w:color="auto"/>
          </w:divBdr>
          <w:divsChild>
            <w:div w:id="1335841075">
              <w:marLeft w:val="0"/>
              <w:marRight w:val="0"/>
              <w:marTop w:val="0"/>
              <w:marBottom w:val="0"/>
              <w:divBdr>
                <w:top w:val="none" w:sz="0" w:space="0" w:color="auto"/>
                <w:left w:val="none" w:sz="0" w:space="0" w:color="auto"/>
                <w:bottom w:val="none" w:sz="0" w:space="0" w:color="auto"/>
                <w:right w:val="none" w:sz="0" w:space="0" w:color="auto"/>
              </w:divBdr>
            </w:div>
            <w:div w:id="596720509">
              <w:marLeft w:val="0"/>
              <w:marRight w:val="0"/>
              <w:marTop w:val="0"/>
              <w:marBottom w:val="0"/>
              <w:divBdr>
                <w:top w:val="none" w:sz="0" w:space="0" w:color="auto"/>
                <w:left w:val="none" w:sz="0" w:space="0" w:color="auto"/>
                <w:bottom w:val="none" w:sz="0" w:space="0" w:color="auto"/>
                <w:right w:val="none" w:sz="0" w:space="0" w:color="auto"/>
              </w:divBdr>
            </w:div>
            <w:div w:id="1329557539">
              <w:marLeft w:val="0"/>
              <w:marRight w:val="0"/>
              <w:marTop w:val="0"/>
              <w:marBottom w:val="0"/>
              <w:divBdr>
                <w:top w:val="none" w:sz="0" w:space="0" w:color="auto"/>
                <w:left w:val="none" w:sz="0" w:space="0" w:color="auto"/>
                <w:bottom w:val="none" w:sz="0" w:space="0" w:color="auto"/>
                <w:right w:val="none" w:sz="0" w:space="0" w:color="auto"/>
              </w:divBdr>
            </w:div>
            <w:div w:id="425154168">
              <w:marLeft w:val="0"/>
              <w:marRight w:val="0"/>
              <w:marTop w:val="0"/>
              <w:marBottom w:val="0"/>
              <w:divBdr>
                <w:top w:val="none" w:sz="0" w:space="0" w:color="auto"/>
                <w:left w:val="none" w:sz="0" w:space="0" w:color="auto"/>
                <w:bottom w:val="none" w:sz="0" w:space="0" w:color="auto"/>
                <w:right w:val="none" w:sz="0" w:space="0" w:color="auto"/>
              </w:divBdr>
            </w:div>
            <w:div w:id="1515456177">
              <w:marLeft w:val="0"/>
              <w:marRight w:val="0"/>
              <w:marTop w:val="0"/>
              <w:marBottom w:val="0"/>
              <w:divBdr>
                <w:top w:val="none" w:sz="0" w:space="0" w:color="auto"/>
                <w:left w:val="none" w:sz="0" w:space="0" w:color="auto"/>
                <w:bottom w:val="none" w:sz="0" w:space="0" w:color="auto"/>
                <w:right w:val="none" w:sz="0" w:space="0" w:color="auto"/>
              </w:divBdr>
            </w:div>
            <w:div w:id="1224679425">
              <w:marLeft w:val="0"/>
              <w:marRight w:val="0"/>
              <w:marTop w:val="0"/>
              <w:marBottom w:val="0"/>
              <w:divBdr>
                <w:top w:val="none" w:sz="0" w:space="0" w:color="auto"/>
                <w:left w:val="none" w:sz="0" w:space="0" w:color="auto"/>
                <w:bottom w:val="none" w:sz="0" w:space="0" w:color="auto"/>
                <w:right w:val="none" w:sz="0" w:space="0" w:color="auto"/>
              </w:divBdr>
            </w:div>
            <w:div w:id="1607499569">
              <w:marLeft w:val="0"/>
              <w:marRight w:val="0"/>
              <w:marTop w:val="0"/>
              <w:marBottom w:val="0"/>
              <w:divBdr>
                <w:top w:val="none" w:sz="0" w:space="0" w:color="auto"/>
                <w:left w:val="none" w:sz="0" w:space="0" w:color="auto"/>
                <w:bottom w:val="none" w:sz="0" w:space="0" w:color="auto"/>
                <w:right w:val="none" w:sz="0" w:space="0" w:color="auto"/>
              </w:divBdr>
            </w:div>
            <w:div w:id="678968401">
              <w:marLeft w:val="0"/>
              <w:marRight w:val="0"/>
              <w:marTop w:val="0"/>
              <w:marBottom w:val="0"/>
              <w:divBdr>
                <w:top w:val="none" w:sz="0" w:space="0" w:color="auto"/>
                <w:left w:val="none" w:sz="0" w:space="0" w:color="auto"/>
                <w:bottom w:val="none" w:sz="0" w:space="0" w:color="auto"/>
                <w:right w:val="none" w:sz="0" w:space="0" w:color="auto"/>
              </w:divBdr>
            </w:div>
            <w:div w:id="20395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9914">
      <w:bodyDiv w:val="1"/>
      <w:marLeft w:val="0"/>
      <w:marRight w:val="0"/>
      <w:marTop w:val="0"/>
      <w:marBottom w:val="0"/>
      <w:divBdr>
        <w:top w:val="none" w:sz="0" w:space="0" w:color="auto"/>
        <w:left w:val="none" w:sz="0" w:space="0" w:color="auto"/>
        <w:bottom w:val="none" w:sz="0" w:space="0" w:color="auto"/>
        <w:right w:val="none" w:sz="0" w:space="0" w:color="auto"/>
      </w:divBdr>
    </w:div>
    <w:div w:id="314535327">
      <w:bodyDiv w:val="1"/>
      <w:marLeft w:val="0"/>
      <w:marRight w:val="0"/>
      <w:marTop w:val="0"/>
      <w:marBottom w:val="0"/>
      <w:divBdr>
        <w:top w:val="none" w:sz="0" w:space="0" w:color="auto"/>
        <w:left w:val="none" w:sz="0" w:space="0" w:color="auto"/>
        <w:bottom w:val="none" w:sz="0" w:space="0" w:color="auto"/>
        <w:right w:val="none" w:sz="0" w:space="0" w:color="auto"/>
      </w:divBdr>
    </w:div>
    <w:div w:id="316686140">
      <w:bodyDiv w:val="1"/>
      <w:marLeft w:val="0"/>
      <w:marRight w:val="0"/>
      <w:marTop w:val="0"/>
      <w:marBottom w:val="0"/>
      <w:divBdr>
        <w:top w:val="none" w:sz="0" w:space="0" w:color="auto"/>
        <w:left w:val="none" w:sz="0" w:space="0" w:color="auto"/>
        <w:bottom w:val="none" w:sz="0" w:space="0" w:color="auto"/>
        <w:right w:val="none" w:sz="0" w:space="0" w:color="auto"/>
      </w:divBdr>
    </w:div>
    <w:div w:id="316689494">
      <w:bodyDiv w:val="1"/>
      <w:marLeft w:val="0"/>
      <w:marRight w:val="0"/>
      <w:marTop w:val="0"/>
      <w:marBottom w:val="0"/>
      <w:divBdr>
        <w:top w:val="none" w:sz="0" w:space="0" w:color="auto"/>
        <w:left w:val="none" w:sz="0" w:space="0" w:color="auto"/>
        <w:bottom w:val="none" w:sz="0" w:space="0" w:color="auto"/>
        <w:right w:val="none" w:sz="0" w:space="0" w:color="auto"/>
      </w:divBdr>
    </w:div>
    <w:div w:id="334453702">
      <w:bodyDiv w:val="1"/>
      <w:marLeft w:val="0"/>
      <w:marRight w:val="0"/>
      <w:marTop w:val="0"/>
      <w:marBottom w:val="0"/>
      <w:divBdr>
        <w:top w:val="none" w:sz="0" w:space="0" w:color="auto"/>
        <w:left w:val="none" w:sz="0" w:space="0" w:color="auto"/>
        <w:bottom w:val="none" w:sz="0" w:space="0" w:color="auto"/>
        <w:right w:val="none" w:sz="0" w:space="0" w:color="auto"/>
      </w:divBdr>
    </w:div>
    <w:div w:id="336659865">
      <w:bodyDiv w:val="1"/>
      <w:marLeft w:val="0"/>
      <w:marRight w:val="0"/>
      <w:marTop w:val="0"/>
      <w:marBottom w:val="0"/>
      <w:divBdr>
        <w:top w:val="none" w:sz="0" w:space="0" w:color="auto"/>
        <w:left w:val="none" w:sz="0" w:space="0" w:color="auto"/>
        <w:bottom w:val="none" w:sz="0" w:space="0" w:color="auto"/>
        <w:right w:val="none" w:sz="0" w:space="0" w:color="auto"/>
      </w:divBdr>
    </w:div>
    <w:div w:id="354769678">
      <w:bodyDiv w:val="1"/>
      <w:marLeft w:val="0"/>
      <w:marRight w:val="0"/>
      <w:marTop w:val="0"/>
      <w:marBottom w:val="0"/>
      <w:divBdr>
        <w:top w:val="none" w:sz="0" w:space="0" w:color="auto"/>
        <w:left w:val="none" w:sz="0" w:space="0" w:color="auto"/>
        <w:bottom w:val="none" w:sz="0" w:space="0" w:color="auto"/>
        <w:right w:val="none" w:sz="0" w:space="0" w:color="auto"/>
      </w:divBdr>
    </w:div>
    <w:div w:id="359816252">
      <w:bodyDiv w:val="1"/>
      <w:marLeft w:val="0"/>
      <w:marRight w:val="0"/>
      <w:marTop w:val="0"/>
      <w:marBottom w:val="0"/>
      <w:divBdr>
        <w:top w:val="none" w:sz="0" w:space="0" w:color="auto"/>
        <w:left w:val="none" w:sz="0" w:space="0" w:color="auto"/>
        <w:bottom w:val="none" w:sz="0" w:space="0" w:color="auto"/>
        <w:right w:val="none" w:sz="0" w:space="0" w:color="auto"/>
      </w:divBdr>
    </w:div>
    <w:div w:id="363099494">
      <w:bodyDiv w:val="1"/>
      <w:marLeft w:val="0"/>
      <w:marRight w:val="0"/>
      <w:marTop w:val="0"/>
      <w:marBottom w:val="0"/>
      <w:divBdr>
        <w:top w:val="none" w:sz="0" w:space="0" w:color="auto"/>
        <w:left w:val="none" w:sz="0" w:space="0" w:color="auto"/>
        <w:bottom w:val="none" w:sz="0" w:space="0" w:color="auto"/>
        <w:right w:val="none" w:sz="0" w:space="0" w:color="auto"/>
      </w:divBdr>
      <w:divsChild>
        <w:div w:id="49380513">
          <w:marLeft w:val="0"/>
          <w:marRight w:val="0"/>
          <w:marTop w:val="0"/>
          <w:marBottom w:val="0"/>
          <w:divBdr>
            <w:top w:val="none" w:sz="0" w:space="0" w:color="auto"/>
            <w:left w:val="none" w:sz="0" w:space="0" w:color="auto"/>
            <w:bottom w:val="none" w:sz="0" w:space="0" w:color="auto"/>
            <w:right w:val="none" w:sz="0" w:space="0" w:color="auto"/>
          </w:divBdr>
          <w:divsChild>
            <w:div w:id="1359773668">
              <w:marLeft w:val="0"/>
              <w:marRight w:val="0"/>
              <w:marTop w:val="0"/>
              <w:marBottom w:val="0"/>
              <w:divBdr>
                <w:top w:val="none" w:sz="0" w:space="0" w:color="auto"/>
                <w:left w:val="none" w:sz="0" w:space="0" w:color="auto"/>
                <w:bottom w:val="none" w:sz="0" w:space="0" w:color="auto"/>
                <w:right w:val="none" w:sz="0" w:space="0" w:color="auto"/>
              </w:divBdr>
              <w:divsChild>
                <w:div w:id="1714698473">
                  <w:marLeft w:val="0"/>
                  <w:marRight w:val="0"/>
                  <w:marTop w:val="0"/>
                  <w:marBottom w:val="0"/>
                  <w:divBdr>
                    <w:top w:val="none" w:sz="0" w:space="0" w:color="auto"/>
                    <w:left w:val="none" w:sz="0" w:space="0" w:color="auto"/>
                    <w:bottom w:val="none" w:sz="0" w:space="0" w:color="auto"/>
                    <w:right w:val="none" w:sz="0" w:space="0" w:color="auto"/>
                  </w:divBdr>
                  <w:divsChild>
                    <w:div w:id="239602081">
                      <w:marLeft w:val="0"/>
                      <w:marRight w:val="0"/>
                      <w:marTop w:val="0"/>
                      <w:marBottom w:val="0"/>
                      <w:divBdr>
                        <w:top w:val="none" w:sz="0" w:space="0" w:color="auto"/>
                        <w:left w:val="none" w:sz="0" w:space="0" w:color="auto"/>
                        <w:bottom w:val="none" w:sz="0" w:space="0" w:color="auto"/>
                        <w:right w:val="none" w:sz="0" w:space="0" w:color="auto"/>
                      </w:divBdr>
                      <w:divsChild>
                        <w:div w:id="1425151665">
                          <w:marLeft w:val="0"/>
                          <w:marRight w:val="0"/>
                          <w:marTop w:val="0"/>
                          <w:marBottom w:val="0"/>
                          <w:divBdr>
                            <w:top w:val="none" w:sz="0" w:space="0" w:color="auto"/>
                            <w:left w:val="none" w:sz="0" w:space="0" w:color="auto"/>
                            <w:bottom w:val="none" w:sz="0" w:space="0" w:color="auto"/>
                            <w:right w:val="none" w:sz="0" w:space="0" w:color="auto"/>
                          </w:divBdr>
                          <w:divsChild>
                            <w:div w:id="1937857551">
                              <w:marLeft w:val="0"/>
                              <w:marRight w:val="0"/>
                              <w:marTop w:val="0"/>
                              <w:marBottom w:val="0"/>
                              <w:divBdr>
                                <w:top w:val="none" w:sz="0" w:space="0" w:color="auto"/>
                                <w:left w:val="none" w:sz="0" w:space="0" w:color="auto"/>
                                <w:bottom w:val="single" w:sz="6" w:space="0" w:color="BEBEBE"/>
                                <w:right w:val="none" w:sz="0" w:space="0" w:color="auto"/>
                              </w:divBdr>
                              <w:divsChild>
                                <w:div w:id="235554580">
                                  <w:marLeft w:val="0"/>
                                  <w:marRight w:val="0"/>
                                  <w:marTop w:val="0"/>
                                  <w:marBottom w:val="0"/>
                                  <w:divBdr>
                                    <w:top w:val="none" w:sz="0" w:space="0" w:color="auto"/>
                                    <w:left w:val="none" w:sz="0" w:space="0" w:color="auto"/>
                                    <w:bottom w:val="none" w:sz="0" w:space="0" w:color="auto"/>
                                    <w:right w:val="none" w:sz="0" w:space="0" w:color="auto"/>
                                  </w:divBdr>
                                  <w:divsChild>
                                    <w:div w:id="38820380">
                                      <w:marLeft w:val="0"/>
                                      <w:marRight w:val="0"/>
                                      <w:marTop w:val="0"/>
                                      <w:marBottom w:val="0"/>
                                      <w:divBdr>
                                        <w:top w:val="none" w:sz="0" w:space="0" w:color="auto"/>
                                        <w:left w:val="none" w:sz="0" w:space="0" w:color="auto"/>
                                        <w:bottom w:val="none" w:sz="0" w:space="0" w:color="auto"/>
                                        <w:right w:val="none" w:sz="0" w:space="0" w:color="auto"/>
                                      </w:divBdr>
                                      <w:divsChild>
                                        <w:div w:id="1272325146">
                                          <w:marLeft w:val="0"/>
                                          <w:marRight w:val="0"/>
                                          <w:marTop w:val="0"/>
                                          <w:marBottom w:val="0"/>
                                          <w:divBdr>
                                            <w:top w:val="none" w:sz="0" w:space="0" w:color="auto"/>
                                            <w:left w:val="none" w:sz="0" w:space="0" w:color="auto"/>
                                            <w:bottom w:val="none" w:sz="0" w:space="0" w:color="auto"/>
                                            <w:right w:val="none" w:sz="0" w:space="0" w:color="auto"/>
                                          </w:divBdr>
                                          <w:divsChild>
                                            <w:div w:id="17950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687499">
      <w:bodyDiv w:val="1"/>
      <w:marLeft w:val="0"/>
      <w:marRight w:val="0"/>
      <w:marTop w:val="0"/>
      <w:marBottom w:val="0"/>
      <w:divBdr>
        <w:top w:val="none" w:sz="0" w:space="0" w:color="auto"/>
        <w:left w:val="none" w:sz="0" w:space="0" w:color="auto"/>
        <w:bottom w:val="none" w:sz="0" w:space="0" w:color="auto"/>
        <w:right w:val="none" w:sz="0" w:space="0" w:color="auto"/>
      </w:divBdr>
    </w:div>
    <w:div w:id="371030716">
      <w:bodyDiv w:val="1"/>
      <w:marLeft w:val="0"/>
      <w:marRight w:val="0"/>
      <w:marTop w:val="0"/>
      <w:marBottom w:val="0"/>
      <w:divBdr>
        <w:top w:val="none" w:sz="0" w:space="0" w:color="auto"/>
        <w:left w:val="none" w:sz="0" w:space="0" w:color="auto"/>
        <w:bottom w:val="none" w:sz="0" w:space="0" w:color="auto"/>
        <w:right w:val="none" w:sz="0" w:space="0" w:color="auto"/>
      </w:divBdr>
    </w:div>
    <w:div w:id="376468374">
      <w:bodyDiv w:val="1"/>
      <w:marLeft w:val="0"/>
      <w:marRight w:val="0"/>
      <w:marTop w:val="0"/>
      <w:marBottom w:val="0"/>
      <w:divBdr>
        <w:top w:val="none" w:sz="0" w:space="0" w:color="auto"/>
        <w:left w:val="none" w:sz="0" w:space="0" w:color="auto"/>
        <w:bottom w:val="none" w:sz="0" w:space="0" w:color="auto"/>
        <w:right w:val="none" w:sz="0" w:space="0" w:color="auto"/>
      </w:divBdr>
    </w:div>
    <w:div w:id="377710098">
      <w:bodyDiv w:val="1"/>
      <w:marLeft w:val="0"/>
      <w:marRight w:val="0"/>
      <w:marTop w:val="0"/>
      <w:marBottom w:val="0"/>
      <w:divBdr>
        <w:top w:val="none" w:sz="0" w:space="0" w:color="auto"/>
        <w:left w:val="none" w:sz="0" w:space="0" w:color="auto"/>
        <w:bottom w:val="none" w:sz="0" w:space="0" w:color="auto"/>
        <w:right w:val="none" w:sz="0" w:space="0" w:color="auto"/>
      </w:divBdr>
    </w:div>
    <w:div w:id="377824287">
      <w:bodyDiv w:val="1"/>
      <w:marLeft w:val="0"/>
      <w:marRight w:val="0"/>
      <w:marTop w:val="0"/>
      <w:marBottom w:val="0"/>
      <w:divBdr>
        <w:top w:val="none" w:sz="0" w:space="0" w:color="auto"/>
        <w:left w:val="none" w:sz="0" w:space="0" w:color="auto"/>
        <w:bottom w:val="none" w:sz="0" w:space="0" w:color="auto"/>
        <w:right w:val="none" w:sz="0" w:space="0" w:color="auto"/>
      </w:divBdr>
    </w:div>
    <w:div w:id="385302766">
      <w:bodyDiv w:val="1"/>
      <w:marLeft w:val="0"/>
      <w:marRight w:val="0"/>
      <w:marTop w:val="0"/>
      <w:marBottom w:val="0"/>
      <w:divBdr>
        <w:top w:val="none" w:sz="0" w:space="0" w:color="auto"/>
        <w:left w:val="none" w:sz="0" w:space="0" w:color="auto"/>
        <w:bottom w:val="none" w:sz="0" w:space="0" w:color="auto"/>
        <w:right w:val="none" w:sz="0" w:space="0" w:color="auto"/>
      </w:divBdr>
      <w:divsChild>
        <w:div w:id="934047035">
          <w:marLeft w:val="0"/>
          <w:marRight w:val="0"/>
          <w:marTop w:val="0"/>
          <w:marBottom w:val="0"/>
          <w:divBdr>
            <w:top w:val="none" w:sz="0" w:space="0" w:color="auto"/>
            <w:left w:val="none" w:sz="0" w:space="0" w:color="auto"/>
            <w:bottom w:val="none" w:sz="0" w:space="0" w:color="auto"/>
            <w:right w:val="none" w:sz="0" w:space="0" w:color="auto"/>
          </w:divBdr>
          <w:divsChild>
            <w:div w:id="635599298">
              <w:marLeft w:val="0"/>
              <w:marRight w:val="0"/>
              <w:marTop w:val="0"/>
              <w:marBottom w:val="0"/>
              <w:divBdr>
                <w:top w:val="none" w:sz="0" w:space="0" w:color="auto"/>
                <w:left w:val="none" w:sz="0" w:space="0" w:color="auto"/>
                <w:bottom w:val="none" w:sz="0" w:space="0" w:color="auto"/>
                <w:right w:val="none" w:sz="0" w:space="0" w:color="auto"/>
              </w:divBdr>
              <w:divsChild>
                <w:div w:id="2133671471">
                  <w:marLeft w:val="0"/>
                  <w:marRight w:val="0"/>
                  <w:marTop w:val="0"/>
                  <w:marBottom w:val="0"/>
                  <w:divBdr>
                    <w:top w:val="none" w:sz="0" w:space="0" w:color="auto"/>
                    <w:left w:val="none" w:sz="0" w:space="0" w:color="auto"/>
                    <w:bottom w:val="none" w:sz="0" w:space="0" w:color="auto"/>
                    <w:right w:val="none" w:sz="0" w:space="0" w:color="auto"/>
                  </w:divBdr>
                  <w:divsChild>
                    <w:div w:id="1166825645">
                      <w:marLeft w:val="0"/>
                      <w:marRight w:val="0"/>
                      <w:marTop w:val="0"/>
                      <w:marBottom w:val="0"/>
                      <w:divBdr>
                        <w:top w:val="none" w:sz="0" w:space="0" w:color="auto"/>
                        <w:left w:val="none" w:sz="0" w:space="0" w:color="auto"/>
                        <w:bottom w:val="none" w:sz="0" w:space="0" w:color="auto"/>
                        <w:right w:val="none" w:sz="0" w:space="0" w:color="auto"/>
                      </w:divBdr>
                      <w:divsChild>
                        <w:div w:id="1111168584">
                          <w:marLeft w:val="0"/>
                          <w:marRight w:val="0"/>
                          <w:marTop w:val="0"/>
                          <w:marBottom w:val="0"/>
                          <w:divBdr>
                            <w:top w:val="none" w:sz="0" w:space="0" w:color="auto"/>
                            <w:left w:val="none" w:sz="0" w:space="0" w:color="auto"/>
                            <w:bottom w:val="none" w:sz="0" w:space="0" w:color="auto"/>
                            <w:right w:val="none" w:sz="0" w:space="0" w:color="auto"/>
                          </w:divBdr>
                          <w:divsChild>
                            <w:div w:id="188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194203">
      <w:bodyDiv w:val="1"/>
      <w:marLeft w:val="0"/>
      <w:marRight w:val="0"/>
      <w:marTop w:val="0"/>
      <w:marBottom w:val="0"/>
      <w:divBdr>
        <w:top w:val="none" w:sz="0" w:space="0" w:color="auto"/>
        <w:left w:val="none" w:sz="0" w:space="0" w:color="auto"/>
        <w:bottom w:val="none" w:sz="0" w:space="0" w:color="auto"/>
        <w:right w:val="none" w:sz="0" w:space="0" w:color="auto"/>
      </w:divBdr>
    </w:div>
    <w:div w:id="390928646">
      <w:bodyDiv w:val="1"/>
      <w:marLeft w:val="0"/>
      <w:marRight w:val="0"/>
      <w:marTop w:val="0"/>
      <w:marBottom w:val="0"/>
      <w:divBdr>
        <w:top w:val="none" w:sz="0" w:space="0" w:color="auto"/>
        <w:left w:val="none" w:sz="0" w:space="0" w:color="auto"/>
        <w:bottom w:val="none" w:sz="0" w:space="0" w:color="auto"/>
        <w:right w:val="none" w:sz="0" w:space="0" w:color="auto"/>
      </w:divBdr>
    </w:div>
    <w:div w:id="395082359">
      <w:bodyDiv w:val="1"/>
      <w:marLeft w:val="0"/>
      <w:marRight w:val="0"/>
      <w:marTop w:val="0"/>
      <w:marBottom w:val="0"/>
      <w:divBdr>
        <w:top w:val="none" w:sz="0" w:space="0" w:color="auto"/>
        <w:left w:val="none" w:sz="0" w:space="0" w:color="auto"/>
        <w:bottom w:val="none" w:sz="0" w:space="0" w:color="auto"/>
        <w:right w:val="none" w:sz="0" w:space="0" w:color="auto"/>
      </w:divBdr>
    </w:div>
    <w:div w:id="398721451">
      <w:bodyDiv w:val="1"/>
      <w:marLeft w:val="0"/>
      <w:marRight w:val="0"/>
      <w:marTop w:val="0"/>
      <w:marBottom w:val="0"/>
      <w:divBdr>
        <w:top w:val="none" w:sz="0" w:space="0" w:color="auto"/>
        <w:left w:val="none" w:sz="0" w:space="0" w:color="auto"/>
        <w:bottom w:val="none" w:sz="0" w:space="0" w:color="auto"/>
        <w:right w:val="none" w:sz="0" w:space="0" w:color="auto"/>
      </w:divBdr>
    </w:div>
    <w:div w:id="399330438">
      <w:bodyDiv w:val="1"/>
      <w:marLeft w:val="0"/>
      <w:marRight w:val="0"/>
      <w:marTop w:val="0"/>
      <w:marBottom w:val="0"/>
      <w:divBdr>
        <w:top w:val="none" w:sz="0" w:space="0" w:color="auto"/>
        <w:left w:val="none" w:sz="0" w:space="0" w:color="auto"/>
        <w:bottom w:val="none" w:sz="0" w:space="0" w:color="auto"/>
        <w:right w:val="none" w:sz="0" w:space="0" w:color="auto"/>
      </w:divBdr>
    </w:div>
    <w:div w:id="413091760">
      <w:bodyDiv w:val="1"/>
      <w:marLeft w:val="0"/>
      <w:marRight w:val="0"/>
      <w:marTop w:val="0"/>
      <w:marBottom w:val="0"/>
      <w:divBdr>
        <w:top w:val="none" w:sz="0" w:space="0" w:color="auto"/>
        <w:left w:val="none" w:sz="0" w:space="0" w:color="auto"/>
        <w:bottom w:val="none" w:sz="0" w:space="0" w:color="auto"/>
        <w:right w:val="none" w:sz="0" w:space="0" w:color="auto"/>
      </w:divBdr>
    </w:div>
    <w:div w:id="428357117">
      <w:bodyDiv w:val="1"/>
      <w:marLeft w:val="0"/>
      <w:marRight w:val="0"/>
      <w:marTop w:val="0"/>
      <w:marBottom w:val="0"/>
      <w:divBdr>
        <w:top w:val="none" w:sz="0" w:space="0" w:color="auto"/>
        <w:left w:val="none" w:sz="0" w:space="0" w:color="auto"/>
        <w:bottom w:val="none" w:sz="0" w:space="0" w:color="auto"/>
        <w:right w:val="none" w:sz="0" w:space="0" w:color="auto"/>
      </w:divBdr>
    </w:div>
    <w:div w:id="428358155">
      <w:bodyDiv w:val="1"/>
      <w:marLeft w:val="0"/>
      <w:marRight w:val="0"/>
      <w:marTop w:val="0"/>
      <w:marBottom w:val="0"/>
      <w:divBdr>
        <w:top w:val="none" w:sz="0" w:space="0" w:color="auto"/>
        <w:left w:val="none" w:sz="0" w:space="0" w:color="auto"/>
        <w:bottom w:val="none" w:sz="0" w:space="0" w:color="auto"/>
        <w:right w:val="none" w:sz="0" w:space="0" w:color="auto"/>
      </w:divBdr>
    </w:div>
    <w:div w:id="430053850">
      <w:bodyDiv w:val="1"/>
      <w:marLeft w:val="0"/>
      <w:marRight w:val="0"/>
      <w:marTop w:val="0"/>
      <w:marBottom w:val="0"/>
      <w:divBdr>
        <w:top w:val="none" w:sz="0" w:space="0" w:color="auto"/>
        <w:left w:val="none" w:sz="0" w:space="0" w:color="auto"/>
        <w:bottom w:val="none" w:sz="0" w:space="0" w:color="auto"/>
        <w:right w:val="none" w:sz="0" w:space="0" w:color="auto"/>
      </w:divBdr>
    </w:div>
    <w:div w:id="436870627">
      <w:bodyDiv w:val="1"/>
      <w:marLeft w:val="0"/>
      <w:marRight w:val="0"/>
      <w:marTop w:val="0"/>
      <w:marBottom w:val="0"/>
      <w:divBdr>
        <w:top w:val="none" w:sz="0" w:space="0" w:color="auto"/>
        <w:left w:val="none" w:sz="0" w:space="0" w:color="auto"/>
        <w:bottom w:val="none" w:sz="0" w:space="0" w:color="auto"/>
        <w:right w:val="none" w:sz="0" w:space="0" w:color="auto"/>
      </w:divBdr>
    </w:div>
    <w:div w:id="438645508">
      <w:bodyDiv w:val="1"/>
      <w:marLeft w:val="0"/>
      <w:marRight w:val="0"/>
      <w:marTop w:val="0"/>
      <w:marBottom w:val="0"/>
      <w:divBdr>
        <w:top w:val="none" w:sz="0" w:space="0" w:color="auto"/>
        <w:left w:val="none" w:sz="0" w:space="0" w:color="auto"/>
        <w:bottom w:val="none" w:sz="0" w:space="0" w:color="auto"/>
        <w:right w:val="none" w:sz="0" w:space="0" w:color="auto"/>
      </w:divBdr>
    </w:div>
    <w:div w:id="454759063">
      <w:bodyDiv w:val="1"/>
      <w:marLeft w:val="0"/>
      <w:marRight w:val="0"/>
      <w:marTop w:val="0"/>
      <w:marBottom w:val="0"/>
      <w:divBdr>
        <w:top w:val="none" w:sz="0" w:space="0" w:color="auto"/>
        <w:left w:val="none" w:sz="0" w:space="0" w:color="auto"/>
        <w:bottom w:val="none" w:sz="0" w:space="0" w:color="auto"/>
        <w:right w:val="none" w:sz="0" w:space="0" w:color="auto"/>
      </w:divBdr>
      <w:divsChild>
        <w:div w:id="1083065002">
          <w:marLeft w:val="547"/>
          <w:marRight w:val="0"/>
          <w:marTop w:val="0"/>
          <w:marBottom w:val="0"/>
          <w:divBdr>
            <w:top w:val="none" w:sz="0" w:space="0" w:color="auto"/>
            <w:left w:val="none" w:sz="0" w:space="0" w:color="auto"/>
            <w:bottom w:val="none" w:sz="0" w:space="0" w:color="auto"/>
            <w:right w:val="none" w:sz="0" w:space="0" w:color="auto"/>
          </w:divBdr>
        </w:div>
      </w:divsChild>
    </w:div>
    <w:div w:id="481583073">
      <w:bodyDiv w:val="1"/>
      <w:marLeft w:val="0"/>
      <w:marRight w:val="0"/>
      <w:marTop w:val="0"/>
      <w:marBottom w:val="0"/>
      <w:divBdr>
        <w:top w:val="none" w:sz="0" w:space="0" w:color="auto"/>
        <w:left w:val="none" w:sz="0" w:space="0" w:color="auto"/>
        <w:bottom w:val="none" w:sz="0" w:space="0" w:color="auto"/>
        <w:right w:val="none" w:sz="0" w:space="0" w:color="auto"/>
      </w:divBdr>
    </w:div>
    <w:div w:id="491026036">
      <w:bodyDiv w:val="1"/>
      <w:marLeft w:val="0"/>
      <w:marRight w:val="0"/>
      <w:marTop w:val="0"/>
      <w:marBottom w:val="0"/>
      <w:divBdr>
        <w:top w:val="none" w:sz="0" w:space="0" w:color="auto"/>
        <w:left w:val="none" w:sz="0" w:space="0" w:color="auto"/>
        <w:bottom w:val="none" w:sz="0" w:space="0" w:color="auto"/>
        <w:right w:val="none" w:sz="0" w:space="0" w:color="auto"/>
      </w:divBdr>
    </w:div>
    <w:div w:id="503281495">
      <w:bodyDiv w:val="1"/>
      <w:marLeft w:val="0"/>
      <w:marRight w:val="0"/>
      <w:marTop w:val="0"/>
      <w:marBottom w:val="0"/>
      <w:divBdr>
        <w:top w:val="none" w:sz="0" w:space="0" w:color="auto"/>
        <w:left w:val="none" w:sz="0" w:space="0" w:color="auto"/>
        <w:bottom w:val="none" w:sz="0" w:space="0" w:color="auto"/>
        <w:right w:val="none" w:sz="0" w:space="0" w:color="auto"/>
      </w:divBdr>
    </w:div>
    <w:div w:id="510606964">
      <w:bodyDiv w:val="1"/>
      <w:marLeft w:val="0"/>
      <w:marRight w:val="0"/>
      <w:marTop w:val="0"/>
      <w:marBottom w:val="0"/>
      <w:divBdr>
        <w:top w:val="none" w:sz="0" w:space="0" w:color="auto"/>
        <w:left w:val="none" w:sz="0" w:space="0" w:color="auto"/>
        <w:bottom w:val="none" w:sz="0" w:space="0" w:color="auto"/>
        <w:right w:val="none" w:sz="0" w:space="0" w:color="auto"/>
      </w:divBdr>
    </w:div>
    <w:div w:id="514610982">
      <w:bodyDiv w:val="1"/>
      <w:marLeft w:val="0"/>
      <w:marRight w:val="0"/>
      <w:marTop w:val="0"/>
      <w:marBottom w:val="0"/>
      <w:divBdr>
        <w:top w:val="none" w:sz="0" w:space="0" w:color="auto"/>
        <w:left w:val="none" w:sz="0" w:space="0" w:color="auto"/>
        <w:bottom w:val="none" w:sz="0" w:space="0" w:color="auto"/>
        <w:right w:val="none" w:sz="0" w:space="0" w:color="auto"/>
      </w:divBdr>
    </w:div>
    <w:div w:id="514997504">
      <w:bodyDiv w:val="1"/>
      <w:marLeft w:val="0"/>
      <w:marRight w:val="0"/>
      <w:marTop w:val="0"/>
      <w:marBottom w:val="0"/>
      <w:divBdr>
        <w:top w:val="none" w:sz="0" w:space="0" w:color="auto"/>
        <w:left w:val="none" w:sz="0" w:space="0" w:color="auto"/>
        <w:bottom w:val="none" w:sz="0" w:space="0" w:color="auto"/>
        <w:right w:val="none" w:sz="0" w:space="0" w:color="auto"/>
      </w:divBdr>
    </w:div>
    <w:div w:id="523715504">
      <w:bodyDiv w:val="1"/>
      <w:marLeft w:val="0"/>
      <w:marRight w:val="0"/>
      <w:marTop w:val="0"/>
      <w:marBottom w:val="0"/>
      <w:divBdr>
        <w:top w:val="none" w:sz="0" w:space="0" w:color="auto"/>
        <w:left w:val="none" w:sz="0" w:space="0" w:color="auto"/>
        <w:bottom w:val="none" w:sz="0" w:space="0" w:color="auto"/>
        <w:right w:val="none" w:sz="0" w:space="0" w:color="auto"/>
      </w:divBdr>
    </w:div>
    <w:div w:id="524907835">
      <w:bodyDiv w:val="1"/>
      <w:marLeft w:val="0"/>
      <w:marRight w:val="0"/>
      <w:marTop w:val="0"/>
      <w:marBottom w:val="0"/>
      <w:divBdr>
        <w:top w:val="none" w:sz="0" w:space="0" w:color="auto"/>
        <w:left w:val="none" w:sz="0" w:space="0" w:color="auto"/>
        <w:bottom w:val="none" w:sz="0" w:space="0" w:color="auto"/>
        <w:right w:val="none" w:sz="0" w:space="0" w:color="auto"/>
      </w:divBdr>
    </w:div>
    <w:div w:id="526408699">
      <w:bodyDiv w:val="1"/>
      <w:marLeft w:val="0"/>
      <w:marRight w:val="0"/>
      <w:marTop w:val="0"/>
      <w:marBottom w:val="0"/>
      <w:divBdr>
        <w:top w:val="none" w:sz="0" w:space="0" w:color="auto"/>
        <w:left w:val="none" w:sz="0" w:space="0" w:color="auto"/>
        <w:bottom w:val="none" w:sz="0" w:space="0" w:color="auto"/>
        <w:right w:val="none" w:sz="0" w:space="0" w:color="auto"/>
      </w:divBdr>
    </w:div>
    <w:div w:id="527180641">
      <w:bodyDiv w:val="1"/>
      <w:marLeft w:val="0"/>
      <w:marRight w:val="0"/>
      <w:marTop w:val="0"/>
      <w:marBottom w:val="0"/>
      <w:divBdr>
        <w:top w:val="none" w:sz="0" w:space="0" w:color="auto"/>
        <w:left w:val="none" w:sz="0" w:space="0" w:color="auto"/>
        <w:bottom w:val="none" w:sz="0" w:space="0" w:color="auto"/>
        <w:right w:val="none" w:sz="0" w:space="0" w:color="auto"/>
      </w:divBdr>
    </w:div>
    <w:div w:id="538326139">
      <w:bodyDiv w:val="1"/>
      <w:marLeft w:val="0"/>
      <w:marRight w:val="0"/>
      <w:marTop w:val="0"/>
      <w:marBottom w:val="0"/>
      <w:divBdr>
        <w:top w:val="none" w:sz="0" w:space="0" w:color="auto"/>
        <w:left w:val="none" w:sz="0" w:space="0" w:color="auto"/>
        <w:bottom w:val="none" w:sz="0" w:space="0" w:color="auto"/>
        <w:right w:val="none" w:sz="0" w:space="0" w:color="auto"/>
      </w:divBdr>
    </w:div>
    <w:div w:id="554197991">
      <w:bodyDiv w:val="1"/>
      <w:marLeft w:val="0"/>
      <w:marRight w:val="0"/>
      <w:marTop w:val="0"/>
      <w:marBottom w:val="0"/>
      <w:divBdr>
        <w:top w:val="none" w:sz="0" w:space="0" w:color="auto"/>
        <w:left w:val="none" w:sz="0" w:space="0" w:color="auto"/>
        <w:bottom w:val="none" w:sz="0" w:space="0" w:color="auto"/>
        <w:right w:val="none" w:sz="0" w:space="0" w:color="auto"/>
      </w:divBdr>
    </w:div>
    <w:div w:id="561259043">
      <w:bodyDiv w:val="1"/>
      <w:marLeft w:val="0"/>
      <w:marRight w:val="0"/>
      <w:marTop w:val="0"/>
      <w:marBottom w:val="0"/>
      <w:divBdr>
        <w:top w:val="none" w:sz="0" w:space="0" w:color="auto"/>
        <w:left w:val="none" w:sz="0" w:space="0" w:color="auto"/>
        <w:bottom w:val="none" w:sz="0" w:space="0" w:color="auto"/>
        <w:right w:val="none" w:sz="0" w:space="0" w:color="auto"/>
      </w:divBdr>
    </w:div>
    <w:div w:id="562838092">
      <w:bodyDiv w:val="1"/>
      <w:marLeft w:val="0"/>
      <w:marRight w:val="0"/>
      <w:marTop w:val="0"/>
      <w:marBottom w:val="0"/>
      <w:divBdr>
        <w:top w:val="none" w:sz="0" w:space="0" w:color="auto"/>
        <w:left w:val="none" w:sz="0" w:space="0" w:color="auto"/>
        <w:bottom w:val="none" w:sz="0" w:space="0" w:color="auto"/>
        <w:right w:val="none" w:sz="0" w:space="0" w:color="auto"/>
      </w:divBdr>
    </w:div>
    <w:div w:id="562957582">
      <w:bodyDiv w:val="1"/>
      <w:marLeft w:val="0"/>
      <w:marRight w:val="0"/>
      <w:marTop w:val="0"/>
      <w:marBottom w:val="0"/>
      <w:divBdr>
        <w:top w:val="none" w:sz="0" w:space="0" w:color="auto"/>
        <w:left w:val="none" w:sz="0" w:space="0" w:color="auto"/>
        <w:bottom w:val="none" w:sz="0" w:space="0" w:color="auto"/>
        <w:right w:val="none" w:sz="0" w:space="0" w:color="auto"/>
      </w:divBdr>
    </w:div>
    <w:div w:id="570038595">
      <w:bodyDiv w:val="1"/>
      <w:marLeft w:val="0"/>
      <w:marRight w:val="0"/>
      <w:marTop w:val="0"/>
      <w:marBottom w:val="0"/>
      <w:divBdr>
        <w:top w:val="none" w:sz="0" w:space="0" w:color="auto"/>
        <w:left w:val="none" w:sz="0" w:space="0" w:color="auto"/>
        <w:bottom w:val="none" w:sz="0" w:space="0" w:color="auto"/>
        <w:right w:val="none" w:sz="0" w:space="0" w:color="auto"/>
      </w:divBdr>
    </w:div>
    <w:div w:id="576864477">
      <w:bodyDiv w:val="1"/>
      <w:marLeft w:val="0"/>
      <w:marRight w:val="0"/>
      <w:marTop w:val="0"/>
      <w:marBottom w:val="0"/>
      <w:divBdr>
        <w:top w:val="none" w:sz="0" w:space="0" w:color="auto"/>
        <w:left w:val="none" w:sz="0" w:space="0" w:color="auto"/>
        <w:bottom w:val="none" w:sz="0" w:space="0" w:color="auto"/>
        <w:right w:val="none" w:sz="0" w:space="0" w:color="auto"/>
      </w:divBdr>
    </w:div>
    <w:div w:id="588463661">
      <w:bodyDiv w:val="1"/>
      <w:marLeft w:val="0"/>
      <w:marRight w:val="0"/>
      <w:marTop w:val="0"/>
      <w:marBottom w:val="0"/>
      <w:divBdr>
        <w:top w:val="none" w:sz="0" w:space="0" w:color="auto"/>
        <w:left w:val="none" w:sz="0" w:space="0" w:color="auto"/>
        <w:bottom w:val="none" w:sz="0" w:space="0" w:color="auto"/>
        <w:right w:val="none" w:sz="0" w:space="0" w:color="auto"/>
      </w:divBdr>
    </w:div>
    <w:div w:id="592587619">
      <w:bodyDiv w:val="1"/>
      <w:marLeft w:val="0"/>
      <w:marRight w:val="0"/>
      <w:marTop w:val="0"/>
      <w:marBottom w:val="0"/>
      <w:divBdr>
        <w:top w:val="none" w:sz="0" w:space="0" w:color="auto"/>
        <w:left w:val="none" w:sz="0" w:space="0" w:color="auto"/>
        <w:bottom w:val="none" w:sz="0" w:space="0" w:color="auto"/>
        <w:right w:val="none" w:sz="0" w:space="0" w:color="auto"/>
      </w:divBdr>
    </w:div>
    <w:div w:id="598873381">
      <w:bodyDiv w:val="1"/>
      <w:marLeft w:val="0"/>
      <w:marRight w:val="0"/>
      <w:marTop w:val="0"/>
      <w:marBottom w:val="0"/>
      <w:divBdr>
        <w:top w:val="none" w:sz="0" w:space="0" w:color="auto"/>
        <w:left w:val="none" w:sz="0" w:space="0" w:color="auto"/>
        <w:bottom w:val="none" w:sz="0" w:space="0" w:color="auto"/>
        <w:right w:val="none" w:sz="0" w:space="0" w:color="auto"/>
      </w:divBdr>
    </w:div>
    <w:div w:id="601452019">
      <w:bodyDiv w:val="1"/>
      <w:marLeft w:val="0"/>
      <w:marRight w:val="0"/>
      <w:marTop w:val="0"/>
      <w:marBottom w:val="0"/>
      <w:divBdr>
        <w:top w:val="none" w:sz="0" w:space="0" w:color="auto"/>
        <w:left w:val="none" w:sz="0" w:space="0" w:color="auto"/>
        <w:bottom w:val="none" w:sz="0" w:space="0" w:color="auto"/>
        <w:right w:val="none" w:sz="0" w:space="0" w:color="auto"/>
      </w:divBdr>
    </w:div>
    <w:div w:id="605498685">
      <w:bodyDiv w:val="1"/>
      <w:marLeft w:val="0"/>
      <w:marRight w:val="0"/>
      <w:marTop w:val="0"/>
      <w:marBottom w:val="0"/>
      <w:divBdr>
        <w:top w:val="none" w:sz="0" w:space="0" w:color="auto"/>
        <w:left w:val="none" w:sz="0" w:space="0" w:color="auto"/>
        <w:bottom w:val="none" w:sz="0" w:space="0" w:color="auto"/>
        <w:right w:val="none" w:sz="0" w:space="0" w:color="auto"/>
      </w:divBdr>
    </w:div>
    <w:div w:id="624194178">
      <w:bodyDiv w:val="1"/>
      <w:marLeft w:val="0"/>
      <w:marRight w:val="0"/>
      <w:marTop w:val="0"/>
      <w:marBottom w:val="0"/>
      <w:divBdr>
        <w:top w:val="none" w:sz="0" w:space="0" w:color="auto"/>
        <w:left w:val="none" w:sz="0" w:space="0" w:color="auto"/>
        <w:bottom w:val="none" w:sz="0" w:space="0" w:color="auto"/>
        <w:right w:val="none" w:sz="0" w:space="0" w:color="auto"/>
      </w:divBdr>
    </w:div>
    <w:div w:id="628508845">
      <w:bodyDiv w:val="1"/>
      <w:marLeft w:val="0"/>
      <w:marRight w:val="0"/>
      <w:marTop w:val="0"/>
      <w:marBottom w:val="0"/>
      <w:divBdr>
        <w:top w:val="none" w:sz="0" w:space="0" w:color="auto"/>
        <w:left w:val="none" w:sz="0" w:space="0" w:color="auto"/>
        <w:bottom w:val="none" w:sz="0" w:space="0" w:color="auto"/>
        <w:right w:val="none" w:sz="0" w:space="0" w:color="auto"/>
      </w:divBdr>
    </w:div>
    <w:div w:id="629895179">
      <w:bodyDiv w:val="1"/>
      <w:marLeft w:val="0"/>
      <w:marRight w:val="0"/>
      <w:marTop w:val="0"/>
      <w:marBottom w:val="0"/>
      <w:divBdr>
        <w:top w:val="none" w:sz="0" w:space="0" w:color="auto"/>
        <w:left w:val="none" w:sz="0" w:space="0" w:color="auto"/>
        <w:bottom w:val="none" w:sz="0" w:space="0" w:color="auto"/>
        <w:right w:val="none" w:sz="0" w:space="0" w:color="auto"/>
      </w:divBdr>
    </w:div>
    <w:div w:id="634262739">
      <w:bodyDiv w:val="1"/>
      <w:marLeft w:val="0"/>
      <w:marRight w:val="0"/>
      <w:marTop w:val="0"/>
      <w:marBottom w:val="0"/>
      <w:divBdr>
        <w:top w:val="none" w:sz="0" w:space="0" w:color="auto"/>
        <w:left w:val="none" w:sz="0" w:space="0" w:color="auto"/>
        <w:bottom w:val="none" w:sz="0" w:space="0" w:color="auto"/>
        <w:right w:val="none" w:sz="0" w:space="0" w:color="auto"/>
      </w:divBdr>
      <w:divsChild>
        <w:div w:id="1928490034">
          <w:marLeft w:val="0"/>
          <w:marRight w:val="0"/>
          <w:marTop w:val="0"/>
          <w:marBottom w:val="0"/>
          <w:divBdr>
            <w:top w:val="none" w:sz="0" w:space="0" w:color="auto"/>
            <w:left w:val="none" w:sz="0" w:space="0" w:color="auto"/>
            <w:bottom w:val="none" w:sz="0" w:space="0" w:color="auto"/>
            <w:right w:val="none" w:sz="0" w:space="0" w:color="auto"/>
          </w:divBdr>
        </w:div>
      </w:divsChild>
    </w:div>
    <w:div w:id="637682801">
      <w:bodyDiv w:val="1"/>
      <w:marLeft w:val="0"/>
      <w:marRight w:val="0"/>
      <w:marTop w:val="0"/>
      <w:marBottom w:val="0"/>
      <w:divBdr>
        <w:top w:val="none" w:sz="0" w:space="0" w:color="auto"/>
        <w:left w:val="none" w:sz="0" w:space="0" w:color="auto"/>
        <w:bottom w:val="none" w:sz="0" w:space="0" w:color="auto"/>
        <w:right w:val="none" w:sz="0" w:space="0" w:color="auto"/>
      </w:divBdr>
    </w:div>
    <w:div w:id="638337461">
      <w:bodyDiv w:val="1"/>
      <w:marLeft w:val="0"/>
      <w:marRight w:val="0"/>
      <w:marTop w:val="0"/>
      <w:marBottom w:val="0"/>
      <w:divBdr>
        <w:top w:val="none" w:sz="0" w:space="0" w:color="auto"/>
        <w:left w:val="none" w:sz="0" w:space="0" w:color="auto"/>
        <w:bottom w:val="none" w:sz="0" w:space="0" w:color="auto"/>
        <w:right w:val="none" w:sz="0" w:space="0" w:color="auto"/>
      </w:divBdr>
    </w:div>
    <w:div w:id="648753534">
      <w:bodyDiv w:val="1"/>
      <w:marLeft w:val="0"/>
      <w:marRight w:val="0"/>
      <w:marTop w:val="0"/>
      <w:marBottom w:val="0"/>
      <w:divBdr>
        <w:top w:val="none" w:sz="0" w:space="0" w:color="auto"/>
        <w:left w:val="none" w:sz="0" w:space="0" w:color="auto"/>
        <w:bottom w:val="none" w:sz="0" w:space="0" w:color="auto"/>
        <w:right w:val="none" w:sz="0" w:space="0" w:color="auto"/>
      </w:divBdr>
    </w:div>
    <w:div w:id="650521162">
      <w:bodyDiv w:val="1"/>
      <w:marLeft w:val="0"/>
      <w:marRight w:val="0"/>
      <w:marTop w:val="0"/>
      <w:marBottom w:val="0"/>
      <w:divBdr>
        <w:top w:val="none" w:sz="0" w:space="0" w:color="auto"/>
        <w:left w:val="none" w:sz="0" w:space="0" w:color="auto"/>
        <w:bottom w:val="none" w:sz="0" w:space="0" w:color="auto"/>
        <w:right w:val="none" w:sz="0" w:space="0" w:color="auto"/>
      </w:divBdr>
    </w:div>
    <w:div w:id="654459071">
      <w:bodyDiv w:val="1"/>
      <w:marLeft w:val="0"/>
      <w:marRight w:val="0"/>
      <w:marTop w:val="0"/>
      <w:marBottom w:val="0"/>
      <w:divBdr>
        <w:top w:val="none" w:sz="0" w:space="0" w:color="auto"/>
        <w:left w:val="none" w:sz="0" w:space="0" w:color="auto"/>
        <w:bottom w:val="none" w:sz="0" w:space="0" w:color="auto"/>
        <w:right w:val="none" w:sz="0" w:space="0" w:color="auto"/>
      </w:divBdr>
    </w:div>
    <w:div w:id="659773741">
      <w:bodyDiv w:val="1"/>
      <w:marLeft w:val="0"/>
      <w:marRight w:val="0"/>
      <w:marTop w:val="0"/>
      <w:marBottom w:val="0"/>
      <w:divBdr>
        <w:top w:val="none" w:sz="0" w:space="0" w:color="auto"/>
        <w:left w:val="none" w:sz="0" w:space="0" w:color="auto"/>
        <w:bottom w:val="none" w:sz="0" w:space="0" w:color="auto"/>
        <w:right w:val="none" w:sz="0" w:space="0" w:color="auto"/>
      </w:divBdr>
    </w:div>
    <w:div w:id="659963963">
      <w:bodyDiv w:val="1"/>
      <w:marLeft w:val="0"/>
      <w:marRight w:val="0"/>
      <w:marTop w:val="0"/>
      <w:marBottom w:val="0"/>
      <w:divBdr>
        <w:top w:val="none" w:sz="0" w:space="0" w:color="auto"/>
        <w:left w:val="none" w:sz="0" w:space="0" w:color="auto"/>
        <w:bottom w:val="none" w:sz="0" w:space="0" w:color="auto"/>
        <w:right w:val="none" w:sz="0" w:space="0" w:color="auto"/>
      </w:divBdr>
    </w:div>
    <w:div w:id="660279476">
      <w:bodyDiv w:val="1"/>
      <w:marLeft w:val="0"/>
      <w:marRight w:val="0"/>
      <w:marTop w:val="0"/>
      <w:marBottom w:val="0"/>
      <w:divBdr>
        <w:top w:val="none" w:sz="0" w:space="0" w:color="auto"/>
        <w:left w:val="none" w:sz="0" w:space="0" w:color="auto"/>
        <w:bottom w:val="none" w:sz="0" w:space="0" w:color="auto"/>
        <w:right w:val="none" w:sz="0" w:space="0" w:color="auto"/>
      </w:divBdr>
    </w:div>
    <w:div w:id="662049752">
      <w:bodyDiv w:val="1"/>
      <w:marLeft w:val="0"/>
      <w:marRight w:val="0"/>
      <w:marTop w:val="0"/>
      <w:marBottom w:val="0"/>
      <w:divBdr>
        <w:top w:val="none" w:sz="0" w:space="0" w:color="auto"/>
        <w:left w:val="none" w:sz="0" w:space="0" w:color="auto"/>
        <w:bottom w:val="none" w:sz="0" w:space="0" w:color="auto"/>
        <w:right w:val="none" w:sz="0" w:space="0" w:color="auto"/>
      </w:divBdr>
    </w:div>
    <w:div w:id="665091987">
      <w:bodyDiv w:val="1"/>
      <w:marLeft w:val="0"/>
      <w:marRight w:val="0"/>
      <w:marTop w:val="0"/>
      <w:marBottom w:val="0"/>
      <w:divBdr>
        <w:top w:val="none" w:sz="0" w:space="0" w:color="auto"/>
        <w:left w:val="none" w:sz="0" w:space="0" w:color="auto"/>
        <w:bottom w:val="none" w:sz="0" w:space="0" w:color="auto"/>
        <w:right w:val="none" w:sz="0" w:space="0" w:color="auto"/>
      </w:divBdr>
      <w:divsChild>
        <w:div w:id="1483696308">
          <w:marLeft w:val="0"/>
          <w:marRight w:val="0"/>
          <w:marTop w:val="0"/>
          <w:marBottom w:val="0"/>
          <w:divBdr>
            <w:top w:val="none" w:sz="0" w:space="0" w:color="auto"/>
            <w:left w:val="none" w:sz="0" w:space="0" w:color="auto"/>
            <w:bottom w:val="none" w:sz="0" w:space="0" w:color="auto"/>
            <w:right w:val="none" w:sz="0" w:space="0" w:color="auto"/>
          </w:divBdr>
        </w:div>
      </w:divsChild>
    </w:div>
    <w:div w:id="670832444">
      <w:bodyDiv w:val="1"/>
      <w:marLeft w:val="0"/>
      <w:marRight w:val="0"/>
      <w:marTop w:val="0"/>
      <w:marBottom w:val="0"/>
      <w:divBdr>
        <w:top w:val="none" w:sz="0" w:space="0" w:color="auto"/>
        <w:left w:val="none" w:sz="0" w:space="0" w:color="auto"/>
        <w:bottom w:val="none" w:sz="0" w:space="0" w:color="auto"/>
        <w:right w:val="none" w:sz="0" w:space="0" w:color="auto"/>
      </w:divBdr>
    </w:div>
    <w:div w:id="670911663">
      <w:bodyDiv w:val="1"/>
      <w:marLeft w:val="0"/>
      <w:marRight w:val="0"/>
      <w:marTop w:val="0"/>
      <w:marBottom w:val="0"/>
      <w:divBdr>
        <w:top w:val="none" w:sz="0" w:space="0" w:color="auto"/>
        <w:left w:val="none" w:sz="0" w:space="0" w:color="auto"/>
        <w:bottom w:val="none" w:sz="0" w:space="0" w:color="auto"/>
        <w:right w:val="none" w:sz="0" w:space="0" w:color="auto"/>
      </w:divBdr>
    </w:div>
    <w:div w:id="671297489">
      <w:bodyDiv w:val="1"/>
      <w:marLeft w:val="0"/>
      <w:marRight w:val="0"/>
      <w:marTop w:val="0"/>
      <w:marBottom w:val="0"/>
      <w:divBdr>
        <w:top w:val="none" w:sz="0" w:space="0" w:color="auto"/>
        <w:left w:val="none" w:sz="0" w:space="0" w:color="auto"/>
        <w:bottom w:val="none" w:sz="0" w:space="0" w:color="auto"/>
        <w:right w:val="none" w:sz="0" w:space="0" w:color="auto"/>
      </w:divBdr>
    </w:div>
    <w:div w:id="677847649">
      <w:bodyDiv w:val="1"/>
      <w:marLeft w:val="0"/>
      <w:marRight w:val="0"/>
      <w:marTop w:val="0"/>
      <w:marBottom w:val="0"/>
      <w:divBdr>
        <w:top w:val="none" w:sz="0" w:space="0" w:color="auto"/>
        <w:left w:val="none" w:sz="0" w:space="0" w:color="auto"/>
        <w:bottom w:val="none" w:sz="0" w:space="0" w:color="auto"/>
        <w:right w:val="none" w:sz="0" w:space="0" w:color="auto"/>
      </w:divBdr>
    </w:div>
    <w:div w:id="681055378">
      <w:bodyDiv w:val="1"/>
      <w:marLeft w:val="0"/>
      <w:marRight w:val="0"/>
      <w:marTop w:val="0"/>
      <w:marBottom w:val="0"/>
      <w:divBdr>
        <w:top w:val="none" w:sz="0" w:space="0" w:color="auto"/>
        <w:left w:val="none" w:sz="0" w:space="0" w:color="auto"/>
        <w:bottom w:val="none" w:sz="0" w:space="0" w:color="auto"/>
        <w:right w:val="none" w:sz="0" w:space="0" w:color="auto"/>
      </w:divBdr>
    </w:div>
    <w:div w:id="691881451">
      <w:bodyDiv w:val="1"/>
      <w:marLeft w:val="0"/>
      <w:marRight w:val="0"/>
      <w:marTop w:val="0"/>
      <w:marBottom w:val="0"/>
      <w:divBdr>
        <w:top w:val="none" w:sz="0" w:space="0" w:color="auto"/>
        <w:left w:val="none" w:sz="0" w:space="0" w:color="auto"/>
        <w:bottom w:val="none" w:sz="0" w:space="0" w:color="auto"/>
        <w:right w:val="none" w:sz="0" w:space="0" w:color="auto"/>
      </w:divBdr>
    </w:div>
    <w:div w:id="693725272">
      <w:bodyDiv w:val="1"/>
      <w:marLeft w:val="0"/>
      <w:marRight w:val="0"/>
      <w:marTop w:val="0"/>
      <w:marBottom w:val="0"/>
      <w:divBdr>
        <w:top w:val="none" w:sz="0" w:space="0" w:color="auto"/>
        <w:left w:val="none" w:sz="0" w:space="0" w:color="auto"/>
        <w:bottom w:val="none" w:sz="0" w:space="0" w:color="auto"/>
        <w:right w:val="none" w:sz="0" w:space="0" w:color="auto"/>
      </w:divBdr>
    </w:div>
    <w:div w:id="699552727">
      <w:bodyDiv w:val="1"/>
      <w:marLeft w:val="0"/>
      <w:marRight w:val="0"/>
      <w:marTop w:val="0"/>
      <w:marBottom w:val="0"/>
      <w:divBdr>
        <w:top w:val="none" w:sz="0" w:space="0" w:color="auto"/>
        <w:left w:val="none" w:sz="0" w:space="0" w:color="auto"/>
        <w:bottom w:val="none" w:sz="0" w:space="0" w:color="auto"/>
        <w:right w:val="none" w:sz="0" w:space="0" w:color="auto"/>
      </w:divBdr>
    </w:div>
    <w:div w:id="704906845">
      <w:bodyDiv w:val="1"/>
      <w:marLeft w:val="0"/>
      <w:marRight w:val="0"/>
      <w:marTop w:val="0"/>
      <w:marBottom w:val="0"/>
      <w:divBdr>
        <w:top w:val="none" w:sz="0" w:space="0" w:color="auto"/>
        <w:left w:val="none" w:sz="0" w:space="0" w:color="auto"/>
        <w:bottom w:val="none" w:sz="0" w:space="0" w:color="auto"/>
        <w:right w:val="none" w:sz="0" w:space="0" w:color="auto"/>
      </w:divBdr>
    </w:div>
    <w:div w:id="705568377">
      <w:bodyDiv w:val="1"/>
      <w:marLeft w:val="0"/>
      <w:marRight w:val="0"/>
      <w:marTop w:val="0"/>
      <w:marBottom w:val="0"/>
      <w:divBdr>
        <w:top w:val="none" w:sz="0" w:space="0" w:color="auto"/>
        <w:left w:val="none" w:sz="0" w:space="0" w:color="auto"/>
        <w:bottom w:val="none" w:sz="0" w:space="0" w:color="auto"/>
        <w:right w:val="none" w:sz="0" w:space="0" w:color="auto"/>
      </w:divBdr>
    </w:div>
    <w:div w:id="707533282">
      <w:bodyDiv w:val="1"/>
      <w:marLeft w:val="0"/>
      <w:marRight w:val="0"/>
      <w:marTop w:val="0"/>
      <w:marBottom w:val="0"/>
      <w:divBdr>
        <w:top w:val="none" w:sz="0" w:space="0" w:color="auto"/>
        <w:left w:val="none" w:sz="0" w:space="0" w:color="auto"/>
        <w:bottom w:val="none" w:sz="0" w:space="0" w:color="auto"/>
        <w:right w:val="none" w:sz="0" w:space="0" w:color="auto"/>
      </w:divBdr>
    </w:div>
    <w:div w:id="714697121">
      <w:bodyDiv w:val="1"/>
      <w:marLeft w:val="0"/>
      <w:marRight w:val="0"/>
      <w:marTop w:val="0"/>
      <w:marBottom w:val="0"/>
      <w:divBdr>
        <w:top w:val="none" w:sz="0" w:space="0" w:color="auto"/>
        <w:left w:val="none" w:sz="0" w:space="0" w:color="auto"/>
        <w:bottom w:val="none" w:sz="0" w:space="0" w:color="auto"/>
        <w:right w:val="none" w:sz="0" w:space="0" w:color="auto"/>
      </w:divBdr>
    </w:div>
    <w:div w:id="716391065">
      <w:bodyDiv w:val="1"/>
      <w:marLeft w:val="0"/>
      <w:marRight w:val="0"/>
      <w:marTop w:val="0"/>
      <w:marBottom w:val="0"/>
      <w:divBdr>
        <w:top w:val="none" w:sz="0" w:space="0" w:color="auto"/>
        <w:left w:val="none" w:sz="0" w:space="0" w:color="auto"/>
        <w:bottom w:val="none" w:sz="0" w:space="0" w:color="auto"/>
        <w:right w:val="none" w:sz="0" w:space="0" w:color="auto"/>
      </w:divBdr>
    </w:div>
    <w:div w:id="718864531">
      <w:bodyDiv w:val="1"/>
      <w:marLeft w:val="0"/>
      <w:marRight w:val="0"/>
      <w:marTop w:val="0"/>
      <w:marBottom w:val="0"/>
      <w:divBdr>
        <w:top w:val="none" w:sz="0" w:space="0" w:color="auto"/>
        <w:left w:val="none" w:sz="0" w:space="0" w:color="auto"/>
        <w:bottom w:val="none" w:sz="0" w:space="0" w:color="auto"/>
        <w:right w:val="none" w:sz="0" w:space="0" w:color="auto"/>
      </w:divBdr>
    </w:div>
    <w:div w:id="721101911">
      <w:bodyDiv w:val="1"/>
      <w:marLeft w:val="0"/>
      <w:marRight w:val="0"/>
      <w:marTop w:val="0"/>
      <w:marBottom w:val="0"/>
      <w:divBdr>
        <w:top w:val="none" w:sz="0" w:space="0" w:color="auto"/>
        <w:left w:val="none" w:sz="0" w:space="0" w:color="auto"/>
        <w:bottom w:val="none" w:sz="0" w:space="0" w:color="auto"/>
        <w:right w:val="none" w:sz="0" w:space="0" w:color="auto"/>
      </w:divBdr>
    </w:div>
    <w:div w:id="723867363">
      <w:bodyDiv w:val="1"/>
      <w:marLeft w:val="0"/>
      <w:marRight w:val="0"/>
      <w:marTop w:val="0"/>
      <w:marBottom w:val="0"/>
      <w:divBdr>
        <w:top w:val="none" w:sz="0" w:space="0" w:color="auto"/>
        <w:left w:val="none" w:sz="0" w:space="0" w:color="auto"/>
        <w:bottom w:val="none" w:sz="0" w:space="0" w:color="auto"/>
        <w:right w:val="none" w:sz="0" w:space="0" w:color="auto"/>
      </w:divBdr>
    </w:div>
    <w:div w:id="725033710">
      <w:bodyDiv w:val="1"/>
      <w:marLeft w:val="0"/>
      <w:marRight w:val="0"/>
      <w:marTop w:val="0"/>
      <w:marBottom w:val="0"/>
      <w:divBdr>
        <w:top w:val="none" w:sz="0" w:space="0" w:color="auto"/>
        <w:left w:val="none" w:sz="0" w:space="0" w:color="auto"/>
        <w:bottom w:val="none" w:sz="0" w:space="0" w:color="auto"/>
        <w:right w:val="none" w:sz="0" w:space="0" w:color="auto"/>
      </w:divBdr>
    </w:div>
    <w:div w:id="725572836">
      <w:bodyDiv w:val="1"/>
      <w:marLeft w:val="0"/>
      <w:marRight w:val="0"/>
      <w:marTop w:val="0"/>
      <w:marBottom w:val="0"/>
      <w:divBdr>
        <w:top w:val="none" w:sz="0" w:space="0" w:color="auto"/>
        <w:left w:val="none" w:sz="0" w:space="0" w:color="auto"/>
        <w:bottom w:val="none" w:sz="0" w:space="0" w:color="auto"/>
        <w:right w:val="none" w:sz="0" w:space="0" w:color="auto"/>
      </w:divBdr>
    </w:div>
    <w:div w:id="726880606">
      <w:bodyDiv w:val="1"/>
      <w:marLeft w:val="0"/>
      <w:marRight w:val="0"/>
      <w:marTop w:val="0"/>
      <w:marBottom w:val="0"/>
      <w:divBdr>
        <w:top w:val="none" w:sz="0" w:space="0" w:color="auto"/>
        <w:left w:val="none" w:sz="0" w:space="0" w:color="auto"/>
        <w:bottom w:val="none" w:sz="0" w:space="0" w:color="auto"/>
        <w:right w:val="none" w:sz="0" w:space="0" w:color="auto"/>
      </w:divBdr>
    </w:div>
    <w:div w:id="729963087">
      <w:bodyDiv w:val="1"/>
      <w:marLeft w:val="0"/>
      <w:marRight w:val="0"/>
      <w:marTop w:val="0"/>
      <w:marBottom w:val="0"/>
      <w:divBdr>
        <w:top w:val="none" w:sz="0" w:space="0" w:color="auto"/>
        <w:left w:val="none" w:sz="0" w:space="0" w:color="auto"/>
        <w:bottom w:val="none" w:sz="0" w:space="0" w:color="auto"/>
        <w:right w:val="none" w:sz="0" w:space="0" w:color="auto"/>
      </w:divBdr>
    </w:div>
    <w:div w:id="731466283">
      <w:bodyDiv w:val="1"/>
      <w:marLeft w:val="0"/>
      <w:marRight w:val="0"/>
      <w:marTop w:val="0"/>
      <w:marBottom w:val="0"/>
      <w:divBdr>
        <w:top w:val="none" w:sz="0" w:space="0" w:color="auto"/>
        <w:left w:val="none" w:sz="0" w:space="0" w:color="auto"/>
        <w:bottom w:val="none" w:sz="0" w:space="0" w:color="auto"/>
        <w:right w:val="none" w:sz="0" w:space="0" w:color="auto"/>
      </w:divBdr>
    </w:div>
    <w:div w:id="740175261">
      <w:bodyDiv w:val="1"/>
      <w:marLeft w:val="0"/>
      <w:marRight w:val="0"/>
      <w:marTop w:val="0"/>
      <w:marBottom w:val="0"/>
      <w:divBdr>
        <w:top w:val="none" w:sz="0" w:space="0" w:color="auto"/>
        <w:left w:val="none" w:sz="0" w:space="0" w:color="auto"/>
        <w:bottom w:val="none" w:sz="0" w:space="0" w:color="auto"/>
        <w:right w:val="none" w:sz="0" w:space="0" w:color="auto"/>
      </w:divBdr>
    </w:div>
    <w:div w:id="740640614">
      <w:bodyDiv w:val="1"/>
      <w:marLeft w:val="0"/>
      <w:marRight w:val="0"/>
      <w:marTop w:val="0"/>
      <w:marBottom w:val="0"/>
      <w:divBdr>
        <w:top w:val="none" w:sz="0" w:space="0" w:color="auto"/>
        <w:left w:val="none" w:sz="0" w:space="0" w:color="auto"/>
        <w:bottom w:val="none" w:sz="0" w:space="0" w:color="auto"/>
        <w:right w:val="none" w:sz="0" w:space="0" w:color="auto"/>
      </w:divBdr>
    </w:div>
    <w:div w:id="742531412">
      <w:bodyDiv w:val="1"/>
      <w:marLeft w:val="0"/>
      <w:marRight w:val="0"/>
      <w:marTop w:val="0"/>
      <w:marBottom w:val="0"/>
      <w:divBdr>
        <w:top w:val="none" w:sz="0" w:space="0" w:color="auto"/>
        <w:left w:val="none" w:sz="0" w:space="0" w:color="auto"/>
        <w:bottom w:val="none" w:sz="0" w:space="0" w:color="auto"/>
        <w:right w:val="none" w:sz="0" w:space="0" w:color="auto"/>
      </w:divBdr>
    </w:div>
    <w:div w:id="746922371">
      <w:bodyDiv w:val="1"/>
      <w:marLeft w:val="0"/>
      <w:marRight w:val="0"/>
      <w:marTop w:val="0"/>
      <w:marBottom w:val="0"/>
      <w:divBdr>
        <w:top w:val="none" w:sz="0" w:space="0" w:color="auto"/>
        <w:left w:val="none" w:sz="0" w:space="0" w:color="auto"/>
        <w:bottom w:val="none" w:sz="0" w:space="0" w:color="auto"/>
        <w:right w:val="none" w:sz="0" w:space="0" w:color="auto"/>
      </w:divBdr>
    </w:div>
    <w:div w:id="748699543">
      <w:bodyDiv w:val="1"/>
      <w:marLeft w:val="0"/>
      <w:marRight w:val="0"/>
      <w:marTop w:val="0"/>
      <w:marBottom w:val="0"/>
      <w:divBdr>
        <w:top w:val="none" w:sz="0" w:space="0" w:color="auto"/>
        <w:left w:val="none" w:sz="0" w:space="0" w:color="auto"/>
        <w:bottom w:val="none" w:sz="0" w:space="0" w:color="auto"/>
        <w:right w:val="none" w:sz="0" w:space="0" w:color="auto"/>
      </w:divBdr>
      <w:divsChild>
        <w:div w:id="1969503178">
          <w:marLeft w:val="0"/>
          <w:marRight w:val="0"/>
          <w:marTop w:val="0"/>
          <w:marBottom w:val="0"/>
          <w:divBdr>
            <w:top w:val="none" w:sz="0" w:space="0" w:color="auto"/>
            <w:left w:val="none" w:sz="0" w:space="0" w:color="auto"/>
            <w:bottom w:val="none" w:sz="0" w:space="0" w:color="auto"/>
            <w:right w:val="none" w:sz="0" w:space="0" w:color="auto"/>
          </w:divBdr>
        </w:div>
      </w:divsChild>
    </w:div>
    <w:div w:id="755177029">
      <w:bodyDiv w:val="1"/>
      <w:marLeft w:val="0"/>
      <w:marRight w:val="0"/>
      <w:marTop w:val="0"/>
      <w:marBottom w:val="0"/>
      <w:divBdr>
        <w:top w:val="none" w:sz="0" w:space="0" w:color="auto"/>
        <w:left w:val="none" w:sz="0" w:space="0" w:color="auto"/>
        <w:bottom w:val="none" w:sz="0" w:space="0" w:color="auto"/>
        <w:right w:val="none" w:sz="0" w:space="0" w:color="auto"/>
      </w:divBdr>
    </w:div>
    <w:div w:id="758480023">
      <w:bodyDiv w:val="1"/>
      <w:marLeft w:val="0"/>
      <w:marRight w:val="0"/>
      <w:marTop w:val="0"/>
      <w:marBottom w:val="0"/>
      <w:divBdr>
        <w:top w:val="none" w:sz="0" w:space="0" w:color="auto"/>
        <w:left w:val="none" w:sz="0" w:space="0" w:color="auto"/>
        <w:bottom w:val="none" w:sz="0" w:space="0" w:color="auto"/>
        <w:right w:val="none" w:sz="0" w:space="0" w:color="auto"/>
      </w:divBdr>
      <w:divsChild>
        <w:div w:id="1748915107">
          <w:marLeft w:val="0"/>
          <w:marRight w:val="0"/>
          <w:marTop w:val="0"/>
          <w:marBottom w:val="0"/>
          <w:divBdr>
            <w:top w:val="none" w:sz="0" w:space="0" w:color="auto"/>
            <w:left w:val="none" w:sz="0" w:space="0" w:color="auto"/>
            <w:bottom w:val="none" w:sz="0" w:space="0" w:color="auto"/>
            <w:right w:val="none" w:sz="0" w:space="0" w:color="auto"/>
          </w:divBdr>
          <w:divsChild>
            <w:div w:id="1119689590">
              <w:marLeft w:val="0"/>
              <w:marRight w:val="0"/>
              <w:marTop w:val="0"/>
              <w:marBottom w:val="0"/>
              <w:divBdr>
                <w:top w:val="none" w:sz="0" w:space="0" w:color="auto"/>
                <w:left w:val="none" w:sz="0" w:space="0" w:color="auto"/>
                <w:bottom w:val="none" w:sz="0" w:space="0" w:color="auto"/>
                <w:right w:val="none" w:sz="0" w:space="0" w:color="auto"/>
              </w:divBdr>
            </w:div>
            <w:div w:id="412943831">
              <w:marLeft w:val="0"/>
              <w:marRight w:val="0"/>
              <w:marTop w:val="0"/>
              <w:marBottom w:val="0"/>
              <w:divBdr>
                <w:top w:val="none" w:sz="0" w:space="0" w:color="auto"/>
                <w:left w:val="none" w:sz="0" w:space="0" w:color="auto"/>
                <w:bottom w:val="none" w:sz="0" w:space="0" w:color="auto"/>
                <w:right w:val="none" w:sz="0" w:space="0" w:color="auto"/>
              </w:divBdr>
            </w:div>
            <w:div w:id="218522046">
              <w:marLeft w:val="0"/>
              <w:marRight w:val="0"/>
              <w:marTop w:val="0"/>
              <w:marBottom w:val="0"/>
              <w:divBdr>
                <w:top w:val="none" w:sz="0" w:space="0" w:color="auto"/>
                <w:left w:val="none" w:sz="0" w:space="0" w:color="auto"/>
                <w:bottom w:val="none" w:sz="0" w:space="0" w:color="auto"/>
                <w:right w:val="none" w:sz="0" w:space="0" w:color="auto"/>
              </w:divBdr>
            </w:div>
            <w:div w:id="1395200060">
              <w:marLeft w:val="0"/>
              <w:marRight w:val="0"/>
              <w:marTop w:val="0"/>
              <w:marBottom w:val="0"/>
              <w:divBdr>
                <w:top w:val="none" w:sz="0" w:space="0" w:color="auto"/>
                <w:left w:val="none" w:sz="0" w:space="0" w:color="auto"/>
                <w:bottom w:val="none" w:sz="0" w:space="0" w:color="auto"/>
                <w:right w:val="none" w:sz="0" w:space="0" w:color="auto"/>
              </w:divBdr>
            </w:div>
            <w:div w:id="1565140378">
              <w:marLeft w:val="0"/>
              <w:marRight w:val="0"/>
              <w:marTop w:val="0"/>
              <w:marBottom w:val="0"/>
              <w:divBdr>
                <w:top w:val="none" w:sz="0" w:space="0" w:color="auto"/>
                <w:left w:val="none" w:sz="0" w:space="0" w:color="auto"/>
                <w:bottom w:val="none" w:sz="0" w:space="0" w:color="auto"/>
                <w:right w:val="none" w:sz="0" w:space="0" w:color="auto"/>
              </w:divBdr>
            </w:div>
            <w:div w:id="722364657">
              <w:marLeft w:val="0"/>
              <w:marRight w:val="0"/>
              <w:marTop w:val="0"/>
              <w:marBottom w:val="0"/>
              <w:divBdr>
                <w:top w:val="none" w:sz="0" w:space="0" w:color="auto"/>
                <w:left w:val="none" w:sz="0" w:space="0" w:color="auto"/>
                <w:bottom w:val="none" w:sz="0" w:space="0" w:color="auto"/>
                <w:right w:val="none" w:sz="0" w:space="0" w:color="auto"/>
              </w:divBdr>
            </w:div>
            <w:div w:id="308750797">
              <w:marLeft w:val="0"/>
              <w:marRight w:val="0"/>
              <w:marTop w:val="0"/>
              <w:marBottom w:val="0"/>
              <w:divBdr>
                <w:top w:val="none" w:sz="0" w:space="0" w:color="auto"/>
                <w:left w:val="none" w:sz="0" w:space="0" w:color="auto"/>
                <w:bottom w:val="none" w:sz="0" w:space="0" w:color="auto"/>
                <w:right w:val="none" w:sz="0" w:space="0" w:color="auto"/>
              </w:divBdr>
            </w:div>
            <w:div w:id="1056079466">
              <w:marLeft w:val="0"/>
              <w:marRight w:val="0"/>
              <w:marTop w:val="0"/>
              <w:marBottom w:val="0"/>
              <w:divBdr>
                <w:top w:val="none" w:sz="0" w:space="0" w:color="auto"/>
                <w:left w:val="none" w:sz="0" w:space="0" w:color="auto"/>
                <w:bottom w:val="none" w:sz="0" w:space="0" w:color="auto"/>
                <w:right w:val="none" w:sz="0" w:space="0" w:color="auto"/>
              </w:divBdr>
            </w:div>
            <w:div w:id="14915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143">
      <w:bodyDiv w:val="1"/>
      <w:marLeft w:val="0"/>
      <w:marRight w:val="0"/>
      <w:marTop w:val="0"/>
      <w:marBottom w:val="0"/>
      <w:divBdr>
        <w:top w:val="none" w:sz="0" w:space="0" w:color="auto"/>
        <w:left w:val="none" w:sz="0" w:space="0" w:color="auto"/>
        <w:bottom w:val="none" w:sz="0" w:space="0" w:color="auto"/>
        <w:right w:val="none" w:sz="0" w:space="0" w:color="auto"/>
      </w:divBdr>
    </w:div>
    <w:div w:id="762335741">
      <w:bodyDiv w:val="1"/>
      <w:marLeft w:val="0"/>
      <w:marRight w:val="0"/>
      <w:marTop w:val="0"/>
      <w:marBottom w:val="0"/>
      <w:divBdr>
        <w:top w:val="none" w:sz="0" w:space="0" w:color="auto"/>
        <w:left w:val="none" w:sz="0" w:space="0" w:color="auto"/>
        <w:bottom w:val="none" w:sz="0" w:space="0" w:color="auto"/>
        <w:right w:val="none" w:sz="0" w:space="0" w:color="auto"/>
      </w:divBdr>
    </w:div>
    <w:div w:id="768235047">
      <w:bodyDiv w:val="1"/>
      <w:marLeft w:val="0"/>
      <w:marRight w:val="0"/>
      <w:marTop w:val="0"/>
      <w:marBottom w:val="0"/>
      <w:divBdr>
        <w:top w:val="none" w:sz="0" w:space="0" w:color="auto"/>
        <w:left w:val="none" w:sz="0" w:space="0" w:color="auto"/>
        <w:bottom w:val="none" w:sz="0" w:space="0" w:color="auto"/>
        <w:right w:val="none" w:sz="0" w:space="0" w:color="auto"/>
      </w:divBdr>
    </w:div>
    <w:div w:id="778527602">
      <w:bodyDiv w:val="1"/>
      <w:marLeft w:val="0"/>
      <w:marRight w:val="0"/>
      <w:marTop w:val="0"/>
      <w:marBottom w:val="0"/>
      <w:divBdr>
        <w:top w:val="none" w:sz="0" w:space="0" w:color="auto"/>
        <w:left w:val="none" w:sz="0" w:space="0" w:color="auto"/>
        <w:bottom w:val="none" w:sz="0" w:space="0" w:color="auto"/>
        <w:right w:val="none" w:sz="0" w:space="0" w:color="auto"/>
      </w:divBdr>
    </w:div>
    <w:div w:id="782649787">
      <w:bodyDiv w:val="1"/>
      <w:marLeft w:val="0"/>
      <w:marRight w:val="0"/>
      <w:marTop w:val="0"/>
      <w:marBottom w:val="0"/>
      <w:divBdr>
        <w:top w:val="none" w:sz="0" w:space="0" w:color="auto"/>
        <w:left w:val="none" w:sz="0" w:space="0" w:color="auto"/>
        <w:bottom w:val="none" w:sz="0" w:space="0" w:color="auto"/>
        <w:right w:val="none" w:sz="0" w:space="0" w:color="auto"/>
      </w:divBdr>
    </w:div>
    <w:div w:id="783888186">
      <w:bodyDiv w:val="1"/>
      <w:marLeft w:val="0"/>
      <w:marRight w:val="0"/>
      <w:marTop w:val="0"/>
      <w:marBottom w:val="0"/>
      <w:divBdr>
        <w:top w:val="none" w:sz="0" w:space="0" w:color="auto"/>
        <w:left w:val="none" w:sz="0" w:space="0" w:color="auto"/>
        <w:bottom w:val="none" w:sz="0" w:space="0" w:color="auto"/>
        <w:right w:val="none" w:sz="0" w:space="0" w:color="auto"/>
      </w:divBdr>
    </w:div>
    <w:div w:id="786585464">
      <w:bodyDiv w:val="1"/>
      <w:marLeft w:val="0"/>
      <w:marRight w:val="0"/>
      <w:marTop w:val="0"/>
      <w:marBottom w:val="0"/>
      <w:divBdr>
        <w:top w:val="none" w:sz="0" w:space="0" w:color="auto"/>
        <w:left w:val="none" w:sz="0" w:space="0" w:color="auto"/>
        <w:bottom w:val="none" w:sz="0" w:space="0" w:color="auto"/>
        <w:right w:val="none" w:sz="0" w:space="0" w:color="auto"/>
      </w:divBdr>
    </w:div>
    <w:div w:id="792361724">
      <w:bodyDiv w:val="1"/>
      <w:marLeft w:val="0"/>
      <w:marRight w:val="0"/>
      <w:marTop w:val="0"/>
      <w:marBottom w:val="0"/>
      <w:divBdr>
        <w:top w:val="none" w:sz="0" w:space="0" w:color="auto"/>
        <w:left w:val="none" w:sz="0" w:space="0" w:color="auto"/>
        <w:bottom w:val="none" w:sz="0" w:space="0" w:color="auto"/>
        <w:right w:val="none" w:sz="0" w:space="0" w:color="auto"/>
      </w:divBdr>
    </w:div>
    <w:div w:id="792485121">
      <w:bodyDiv w:val="1"/>
      <w:marLeft w:val="0"/>
      <w:marRight w:val="0"/>
      <w:marTop w:val="0"/>
      <w:marBottom w:val="0"/>
      <w:divBdr>
        <w:top w:val="none" w:sz="0" w:space="0" w:color="auto"/>
        <w:left w:val="none" w:sz="0" w:space="0" w:color="auto"/>
        <w:bottom w:val="none" w:sz="0" w:space="0" w:color="auto"/>
        <w:right w:val="none" w:sz="0" w:space="0" w:color="auto"/>
      </w:divBdr>
    </w:div>
    <w:div w:id="795029853">
      <w:bodyDiv w:val="1"/>
      <w:marLeft w:val="0"/>
      <w:marRight w:val="0"/>
      <w:marTop w:val="0"/>
      <w:marBottom w:val="0"/>
      <w:divBdr>
        <w:top w:val="none" w:sz="0" w:space="0" w:color="auto"/>
        <w:left w:val="none" w:sz="0" w:space="0" w:color="auto"/>
        <w:bottom w:val="none" w:sz="0" w:space="0" w:color="auto"/>
        <w:right w:val="none" w:sz="0" w:space="0" w:color="auto"/>
      </w:divBdr>
    </w:div>
    <w:div w:id="815679491">
      <w:bodyDiv w:val="1"/>
      <w:marLeft w:val="0"/>
      <w:marRight w:val="0"/>
      <w:marTop w:val="0"/>
      <w:marBottom w:val="0"/>
      <w:divBdr>
        <w:top w:val="none" w:sz="0" w:space="0" w:color="auto"/>
        <w:left w:val="none" w:sz="0" w:space="0" w:color="auto"/>
        <w:bottom w:val="none" w:sz="0" w:space="0" w:color="auto"/>
        <w:right w:val="none" w:sz="0" w:space="0" w:color="auto"/>
      </w:divBdr>
    </w:div>
    <w:div w:id="818420918">
      <w:bodyDiv w:val="1"/>
      <w:marLeft w:val="0"/>
      <w:marRight w:val="0"/>
      <w:marTop w:val="0"/>
      <w:marBottom w:val="0"/>
      <w:divBdr>
        <w:top w:val="none" w:sz="0" w:space="0" w:color="auto"/>
        <w:left w:val="none" w:sz="0" w:space="0" w:color="auto"/>
        <w:bottom w:val="none" w:sz="0" w:space="0" w:color="auto"/>
        <w:right w:val="none" w:sz="0" w:space="0" w:color="auto"/>
      </w:divBdr>
    </w:div>
    <w:div w:id="823859894">
      <w:bodyDiv w:val="1"/>
      <w:marLeft w:val="0"/>
      <w:marRight w:val="0"/>
      <w:marTop w:val="0"/>
      <w:marBottom w:val="0"/>
      <w:divBdr>
        <w:top w:val="none" w:sz="0" w:space="0" w:color="auto"/>
        <w:left w:val="none" w:sz="0" w:space="0" w:color="auto"/>
        <w:bottom w:val="none" w:sz="0" w:space="0" w:color="auto"/>
        <w:right w:val="none" w:sz="0" w:space="0" w:color="auto"/>
      </w:divBdr>
      <w:divsChild>
        <w:div w:id="607273341">
          <w:marLeft w:val="0"/>
          <w:marRight w:val="0"/>
          <w:marTop w:val="0"/>
          <w:marBottom w:val="0"/>
          <w:divBdr>
            <w:top w:val="none" w:sz="0" w:space="0" w:color="auto"/>
            <w:left w:val="none" w:sz="0" w:space="0" w:color="auto"/>
            <w:bottom w:val="none" w:sz="0" w:space="0" w:color="auto"/>
            <w:right w:val="none" w:sz="0" w:space="0" w:color="auto"/>
          </w:divBdr>
        </w:div>
      </w:divsChild>
    </w:div>
    <w:div w:id="831919618">
      <w:bodyDiv w:val="1"/>
      <w:marLeft w:val="0"/>
      <w:marRight w:val="0"/>
      <w:marTop w:val="0"/>
      <w:marBottom w:val="0"/>
      <w:divBdr>
        <w:top w:val="none" w:sz="0" w:space="0" w:color="auto"/>
        <w:left w:val="none" w:sz="0" w:space="0" w:color="auto"/>
        <w:bottom w:val="none" w:sz="0" w:space="0" w:color="auto"/>
        <w:right w:val="none" w:sz="0" w:space="0" w:color="auto"/>
      </w:divBdr>
    </w:div>
    <w:div w:id="836188902">
      <w:bodyDiv w:val="1"/>
      <w:marLeft w:val="0"/>
      <w:marRight w:val="0"/>
      <w:marTop w:val="0"/>
      <w:marBottom w:val="0"/>
      <w:divBdr>
        <w:top w:val="none" w:sz="0" w:space="0" w:color="auto"/>
        <w:left w:val="none" w:sz="0" w:space="0" w:color="auto"/>
        <w:bottom w:val="none" w:sz="0" w:space="0" w:color="auto"/>
        <w:right w:val="none" w:sz="0" w:space="0" w:color="auto"/>
      </w:divBdr>
    </w:div>
    <w:div w:id="841168030">
      <w:bodyDiv w:val="1"/>
      <w:marLeft w:val="0"/>
      <w:marRight w:val="0"/>
      <w:marTop w:val="0"/>
      <w:marBottom w:val="0"/>
      <w:divBdr>
        <w:top w:val="none" w:sz="0" w:space="0" w:color="auto"/>
        <w:left w:val="none" w:sz="0" w:space="0" w:color="auto"/>
        <w:bottom w:val="none" w:sz="0" w:space="0" w:color="auto"/>
        <w:right w:val="none" w:sz="0" w:space="0" w:color="auto"/>
      </w:divBdr>
    </w:div>
    <w:div w:id="842431146">
      <w:bodyDiv w:val="1"/>
      <w:marLeft w:val="0"/>
      <w:marRight w:val="0"/>
      <w:marTop w:val="0"/>
      <w:marBottom w:val="0"/>
      <w:divBdr>
        <w:top w:val="none" w:sz="0" w:space="0" w:color="auto"/>
        <w:left w:val="none" w:sz="0" w:space="0" w:color="auto"/>
        <w:bottom w:val="none" w:sz="0" w:space="0" w:color="auto"/>
        <w:right w:val="none" w:sz="0" w:space="0" w:color="auto"/>
      </w:divBdr>
    </w:div>
    <w:div w:id="846402050">
      <w:bodyDiv w:val="1"/>
      <w:marLeft w:val="0"/>
      <w:marRight w:val="0"/>
      <w:marTop w:val="0"/>
      <w:marBottom w:val="0"/>
      <w:divBdr>
        <w:top w:val="none" w:sz="0" w:space="0" w:color="auto"/>
        <w:left w:val="none" w:sz="0" w:space="0" w:color="auto"/>
        <w:bottom w:val="none" w:sz="0" w:space="0" w:color="auto"/>
        <w:right w:val="none" w:sz="0" w:space="0" w:color="auto"/>
      </w:divBdr>
    </w:div>
    <w:div w:id="857279997">
      <w:bodyDiv w:val="1"/>
      <w:marLeft w:val="0"/>
      <w:marRight w:val="0"/>
      <w:marTop w:val="0"/>
      <w:marBottom w:val="0"/>
      <w:divBdr>
        <w:top w:val="none" w:sz="0" w:space="0" w:color="auto"/>
        <w:left w:val="none" w:sz="0" w:space="0" w:color="auto"/>
        <w:bottom w:val="none" w:sz="0" w:space="0" w:color="auto"/>
        <w:right w:val="none" w:sz="0" w:space="0" w:color="auto"/>
      </w:divBdr>
    </w:div>
    <w:div w:id="857619322">
      <w:bodyDiv w:val="1"/>
      <w:marLeft w:val="0"/>
      <w:marRight w:val="0"/>
      <w:marTop w:val="0"/>
      <w:marBottom w:val="0"/>
      <w:divBdr>
        <w:top w:val="none" w:sz="0" w:space="0" w:color="auto"/>
        <w:left w:val="none" w:sz="0" w:space="0" w:color="auto"/>
        <w:bottom w:val="none" w:sz="0" w:space="0" w:color="auto"/>
        <w:right w:val="none" w:sz="0" w:space="0" w:color="auto"/>
      </w:divBdr>
    </w:div>
    <w:div w:id="863447168">
      <w:bodyDiv w:val="1"/>
      <w:marLeft w:val="0"/>
      <w:marRight w:val="0"/>
      <w:marTop w:val="0"/>
      <w:marBottom w:val="0"/>
      <w:divBdr>
        <w:top w:val="none" w:sz="0" w:space="0" w:color="auto"/>
        <w:left w:val="none" w:sz="0" w:space="0" w:color="auto"/>
        <w:bottom w:val="none" w:sz="0" w:space="0" w:color="auto"/>
        <w:right w:val="none" w:sz="0" w:space="0" w:color="auto"/>
      </w:divBdr>
    </w:div>
    <w:div w:id="868686879">
      <w:bodyDiv w:val="1"/>
      <w:marLeft w:val="0"/>
      <w:marRight w:val="0"/>
      <w:marTop w:val="0"/>
      <w:marBottom w:val="0"/>
      <w:divBdr>
        <w:top w:val="none" w:sz="0" w:space="0" w:color="auto"/>
        <w:left w:val="none" w:sz="0" w:space="0" w:color="auto"/>
        <w:bottom w:val="none" w:sz="0" w:space="0" w:color="auto"/>
        <w:right w:val="none" w:sz="0" w:space="0" w:color="auto"/>
      </w:divBdr>
    </w:div>
    <w:div w:id="879123074">
      <w:bodyDiv w:val="1"/>
      <w:marLeft w:val="0"/>
      <w:marRight w:val="0"/>
      <w:marTop w:val="0"/>
      <w:marBottom w:val="0"/>
      <w:divBdr>
        <w:top w:val="none" w:sz="0" w:space="0" w:color="auto"/>
        <w:left w:val="none" w:sz="0" w:space="0" w:color="auto"/>
        <w:bottom w:val="none" w:sz="0" w:space="0" w:color="auto"/>
        <w:right w:val="none" w:sz="0" w:space="0" w:color="auto"/>
      </w:divBdr>
    </w:div>
    <w:div w:id="879124433">
      <w:bodyDiv w:val="1"/>
      <w:marLeft w:val="0"/>
      <w:marRight w:val="0"/>
      <w:marTop w:val="0"/>
      <w:marBottom w:val="0"/>
      <w:divBdr>
        <w:top w:val="none" w:sz="0" w:space="0" w:color="auto"/>
        <w:left w:val="none" w:sz="0" w:space="0" w:color="auto"/>
        <w:bottom w:val="none" w:sz="0" w:space="0" w:color="auto"/>
        <w:right w:val="none" w:sz="0" w:space="0" w:color="auto"/>
      </w:divBdr>
    </w:div>
    <w:div w:id="882250528">
      <w:bodyDiv w:val="1"/>
      <w:marLeft w:val="0"/>
      <w:marRight w:val="0"/>
      <w:marTop w:val="0"/>
      <w:marBottom w:val="0"/>
      <w:divBdr>
        <w:top w:val="none" w:sz="0" w:space="0" w:color="auto"/>
        <w:left w:val="none" w:sz="0" w:space="0" w:color="auto"/>
        <w:bottom w:val="none" w:sz="0" w:space="0" w:color="auto"/>
        <w:right w:val="none" w:sz="0" w:space="0" w:color="auto"/>
      </w:divBdr>
    </w:div>
    <w:div w:id="885946738">
      <w:bodyDiv w:val="1"/>
      <w:marLeft w:val="0"/>
      <w:marRight w:val="0"/>
      <w:marTop w:val="0"/>
      <w:marBottom w:val="0"/>
      <w:divBdr>
        <w:top w:val="none" w:sz="0" w:space="0" w:color="auto"/>
        <w:left w:val="none" w:sz="0" w:space="0" w:color="auto"/>
        <w:bottom w:val="none" w:sz="0" w:space="0" w:color="auto"/>
        <w:right w:val="none" w:sz="0" w:space="0" w:color="auto"/>
      </w:divBdr>
    </w:div>
    <w:div w:id="888496003">
      <w:bodyDiv w:val="1"/>
      <w:marLeft w:val="0"/>
      <w:marRight w:val="0"/>
      <w:marTop w:val="0"/>
      <w:marBottom w:val="0"/>
      <w:divBdr>
        <w:top w:val="none" w:sz="0" w:space="0" w:color="auto"/>
        <w:left w:val="none" w:sz="0" w:space="0" w:color="auto"/>
        <w:bottom w:val="none" w:sz="0" w:space="0" w:color="auto"/>
        <w:right w:val="none" w:sz="0" w:space="0" w:color="auto"/>
      </w:divBdr>
    </w:div>
    <w:div w:id="891816558">
      <w:bodyDiv w:val="1"/>
      <w:marLeft w:val="0"/>
      <w:marRight w:val="0"/>
      <w:marTop w:val="0"/>
      <w:marBottom w:val="0"/>
      <w:divBdr>
        <w:top w:val="none" w:sz="0" w:space="0" w:color="auto"/>
        <w:left w:val="none" w:sz="0" w:space="0" w:color="auto"/>
        <w:bottom w:val="none" w:sz="0" w:space="0" w:color="auto"/>
        <w:right w:val="none" w:sz="0" w:space="0" w:color="auto"/>
      </w:divBdr>
    </w:div>
    <w:div w:id="912350589">
      <w:bodyDiv w:val="1"/>
      <w:marLeft w:val="0"/>
      <w:marRight w:val="0"/>
      <w:marTop w:val="0"/>
      <w:marBottom w:val="0"/>
      <w:divBdr>
        <w:top w:val="none" w:sz="0" w:space="0" w:color="auto"/>
        <w:left w:val="none" w:sz="0" w:space="0" w:color="auto"/>
        <w:bottom w:val="none" w:sz="0" w:space="0" w:color="auto"/>
        <w:right w:val="none" w:sz="0" w:space="0" w:color="auto"/>
      </w:divBdr>
    </w:div>
    <w:div w:id="921137777">
      <w:bodyDiv w:val="1"/>
      <w:marLeft w:val="0"/>
      <w:marRight w:val="0"/>
      <w:marTop w:val="0"/>
      <w:marBottom w:val="0"/>
      <w:divBdr>
        <w:top w:val="none" w:sz="0" w:space="0" w:color="auto"/>
        <w:left w:val="none" w:sz="0" w:space="0" w:color="auto"/>
        <w:bottom w:val="none" w:sz="0" w:space="0" w:color="auto"/>
        <w:right w:val="none" w:sz="0" w:space="0" w:color="auto"/>
      </w:divBdr>
    </w:div>
    <w:div w:id="929704654">
      <w:bodyDiv w:val="1"/>
      <w:marLeft w:val="0"/>
      <w:marRight w:val="0"/>
      <w:marTop w:val="0"/>
      <w:marBottom w:val="0"/>
      <w:divBdr>
        <w:top w:val="none" w:sz="0" w:space="0" w:color="auto"/>
        <w:left w:val="none" w:sz="0" w:space="0" w:color="auto"/>
        <w:bottom w:val="none" w:sz="0" w:space="0" w:color="auto"/>
        <w:right w:val="none" w:sz="0" w:space="0" w:color="auto"/>
      </w:divBdr>
      <w:divsChild>
        <w:div w:id="252862412">
          <w:marLeft w:val="547"/>
          <w:marRight w:val="0"/>
          <w:marTop w:val="0"/>
          <w:marBottom w:val="0"/>
          <w:divBdr>
            <w:top w:val="none" w:sz="0" w:space="0" w:color="auto"/>
            <w:left w:val="none" w:sz="0" w:space="0" w:color="auto"/>
            <w:bottom w:val="none" w:sz="0" w:space="0" w:color="auto"/>
            <w:right w:val="none" w:sz="0" w:space="0" w:color="auto"/>
          </w:divBdr>
        </w:div>
      </w:divsChild>
    </w:div>
    <w:div w:id="935285501">
      <w:bodyDiv w:val="1"/>
      <w:marLeft w:val="0"/>
      <w:marRight w:val="0"/>
      <w:marTop w:val="0"/>
      <w:marBottom w:val="0"/>
      <w:divBdr>
        <w:top w:val="none" w:sz="0" w:space="0" w:color="auto"/>
        <w:left w:val="none" w:sz="0" w:space="0" w:color="auto"/>
        <w:bottom w:val="none" w:sz="0" w:space="0" w:color="auto"/>
        <w:right w:val="none" w:sz="0" w:space="0" w:color="auto"/>
      </w:divBdr>
    </w:div>
    <w:div w:id="955599259">
      <w:bodyDiv w:val="1"/>
      <w:marLeft w:val="0"/>
      <w:marRight w:val="0"/>
      <w:marTop w:val="0"/>
      <w:marBottom w:val="0"/>
      <w:divBdr>
        <w:top w:val="none" w:sz="0" w:space="0" w:color="auto"/>
        <w:left w:val="none" w:sz="0" w:space="0" w:color="auto"/>
        <w:bottom w:val="none" w:sz="0" w:space="0" w:color="auto"/>
        <w:right w:val="none" w:sz="0" w:space="0" w:color="auto"/>
      </w:divBdr>
    </w:div>
    <w:div w:id="956908896">
      <w:bodyDiv w:val="1"/>
      <w:marLeft w:val="0"/>
      <w:marRight w:val="0"/>
      <w:marTop w:val="0"/>
      <w:marBottom w:val="0"/>
      <w:divBdr>
        <w:top w:val="none" w:sz="0" w:space="0" w:color="auto"/>
        <w:left w:val="none" w:sz="0" w:space="0" w:color="auto"/>
        <w:bottom w:val="none" w:sz="0" w:space="0" w:color="auto"/>
        <w:right w:val="none" w:sz="0" w:space="0" w:color="auto"/>
      </w:divBdr>
    </w:div>
    <w:div w:id="959729781">
      <w:bodyDiv w:val="1"/>
      <w:marLeft w:val="0"/>
      <w:marRight w:val="0"/>
      <w:marTop w:val="0"/>
      <w:marBottom w:val="0"/>
      <w:divBdr>
        <w:top w:val="none" w:sz="0" w:space="0" w:color="auto"/>
        <w:left w:val="none" w:sz="0" w:space="0" w:color="auto"/>
        <w:bottom w:val="none" w:sz="0" w:space="0" w:color="auto"/>
        <w:right w:val="none" w:sz="0" w:space="0" w:color="auto"/>
      </w:divBdr>
    </w:div>
    <w:div w:id="963387464">
      <w:bodyDiv w:val="1"/>
      <w:marLeft w:val="0"/>
      <w:marRight w:val="0"/>
      <w:marTop w:val="0"/>
      <w:marBottom w:val="0"/>
      <w:divBdr>
        <w:top w:val="none" w:sz="0" w:space="0" w:color="auto"/>
        <w:left w:val="none" w:sz="0" w:space="0" w:color="auto"/>
        <w:bottom w:val="none" w:sz="0" w:space="0" w:color="auto"/>
        <w:right w:val="none" w:sz="0" w:space="0" w:color="auto"/>
      </w:divBdr>
    </w:div>
    <w:div w:id="964309298">
      <w:bodyDiv w:val="1"/>
      <w:marLeft w:val="0"/>
      <w:marRight w:val="0"/>
      <w:marTop w:val="0"/>
      <w:marBottom w:val="0"/>
      <w:divBdr>
        <w:top w:val="none" w:sz="0" w:space="0" w:color="auto"/>
        <w:left w:val="none" w:sz="0" w:space="0" w:color="auto"/>
        <w:bottom w:val="none" w:sz="0" w:space="0" w:color="auto"/>
        <w:right w:val="none" w:sz="0" w:space="0" w:color="auto"/>
      </w:divBdr>
      <w:divsChild>
        <w:div w:id="515122510">
          <w:marLeft w:val="547"/>
          <w:marRight w:val="0"/>
          <w:marTop w:val="0"/>
          <w:marBottom w:val="0"/>
          <w:divBdr>
            <w:top w:val="none" w:sz="0" w:space="0" w:color="auto"/>
            <w:left w:val="none" w:sz="0" w:space="0" w:color="auto"/>
            <w:bottom w:val="none" w:sz="0" w:space="0" w:color="auto"/>
            <w:right w:val="none" w:sz="0" w:space="0" w:color="auto"/>
          </w:divBdr>
        </w:div>
      </w:divsChild>
    </w:div>
    <w:div w:id="977295273">
      <w:bodyDiv w:val="1"/>
      <w:marLeft w:val="0"/>
      <w:marRight w:val="0"/>
      <w:marTop w:val="0"/>
      <w:marBottom w:val="0"/>
      <w:divBdr>
        <w:top w:val="none" w:sz="0" w:space="0" w:color="auto"/>
        <w:left w:val="none" w:sz="0" w:space="0" w:color="auto"/>
        <w:bottom w:val="none" w:sz="0" w:space="0" w:color="auto"/>
        <w:right w:val="none" w:sz="0" w:space="0" w:color="auto"/>
      </w:divBdr>
    </w:div>
    <w:div w:id="980308345">
      <w:bodyDiv w:val="1"/>
      <w:marLeft w:val="0"/>
      <w:marRight w:val="0"/>
      <w:marTop w:val="0"/>
      <w:marBottom w:val="0"/>
      <w:divBdr>
        <w:top w:val="none" w:sz="0" w:space="0" w:color="auto"/>
        <w:left w:val="none" w:sz="0" w:space="0" w:color="auto"/>
        <w:bottom w:val="none" w:sz="0" w:space="0" w:color="auto"/>
        <w:right w:val="none" w:sz="0" w:space="0" w:color="auto"/>
      </w:divBdr>
      <w:divsChild>
        <w:div w:id="1990405737">
          <w:marLeft w:val="0"/>
          <w:marRight w:val="0"/>
          <w:marTop w:val="0"/>
          <w:marBottom w:val="0"/>
          <w:divBdr>
            <w:top w:val="none" w:sz="0" w:space="0" w:color="auto"/>
            <w:left w:val="none" w:sz="0" w:space="0" w:color="auto"/>
            <w:bottom w:val="none" w:sz="0" w:space="0" w:color="auto"/>
            <w:right w:val="none" w:sz="0" w:space="0" w:color="auto"/>
          </w:divBdr>
        </w:div>
      </w:divsChild>
    </w:div>
    <w:div w:id="983701743">
      <w:bodyDiv w:val="1"/>
      <w:marLeft w:val="0"/>
      <w:marRight w:val="0"/>
      <w:marTop w:val="0"/>
      <w:marBottom w:val="0"/>
      <w:divBdr>
        <w:top w:val="none" w:sz="0" w:space="0" w:color="auto"/>
        <w:left w:val="none" w:sz="0" w:space="0" w:color="auto"/>
        <w:bottom w:val="none" w:sz="0" w:space="0" w:color="auto"/>
        <w:right w:val="none" w:sz="0" w:space="0" w:color="auto"/>
      </w:divBdr>
    </w:div>
    <w:div w:id="984359051">
      <w:bodyDiv w:val="1"/>
      <w:marLeft w:val="0"/>
      <w:marRight w:val="0"/>
      <w:marTop w:val="0"/>
      <w:marBottom w:val="0"/>
      <w:divBdr>
        <w:top w:val="none" w:sz="0" w:space="0" w:color="auto"/>
        <w:left w:val="none" w:sz="0" w:space="0" w:color="auto"/>
        <w:bottom w:val="none" w:sz="0" w:space="0" w:color="auto"/>
        <w:right w:val="none" w:sz="0" w:space="0" w:color="auto"/>
      </w:divBdr>
    </w:div>
    <w:div w:id="993530581">
      <w:bodyDiv w:val="1"/>
      <w:marLeft w:val="0"/>
      <w:marRight w:val="0"/>
      <w:marTop w:val="0"/>
      <w:marBottom w:val="0"/>
      <w:divBdr>
        <w:top w:val="none" w:sz="0" w:space="0" w:color="auto"/>
        <w:left w:val="none" w:sz="0" w:space="0" w:color="auto"/>
        <w:bottom w:val="none" w:sz="0" w:space="0" w:color="auto"/>
        <w:right w:val="none" w:sz="0" w:space="0" w:color="auto"/>
      </w:divBdr>
    </w:div>
    <w:div w:id="995719692">
      <w:bodyDiv w:val="1"/>
      <w:marLeft w:val="0"/>
      <w:marRight w:val="0"/>
      <w:marTop w:val="0"/>
      <w:marBottom w:val="0"/>
      <w:divBdr>
        <w:top w:val="none" w:sz="0" w:space="0" w:color="auto"/>
        <w:left w:val="none" w:sz="0" w:space="0" w:color="auto"/>
        <w:bottom w:val="none" w:sz="0" w:space="0" w:color="auto"/>
        <w:right w:val="none" w:sz="0" w:space="0" w:color="auto"/>
      </w:divBdr>
    </w:div>
    <w:div w:id="995765974">
      <w:bodyDiv w:val="1"/>
      <w:marLeft w:val="0"/>
      <w:marRight w:val="0"/>
      <w:marTop w:val="0"/>
      <w:marBottom w:val="0"/>
      <w:divBdr>
        <w:top w:val="none" w:sz="0" w:space="0" w:color="auto"/>
        <w:left w:val="none" w:sz="0" w:space="0" w:color="auto"/>
        <w:bottom w:val="none" w:sz="0" w:space="0" w:color="auto"/>
        <w:right w:val="none" w:sz="0" w:space="0" w:color="auto"/>
      </w:divBdr>
    </w:div>
    <w:div w:id="1004551084">
      <w:bodyDiv w:val="1"/>
      <w:marLeft w:val="0"/>
      <w:marRight w:val="0"/>
      <w:marTop w:val="0"/>
      <w:marBottom w:val="0"/>
      <w:divBdr>
        <w:top w:val="none" w:sz="0" w:space="0" w:color="auto"/>
        <w:left w:val="none" w:sz="0" w:space="0" w:color="auto"/>
        <w:bottom w:val="none" w:sz="0" w:space="0" w:color="auto"/>
        <w:right w:val="none" w:sz="0" w:space="0" w:color="auto"/>
      </w:divBdr>
    </w:div>
    <w:div w:id="1009795866">
      <w:bodyDiv w:val="1"/>
      <w:marLeft w:val="0"/>
      <w:marRight w:val="0"/>
      <w:marTop w:val="0"/>
      <w:marBottom w:val="0"/>
      <w:divBdr>
        <w:top w:val="none" w:sz="0" w:space="0" w:color="auto"/>
        <w:left w:val="none" w:sz="0" w:space="0" w:color="auto"/>
        <w:bottom w:val="none" w:sz="0" w:space="0" w:color="auto"/>
        <w:right w:val="none" w:sz="0" w:space="0" w:color="auto"/>
      </w:divBdr>
    </w:div>
    <w:div w:id="1014307551">
      <w:bodyDiv w:val="1"/>
      <w:marLeft w:val="0"/>
      <w:marRight w:val="0"/>
      <w:marTop w:val="0"/>
      <w:marBottom w:val="0"/>
      <w:divBdr>
        <w:top w:val="none" w:sz="0" w:space="0" w:color="auto"/>
        <w:left w:val="none" w:sz="0" w:space="0" w:color="auto"/>
        <w:bottom w:val="none" w:sz="0" w:space="0" w:color="auto"/>
        <w:right w:val="none" w:sz="0" w:space="0" w:color="auto"/>
      </w:divBdr>
    </w:div>
    <w:div w:id="1023631306">
      <w:bodyDiv w:val="1"/>
      <w:marLeft w:val="0"/>
      <w:marRight w:val="0"/>
      <w:marTop w:val="0"/>
      <w:marBottom w:val="0"/>
      <w:divBdr>
        <w:top w:val="none" w:sz="0" w:space="0" w:color="auto"/>
        <w:left w:val="none" w:sz="0" w:space="0" w:color="auto"/>
        <w:bottom w:val="none" w:sz="0" w:space="0" w:color="auto"/>
        <w:right w:val="none" w:sz="0" w:space="0" w:color="auto"/>
      </w:divBdr>
    </w:div>
    <w:div w:id="1024477254">
      <w:bodyDiv w:val="1"/>
      <w:marLeft w:val="0"/>
      <w:marRight w:val="0"/>
      <w:marTop w:val="0"/>
      <w:marBottom w:val="0"/>
      <w:divBdr>
        <w:top w:val="none" w:sz="0" w:space="0" w:color="auto"/>
        <w:left w:val="none" w:sz="0" w:space="0" w:color="auto"/>
        <w:bottom w:val="none" w:sz="0" w:space="0" w:color="auto"/>
        <w:right w:val="none" w:sz="0" w:space="0" w:color="auto"/>
      </w:divBdr>
    </w:div>
    <w:div w:id="1024985051">
      <w:bodyDiv w:val="1"/>
      <w:marLeft w:val="0"/>
      <w:marRight w:val="0"/>
      <w:marTop w:val="0"/>
      <w:marBottom w:val="0"/>
      <w:divBdr>
        <w:top w:val="none" w:sz="0" w:space="0" w:color="auto"/>
        <w:left w:val="none" w:sz="0" w:space="0" w:color="auto"/>
        <w:bottom w:val="none" w:sz="0" w:space="0" w:color="auto"/>
        <w:right w:val="none" w:sz="0" w:space="0" w:color="auto"/>
      </w:divBdr>
    </w:div>
    <w:div w:id="1025836096">
      <w:bodyDiv w:val="1"/>
      <w:marLeft w:val="0"/>
      <w:marRight w:val="0"/>
      <w:marTop w:val="0"/>
      <w:marBottom w:val="0"/>
      <w:divBdr>
        <w:top w:val="none" w:sz="0" w:space="0" w:color="auto"/>
        <w:left w:val="none" w:sz="0" w:space="0" w:color="auto"/>
        <w:bottom w:val="none" w:sz="0" w:space="0" w:color="auto"/>
        <w:right w:val="none" w:sz="0" w:space="0" w:color="auto"/>
      </w:divBdr>
    </w:div>
    <w:div w:id="1028288413">
      <w:bodyDiv w:val="1"/>
      <w:marLeft w:val="0"/>
      <w:marRight w:val="0"/>
      <w:marTop w:val="0"/>
      <w:marBottom w:val="0"/>
      <w:divBdr>
        <w:top w:val="none" w:sz="0" w:space="0" w:color="auto"/>
        <w:left w:val="none" w:sz="0" w:space="0" w:color="auto"/>
        <w:bottom w:val="none" w:sz="0" w:space="0" w:color="auto"/>
        <w:right w:val="none" w:sz="0" w:space="0" w:color="auto"/>
      </w:divBdr>
    </w:div>
    <w:div w:id="1029989634">
      <w:bodyDiv w:val="1"/>
      <w:marLeft w:val="0"/>
      <w:marRight w:val="0"/>
      <w:marTop w:val="0"/>
      <w:marBottom w:val="0"/>
      <w:divBdr>
        <w:top w:val="none" w:sz="0" w:space="0" w:color="auto"/>
        <w:left w:val="none" w:sz="0" w:space="0" w:color="auto"/>
        <w:bottom w:val="none" w:sz="0" w:space="0" w:color="auto"/>
        <w:right w:val="none" w:sz="0" w:space="0" w:color="auto"/>
      </w:divBdr>
    </w:div>
    <w:div w:id="1031223341">
      <w:bodyDiv w:val="1"/>
      <w:marLeft w:val="0"/>
      <w:marRight w:val="0"/>
      <w:marTop w:val="0"/>
      <w:marBottom w:val="0"/>
      <w:divBdr>
        <w:top w:val="none" w:sz="0" w:space="0" w:color="auto"/>
        <w:left w:val="none" w:sz="0" w:space="0" w:color="auto"/>
        <w:bottom w:val="none" w:sz="0" w:space="0" w:color="auto"/>
        <w:right w:val="none" w:sz="0" w:space="0" w:color="auto"/>
      </w:divBdr>
    </w:div>
    <w:div w:id="1035349279">
      <w:bodyDiv w:val="1"/>
      <w:marLeft w:val="0"/>
      <w:marRight w:val="0"/>
      <w:marTop w:val="0"/>
      <w:marBottom w:val="0"/>
      <w:divBdr>
        <w:top w:val="none" w:sz="0" w:space="0" w:color="auto"/>
        <w:left w:val="none" w:sz="0" w:space="0" w:color="auto"/>
        <w:bottom w:val="none" w:sz="0" w:space="0" w:color="auto"/>
        <w:right w:val="none" w:sz="0" w:space="0" w:color="auto"/>
      </w:divBdr>
    </w:div>
    <w:div w:id="1038353921">
      <w:bodyDiv w:val="1"/>
      <w:marLeft w:val="0"/>
      <w:marRight w:val="0"/>
      <w:marTop w:val="0"/>
      <w:marBottom w:val="0"/>
      <w:divBdr>
        <w:top w:val="none" w:sz="0" w:space="0" w:color="auto"/>
        <w:left w:val="none" w:sz="0" w:space="0" w:color="auto"/>
        <w:bottom w:val="none" w:sz="0" w:space="0" w:color="auto"/>
        <w:right w:val="none" w:sz="0" w:space="0" w:color="auto"/>
      </w:divBdr>
    </w:div>
    <w:div w:id="1050154415">
      <w:bodyDiv w:val="1"/>
      <w:marLeft w:val="0"/>
      <w:marRight w:val="0"/>
      <w:marTop w:val="0"/>
      <w:marBottom w:val="0"/>
      <w:divBdr>
        <w:top w:val="none" w:sz="0" w:space="0" w:color="auto"/>
        <w:left w:val="none" w:sz="0" w:space="0" w:color="auto"/>
        <w:bottom w:val="none" w:sz="0" w:space="0" w:color="auto"/>
        <w:right w:val="none" w:sz="0" w:space="0" w:color="auto"/>
      </w:divBdr>
      <w:divsChild>
        <w:div w:id="83572675">
          <w:marLeft w:val="547"/>
          <w:marRight w:val="0"/>
          <w:marTop w:val="0"/>
          <w:marBottom w:val="0"/>
          <w:divBdr>
            <w:top w:val="none" w:sz="0" w:space="0" w:color="auto"/>
            <w:left w:val="none" w:sz="0" w:space="0" w:color="auto"/>
            <w:bottom w:val="none" w:sz="0" w:space="0" w:color="auto"/>
            <w:right w:val="none" w:sz="0" w:space="0" w:color="auto"/>
          </w:divBdr>
        </w:div>
      </w:divsChild>
    </w:div>
    <w:div w:id="1052850320">
      <w:bodyDiv w:val="1"/>
      <w:marLeft w:val="0"/>
      <w:marRight w:val="0"/>
      <w:marTop w:val="0"/>
      <w:marBottom w:val="0"/>
      <w:divBdr>
        <w:top w:val="none" w:sz="0" w:space="0" w:color="auto"/>
        <w:left w:val="none" w:sz="0" w:space="0" w:color="auto"/>
        <w:bottom w:val="none" w:sz="0" w:space="0" w:color="auto"/>
        <w:right w:val="none" w:sz="0" w:space="0" w:color="auto"/>
      </w:divBdr>
    </w:div>
    <w:div w:id="1055465131">
      <w:bodyDiv w:val="1"/>
      <w:marLeft w:val="0"/>
      <w:marRight w:val="0"/>
      <w:marTop w:val="0"/>
      <w:marBottom w:val="0"/>
      <w:divBdr>
        <w:top w:val="none" w:sz="0" w:space="0" w:color="auto"/>
        <w:left w:val="none" w:sz="0" w:space="0" w:color="auto"/>
        <w:bottom w:val="none" w:sz="0" w:space="0" w:color="auto"/>
        <w:right w:val="none" w:sz="0" w:space="0" w:color="auto"/>
      </w:divBdr>
    </w:div>
    <w:div w:id="1060984384">
      <w:bodyDiv w:val="1"/>
      <w:marLeft w:val="0"/>
      <w:marRight w:val="0"/>
      <w:marTop w:val="0"/>
      <w:marBottom w:val="0"/>
      <w:divBdr>
        <w:top w:val="none" w:sz="0" w:space="0" w:color="auto"/>
        <w:left w:val="none" w:sz="0" w:space="0" w:color="auto"/>
        <w:bottom w:val="none" w:sz="0" w:space="0" w:color="auto"/>
        <w:right w:val="none" w:sz="0" w:space="0" w:color="auto"/>
      </w:divBdr>
    </w:div>
    <w:div w:id="1079062676">
      <w:bodyDiv w:val="1"/>
      <w:marLeft w:val="0"/>
      <w:marRight w:val="0"/>
      <w:marTop w:val="0"/>
      <w:marBottom w:val="0"/>
      <w:divBdr>
        <w:top w:val="none" w:sz="0" w:space="0" w:color="auto"/>
        <w:left w:val="none" w:sz="0" w:space="0" w:color="auto"/>
        <w:bottom w:val="none" w:sz="0" w:space="0" w:color="auto"/>
        <w:right w:val="none" w:sz="0" w:space="0" w:color="auto"/>
      </w:divBdr>
    </w:div>
    <w:div w:id="1083376315">
      <w:bodyDiv w:val="1"/>
      <w:marLeft w:val="0"/>
      <w:marRight w:val="0"/>
      <w:marTop w:val="0"/>
      <w:marBottom w:val="0"/>
      <w:divBdr>
        <w:top w:val="none" w:sz="0" w:space="0" w:color="auto"/>
        <w:left w:val="none" w:sz="0" w:space="0" w:color="auto"/>
        <w:bottom w:val="none" w:sz="0" w:space="0" w:color="auto"/>
        <w:right w:val="none" w:sz="0" w:space="0" w:color="auto"/>
      </w:divBdr>
    </w:div>
    <w:div w:id="1083990843">
      <w:bodyDiv w:val="1"/>
      <w:marLeft w:val="0"/>
      <w:marRight w:val="0"/>
      <w:marTop w:val="0"/>
      <w:marBottom w:val="0"/>
      <w:divBdr>
        <w:top w:val="none" w:sz="0" w:space="0" w:color="auto"/>
        <w:left w:val="none" w:sz="0" w:space="0" w:color="auto"/>
        <w:bottom w:val="none" w:sz="0" w:space="0" w:color="auto"/>
        <w:right w:val="none" w:sz="0" w:space="0" w:color="auto"/>
      </w:divBdr>
    </w:div>
    <w:div w:id="1084843111">
      <w:bodyDiv w:val="1"/>
      <w:marLeft w:val="0"/>
      <w:marRight w:val="0"/>
      <w:marTop w:val="0"/>
      <w:marBottom w:val="0"/>
      <w:divBdr>
        <w:top w:val="none" w:sz="0" w:space="0" w:color="auto"/>
        <w:left w:val="none" w:sz="0" w:space="0" w:color="auto"/>
        <w:bottom w:val="none" w:sz="0" w:space="0" w:color="auto"/>
        <w:right w:val="none" w:sz="0" w:space="0" w:color="auto"/>
      </w:divBdr>
    </w:div>
    <w:div w:id="1085226971">
      <w:bodyDiv w:val="1"/>
      <w:marLeft w:val="0"/>
      <w:marRight w:val="0"/>
      <w:marTop w:val="0"/>
      <w:marBottom w:val="0"/>
      <w:divBdr>
        <w:top w:val="none" w:sz="0" w:space="0" w:color="auto"/>
        <w:left w:val="none" w:sz="0" w:space="0" w:color="auto"/>
        <w:bottom w:val="none" w:sz="0" w:space="0" w:color="auto"/>
        <w:right w:val="none" w:sz="0" w:space="0" w:color="auto"/>
      </w:divBdr>
    </w:div>
    <w:div w:id="1085956183">
      <w:bodyDiv w:val="1"/>
      <w:marLeft w:val="0"/>
      <w:marRight w:val="0"/>
      <w:marTop w:val="0"/>
      <w:marBottom w:val="0"/>
      <w:divBdr>
        <w:top w:val="none" w:sz="0" w:space="0" w:color="auto"/>
        <w:left w:val="none" w:sz="0" w:space="0" w:color="auto"/>
        <w:bottom w:val="none" w:sz="0" w:space="0" w:color="auto"/>
        <w:right w:val="none" w:sz="0" w:space="0" w:color="auto"/>
      </w:divBdr>
    </w:div>
    <w:div w:id="1094320958">
      <w:bodyDiv w:val="1"/>
      <w:marLeft w:val="0"/>
      <w:marRight w:val="0"/>
      <w:marTop w:val="0"/>
      <w:marBottom w:val="0"/>
      <w:divBdr>
        <w:top w:val="none" w:sz="0" w:space="0" w:color="auto"/>
        <w:left w:val="none" w:sz="0" w:space="0" w:color="auto"/>
        <w:bottom w:val="none" w:sz="0" w:space="0" w:color="auto"/>
        <w:right w:val="none" w:sz="0" w:space="0" w:color="auto"/>
      </w:divBdr>
    </w:div>
    <w:div w:id="1105540662">
      <w:bodyDiv w:val="1"/>
      <w:marLeft w:val="0"/>
      <w:marRight w:val="0"/>
      <w:marTop w:val="0"/>
      <w:marBottom w:val="0"/>
      <w:divBdr>
        <w:top w:val="none" w:sz="0" w:space="0" w:color="auto"/>
        <w:left w:val="none" w:sz="0" w:space="0" w:color="auto"/>
        <w:bottom w:val="none" w:sz="0" w:space="0" w:color="auto"/>
        <w:right w:val="none" w:sz="0" w:space="0" w:color="auto"/>
      </w:divBdr>
    </w:div>
    <w:div w:id="1108042613">
      <w:bodyDiv w:val="1"/>
      <w:marLeft w:val="0"/>
      <w:marRight w:val="0"/>
      <w:marTop w:val="0"/>
      <w:marBottom w:val="0"/>
      <w:divBdr>
        <w:top w:val="none" w:sz="0" w:space="0" w:color="auto"/>
        <w:left w:val="none" w:sz="0" w:space="0" w:color="auto"/>
        <w:bottom w:val="none" w:sz="0" w:space="0" w:color="auto"/>
        <w:right w:val="none" w:sz="0" w:space="0" w:color="auto"/>
      </w:divBdr>
    </w:div>
    <w:div w:id="1108701357">
      <w:bodyDiv w:val="1"/>
      <w:marLeft w:val="0"/>
      <w:marRight w:val="0"/>
      <w:marTop w:val="0"/>
      <w:marBottom w:val="0"/>
      <w:divBdr>
        <w:top w:val="none" w:sz="0" w:space="0" w:color="auto"/>
        <w:left w:val="none" w:sz="0" w:space="0" w:color="auto"/>
        <w:bottom w:val="none" w:sz="0" w:space="0" w:color="auto"/>
        <w:right w:val="none" w:sz="0" w:space="0" w:color="auto"/>
      </w:divBdr>
    </w:div>
    <w:div w:id="1113597447">
      <w:bodyDiv w:val="1"/>
      <w:marLeft w:val="0"/>
      <w:marRight w:val="0"/>
      <w:marTop w:val="0"/>
      <w:marBottom w:val="0"/>
      <w:divBdr>
        <w:top w:val="none" w:sz="0" w:space="0" w:color="auto"/>
        <w:left w:val="none" w:sz="0" w:space="0" w:color="auto"/>
        <w:bottom w:val="none" w:sz="0" w:space="0" w:color="auto"/>
        <w:right w:val="none" w:sz="0" w:space="0" w:color="auto"/>
      </w:divBdr>
    </w:div>
    <w:div w:id="1115250173">
      <w:bodyDiv w:val="1"/>
      <w:marLeft w:val="0"/>
      <w:marRight w:val="0"/>
      <w:marTop w:val="0"/>
      <w:marBottom w:val="0"/>
      <w:divBdr>
        <w:top w:val="none" w:sz="0" w:space="0" w:color="auto"/>
        <w:left w:val="none" w:sz="0" w:space="0" w:color="auto"/>
        <w:bottom w:val="none" w:sz="0" w:space="0" w:color="auto"/>
        <w:right w:val="none" w:sz="0" w:space="0" w:color="auto"/>
      </w:divBdr>
      <w:divsChild>
        <w:div w:id="1116169549">
          <w:marLeft w:val="0"/>
          <w:marRight w:val="0"/>
          <w:marTop w:val="0"/>
          <w:marBottom w:val="0"/>
          <w:divBdr>
            <w:top w:val="none" w:sz="0" w:space="0" w:color="auto"/>
            <w:left w:val="none" w:sz="0" w:space="0" w:color="auto"/>
            <w:bottom w:val="none" w:sz="0" w:space="0" w:color="auto"/>
            <w:right w:val="none" w:sz="0" w:space="0" w:color="auto"/>
          </w:divBdr>
        </w:div>
      </w:divsChild>
    </w:div>
    <w:div w:id="1119225617">
      <w:bodyDiv w:val="1"/>
      <w:marLeft w:val="0"/>
      <w:marRight w:val="0"/>
      <w:marTop w:val="0"/>
      <w:marBottom w:val="0"/>
      <w:divBdr>
        <w:top w:val="none" w:sz="0" w:space="0" w:color="auto"/>
        <w:left w:val="none" w:sz="0" w:space="0" w:color="auto"/>
        <w:bottom w:val="none" w:sz="0" w:space="0" w:color="auto"/>
        <w:right w:val="none" w:sz="0" w:space="0" w:color="auto"/>
      </w:divBdr>
    </w:div>
    <w:div w:id="1121415398">
      <w:bodyDiv w:val="1"/>
      <w:marLeft w:val="0"/>
      <w:marRight w:val="0"/>
      <w:marTop w:val="0"/>
      <w:marBottom w:val="0"/>
      <w:divBdr>
        <w:top w:val="none" w:sz="0" w:space="0" w:color="auto"/>
        <w:left w:val="none" w:sz="0" w:space="0" w:color="auto"/>
        <w:bottom w:val="none" w:sz="0" w:space="0" w:color="auto"/>
        <w:right w:val="none" w:sz="0" w:space="0" w:color="auto"/>
      </w:divBdr>
    </w:div>
    <w:div w:id="1123305679">
      <w:bodyDiv w:val="1"/>
      <w:marLeft w:val="0"/>
      <w:marRight w:val="0"/>
      <w:marTop w:val="0"/>
      <w:marBottom w:val="0"/>
      <w:divBdr>
        <w:top w:val="none" w:sz="0" w:space="0" w:color="auto"/>
        <w:left w:val="none" w:sz="0" w:space="0" w:color="auto"/>
        <w:bottom w:val="none" w:sz="0" w:space="0" w:color="auto"/>
        <w:right w:val="none" w:sz="0" w:space="0" w:color="auto"/>
      </w:divBdr>
    </w:div>
    <w:div w:id="1127895569">
      <w:bodyDiv w:val="1"/>
      <w:marLeft w:val="0"/>
      <w:marRight w:val="0"/>
      <w:marTop w:val="0"/>
      <w:marBottom w:val="0"/>
      <w:divBdr>
        <w:top w:val="none" w:sz="0" w:space="0" w:color="auto"/>
        <w:left w:val="none" w:sz="0" w:space="0" w:color="auto"/>
        <w:bottom w:val="none" w:sz="0" w:space="0" w:color="auto"/>
        <w:right w:val="none" w:sz="0" w:space="0" w:color="auto"/>
      </w:divBdr>
      <w:divsChild>
        <w:div w:id="864558414">
          <w:marLeft w:val="547"/>
          <w:marRight w:val="0"/>
          <w:marTop w:val="0"/>
          <w:marBottom w:val="0"/>
          <w:divBdr>
            <w:top w:val="none" w:sz="0" w:space="0" w:color="auto"/>
            <w:left w:val="none" w:sz="0" w:space="0" w:color="auto"/>
            <w:bottom w:val="none" w:sz="0" w:space="0" w:color="auto"/>
            <w:right w:val="none" w:sz="0" w:space="0" w:color="auto"/>
          </w:divBdr>
        </w:div>
      </w:divsChild>
    </w:div>
    <w:div w:id="1128818756">
      <w:bodyDiv w:val="1"/>
      <w:marLeft w:val="0"/>
      <w:marRight w:val="0"/>
      <w:marTop w:val="0"/>
      <w:marBottom w:val="0"/>
      <w:divBdr>
        <w:top w:val="none" w:sz="0" w:space="0" w:color="auto"/>
        <w:left w:val="none" w:sz="0" w:space="0" w:color="auto"/>
        <w:bottom w:val="none" w:sz="0" w:space="0" w:color="auto"/>
        <w:right w:val="none" w:sz="0" w:space="0" w:color="auto"/>
      </w:divBdr>
    </w:div>
    <w:div w:id="1130442398">
      <w:bodyDiv w:val="1"/>
      <w:marLeft w:val="0"/>
      <w:marRight w:val="0"/>
      <w:marTop w:val="0"/>
      <w:marBottom w:val="0"/>
      <w:divBdr>
        <w:top w:val="none" w:sz="0" w:space="0" w:color="auto"/>
        <w:left w:val="none" w:sz="0" w:space="0" w:color="auto"/>
        <w:bottom w:val="none" w:sz="0" w:space="0" w:color="auto"/>
        <w:right w:val="none" w:sz="0" w:space="0" w:color="auto"/>
      </w:divBdr>
    </w:div>
    <w:div w:id="1135759456">
      <w:bodyDiv w:val="1"/>
      <w:marLeft w:val="0"/>
      <w:marRight w:val="0"/>
      <w:marTop w:val="0"/>
      <w:marBottom w:val="0"/>
      <w:divBdr>
        <w:top w:val="none" w:sz="0" w:space="0" w:color="auto"/>
        <w:left w:val="none" w:sz="0" w:space="0" w:color="auto"/>
        <w:bottom w:val="none" w:sz="0" w:space="0" w:color="auto"/>
        <w:right w:val="none" w:sz="0" w:space="0" w:color="auto"/>
      </w:divBdr>
    </w:div>
    <w:div w:id="1138187979">
      <w:bodyDiv w:val="1"/>
      <w:marLeft w:val="0"/>
      <w:marRight w:val="0"/>
      <w:marTop w:val="0"/>
      <w:marBottom w:val="0"/>
      <w:divBdr>
        <w:top w:val="none" w:sz="0" w:space="0" w:color="auto"/>
        <w:left w:val="none" w:sz="0" w:space="0" w:color="auto"/>
        <w:bottom w:val="none" w:sz="0" w:space="0" w:color="auto"/>
        <w:right w:val="none" w:sz="0" w:space="0" w:color="auto"/>
      </w:divBdr>
    </w:div>
    <w:div w:id="1150711837">
      <w:bodyDiv w:val="1"/>
      <w:marLeft w:val="0"/>
      <w:marRight w:val="0"/>
      <w:marTop w:val="0"/>
      <w:marBottom w:val="0"/>
      <w:divBdr>
        <w:top w:val="none" w:sz="0" w:space="0" w:color="auto"/>
        <w:left w:val="none" w:sz="0" w:space="0" w:color="auto"/>
        <w:bottom w:val="none" w:sz="0" w:space="0" w:color="auto"/>
        <w:right w:val="none" w:sz="0" w:space="0" w:color="auto"/>
      </w:divBdr>
    </w:div>
    <w:div w:id="1156411142">
      <w:bodyDiv w:val="1"/>
      <w:marLeft w:val="0"/>
      <w:marRight w:val="0"/>
      <w:marTop w:val="0"/>
      <w:marBottom w:val="0"/>
      <w:divBdr>
        <w:top w:val="none" w:sz="0" w:space="0" w:color="auto"/>
        <w:left w:val="none" w:sz="0" w:space="0" w:color="auto"/>
        <w:bottom w:val="none" w:sz="0" w:space="0" w:color="auto"/>
        <w:right w:val="none" w:sz="0" w:space="0" w:color="auto"/>
      </w:divBdr>
    </w:div>
    <w:div w:id="1161964831">
      <w:bodyDiv w:val="1"/>
      <w:marLeft w:val="0"/>
      <w:marRight w:val="0"/>
      <w:marTop w:val="0"/>
      <w:marBottom w:val="0"/>
      <w:divBdr>
        <w:top w:val="none" w:sz="0" w:space="0" w:color="auto"/>
        <w:left w:val="none" w:sz="0" w:space="0" w:color="auto"/>
        <w:bottom w:val="none" w:sz="0" w:space="0" w:color="auto"/>
        <w:right w:val="none" w:sz="0" w:space="0" w:color="auto"/>
      </w:divBdr>
    </w:div>
    <w:div w:id="1165434775">
      <w:bodyDiv w:val="1"/>
      <w:marLeft w:val="0"/>
      <w:marRight w:val="0"/>
      <w:marTop w:val="0"/>
      <w:marBottom w:val="0"/>
      <w:divBdr>
        <w:top w:val="none" w:sz="0" w:space="0" w:color="auto"/>
        <w:left w:val="none" w:sz="0" w:space="0" w:color="auto"/>
        <w:bottom w:val="none" w:sz="0" w:space="0" w:color="auto"/>
        <w:right w:val="none" w:sz="0" w:space="0" w:color="auto"/>
      </w:divBdr>
    </w:div>
    <w:div w:id="1171411154">
      <w:bodyDiv w:val="1"/>
      <w:marLeft w:val="0"/>
      <w:marRight w:val="0"/>
      <w:marTop w:val="0"/>
      <w:marBottom w:val="0"/>
      <w:divBdr>
        <w:top w:val="none" w:sz="0" w:space="0" w:color="auto"/>
        <w:left w:val="none" w:sz="0" w:space="0" w:color="auto"/>
        <w:bottom w:val="none" w:sz="0" w:space="0" w:color="auto"/>
        <w:right w:val="none" w:sz="0" w:space="0" w:color="auto"/>
      </w:divBdr>
    </w:div>
    <w:div w:id="1175345147">
      <w:bodyDiv w:val="1"/>
      <w:marLeft w:val="0"/>
      <w:marRight w:val="0"/>
      <w:marTop w:val="0"/>
      <w:marBottom w:val="0"/>
      <w:divBdr>
        <w:top w:val="none" w:sz="0" w:space="0" w:color="auto"/>
        <w:left w:val="none" w:sz="0" w:space="0" w:color="auto"/>
        <w:bottom w:val="none" w:sz="0" w:space="0" w:color="auto"/>
        <w:right w:val="none" w:sz="0" w:space="0" w:color="auto"/>
      </w:divBdr>
    </w:div>
    <w:div w:id="1176192507">
      <w:bodyDiv w:val="1"/>
      <w:marLeft w:val="0"/>
      <w:marRight w:val="0"/>
      <w:marTop w:val="0"/>
      <w:marBottom w:val="0"/>
      <w:divBdr>
        <w:top w:val="none" w:sz="0" w:space="0" w:color="auto"/>
        <w:left w:val="none" w:sz="0" w:space="0" w:color="auto"/>
        <w:bottom w:val="none" w:sz="0" w:space="0" w:color="auto"/>
        <w:right w:val="none" w:sz="0" w:space="0" w:color="auto"/>
      </w:divBdr>
    </w:div>
    <w:div w:id="1180779801">
      <w:bodyDiv w:val="1"/>
      <w:marLeft w:val="0"/>
      <w:marRight w:val="0"/>
      <w:marTop w:val="0"/>
      <w:marBottom w:val="0"/>
      <w:divBdr>
        <w:top w:val="none" w:sz="0" w:space="0" w:color="auto"/>
        <w:left w:val="none" w:sz="0" w:space="0" w:color="auto"/>
        <w:bottom w:val="none" w:sz="0" w:space="0" w:color="auto"/>
        <w:right w:val="none" w:sz="0" w:space="0" w:color="auto"/>
      </w:divBdr>
    </w:div>
    <w:div w:id="1189872191">
      <w:bodyDiv w:val="1"/>
      <w:marLeft w:val="0"/>
      <w:marRight w:val="0"/>
      <w:marTop w:val="0"/>
      <w:marBottom w:val="0"/>
      <w:divBdr>
        <w:top w:val="none" w:sz="0" w:space="0" w:color="auto"/>
        <w:left w:val="none" w:sz="0" w:space="0" w:color="auto"/>
        <w:bottom w:val="none" w:sz="0" w:space="0" w:color="auto"/>
        <w:right w:val="none" w:sz="0" w:space="0" w:color="auto"/>
      </w:divBdr>
    </w:div>
    <w:div w:id="1194609182">
      <w:bodyDiv w:val="1"/>
      <w:marLeft w:val="0"/>
      <w:marRight w:val="0"/>
      <w:marTop w:val="0"/>
      <w:marBottom w:val="0"/>
      <w:divBdr>
        <w:top w:val="none" w:sz="0" w:space="0" w:color="auto"/>
        <w:left w:val="none" w:sz="0" w:space="0" w:color="auto"/>
        <w:bottom w:val="none" w:sz="0" w:space="0" w:color="auto"/>
        <w:right w:val="none" w:sz="0" w:space="0" w:color="auto"/>
      </w:divBdr>
    </w:div>
    <w:div w:id="1201406578">
      <w:bodyDiv w:val="1"/>
      <w:marLeft w:val="0"/>
      <w:marRight w:val="0"/>
      <w:marTop w:val="0"/>
      <w:marBottom w:val="0"/>
      <w:divBdr>
        <w:top w:val="none" w:sz="0" w:space="0" w:color="auto"/>
        <w:left w:val="none" w:sz="0" w:space="0" w:color="auto"/>
        <w:bottom w:val="none" w:sz="0" w:space="0" w:color="auto"/>
        <w:right w:val="none" w:sz="0" w:space="0" w:color="auto"/>
      </w:divBdr>
    </w:div>
    <w:div w:id="1215004084">
      <w:bodyDiv w:val="1"/>
      <w:marLeft w:val="0"/>
      <w:marRight w:val="0"/>
      <w:marTop w:val="0"/>
      <w:marBottom w:val="0"/>
      <w:divBdr>
        <w:top w:val="none" w:sz="0" w:space="0" w:color="auto"/>
        <w:left w:val="none" w:sz="0" w:space="0" w:color="auto"/>
        <w:bottom w:val="none" w:sz="0" w:space="0" w:color="auto"/>
        <w:right w:val="none" w:sz="0" w:space="0" w:color="auto"/>
      </w:divBdr>
    </w:div>
    <w:div w:id="1216233582">
      <w:bodyDiv w:val="1"/>
      <w:marLeft w:val="0"/>
      <w:marRight w:val="0"/>
      <w:marTop w:val="0"/>
      <w:marBottom w:val="0"/>
      <w:divBdr>
        <w:top w:val="none" w:sz="0" w:space="0" w:color="auto"/>
        <w:left w:val="none" w:sz="0" w:space="0" w:color="auto"/>
        <w:bottom w:val="none" w:sz="0" w:space="0" w:color="auto"/>
        <w:right w:val="none" w:sz="0" w:space="0" w:color="auto"/>
      </w:divBdr>
      <w:divsChild>
        <w:div w:id="645861015">
          <w:marLeft w:val="547"/>
          <w:marRight w:val="0"/>
          <w:marTop w:val="0"/>
          <w:marBottom w:val="0"/>
          <w:divBdr>
            <w:top w:val="none" w:sz="0" w:space="0" w:color="auto"/>
            <w:left w:val="none" w:sz="0" w:space="0" w:color="auto"/>
            <w:bottom w:val="none" w:sz="0" w:space="0" w:color="auto"/>
            <w:right w:val="none" w:sz="0" w:space="0" w:color="auto"/>
          </w:divBdr>
        </w:div>
      </w:divsChild>
    </w:div>
    <w:div w:id="1225410285">
      <w:bodyDiv w:val="1"/>
      <w:marLeft w:val="0"/>
      <w:marRight w:val="0"/>
      <w:marTop w:val="0"/>
      <w:marBottom w:val="0"/>
      <w:divBdr>
        <w:top w:val="none" w:sz="0" w:space="0" w:color="auto"/>
        <w:left w:val="none" w:sz="0" w:space="0" w:color="auto"/>
        <w:bottom w:val="none" w:sz="0" w:space="0" w:color="auto"/>
        <w:right w:val="none" w:sz="0" w:space="0" w:color="auto"/>
      </w:divBdr>
    </w:div>
    <w:div w:id="1228951116">
      <w:bodyDiv w:val="1"/>
      <w:marLeft w:val="0"/>
      <w:marRight w:val="0"/>
      <w:marTop w:val="0"/>
      <w:marBottom w:val="0"/>
      <w:divBdr>
        <w:top w:val="none" w:sz="0" w:space="0" w:color="auto"/>
        <w:left w:val="none" w:sz="0" w:space="0" w:color="auto"/>
        <w:bottom w:val="none" w:sz="0" w:space="0" w:color="auto"/>
        <w:right w:val="none" w:sz="0" w:space="0" w:color="auto"/>
      </w:divBdr>
    </w:div>
    <w:div w:id="1232348967">
      <w:bodyDiv w:val="1"/>
      <w:marLeft w:val="0"/>
      <w:marRight w:val="0"/>
      <w:marTop w:val="0"/>
      <w:marBottom w:val="0"/>
      <w:divBdr>
        <w:top w:val="none" w:sz="0" w:space="0" w:color="auto"/>
        <w:left w:val="none" w:sz="0" w:space="0" w:color="auto"/>
        <w:bottom w:val="none" w:sz="0" w:space="0" w:color="auto"/>
        <w:right w:val="none" w:sz="0" w:space="0" w:color="auto"/>
      </w:divBdr>
    </w:div>
    <w:div w:id="1236207814">
      <w:bodyDiv w:val="1"/>
      <w:marLeft w:val="0"/>
      <w:marRight w:val="0"/>
      <w:marTop w:val="0"/>
      <w:marBottom w:val="0"/>
      <w:divBdr>
        <w:top w:val="none" w:sz="0" w:space="0" w:color="auto"/>
        <w:left w:val="none" w:sz="0" w:space="0" w:color="auto"/>
        <w:bottom w:val="none" w:sz="0" w:space="0" w:color="auto"/>
        <w:right w:val="none" w:sz="0" w:space="0" w:color="auto"/>
      </w:divBdr>
    </w:div>
    <w:div w:id="1247231611">
      <w:bodyDiv w:val="1"/>
      <w:marLeft w:val="0"/>
      <w:marRight w:val="0"/>
      <w:marTop w:val="0"/>
      <w:marBottom w:val="0"/>
      <w:divBdr>
        <w:top w:val="none" w:sz="0" w:space="0" w:color="auto"/>
        <w:left w:val="none" w:sz="0" w:space="0" w:color="auto"/>
        <w:bottom w:val="none" w:sz="0" w:space="0" w:color="auto"/>
        <w:right w:val="none" w:sz="0" w:space="0" w:color="auto"/>
      </w:divBdr>
    </w:div>
    <w:div w:id="1249273103">
      <w:bodyDiv w:val="1"/>
      <w:marLeft w:val="0"/>
      <w:marRight w:val="0"/>
      <w:marTop w:val="0"/>
      <w:marBottom w:val="0"/>
      <w:divBdr>
        <w:top w:val="none" w:sz="0" w:space="0" w:color="auto"/>
        <w:left w:val="none" w:sz="0" w:space="0" w:color="auto"/>
        <w:bottom w:val="none" w:sz="0" w:space="0" w:color="auto"/>
        <w:right w:val="none" w:sz="0" w:space="0" w:color="auto"/>
      </w:divBdr>
    </w:div>
    <w:div w:id="1251311338">
      <w:bodyDiv w:val="1"/>
      <w:marLeft w:val="0"/>
      <w:marRight w:val="0"/>
      <w:marTop w:val="0"/>
      <w:marBottom w:val="0"/>
      <w:divBdr>
        <w:top w:val="none" w:sz="0" w:space="0" w:color="auto"/>
        <w:left w:val="none" w:sz="0" w:space="0" w:color="auto"/>
        <w:bottom w:val="none" w:sz="0" w:space="0" w:color="auto"/>
        <w:right w:val="none" w:sz="0" w:space="0" w:color="auto"/>
      </w:divBdr>
    </w:div>
    <w:div w:id="1262379072">
      <w:bodyDiv w:val="1"/>
      <w:marLeft w:val="0"/>
      <w:marRight w:val="0"/>
      <w:marTop w:val="0"/>
      <w:marBottom w:val="0"/>
      <w:divBdr>
        <w:top w:val="none" w:sz="0" w:space="0" w:color="auto"/>
        <w:left w:val="none" w:sz="0" w:space="0" w:color="auto"/>
        <w:bottom w:val="none" w:sz="0" w:space="0" w:color="auto"/>
        <w:right w:val="none" w:sz="0" w:space="0" w:color="auto"/>
      </w:divBdr>
    </w:div>
    <w:div w:id="1263999635">
      <w:bodyDiv w:val="1"/>
      <w:marLeft w:val="0"/>
      <w:marRight w:val="0"/>
      <w:marTop w:val="0"/>
      <w:marBottom w:val="0"/>
      <w:divBdr>
        <w:top w:val="none" w:sz="0" w:space="0" w:color="auto"/>
        <w:left w:val="none" w:sz="0" w:space="0" w:color="auto"/>
        <w:bottom w:val="none" w:sz="0" w:space="0" w:color="auto"/>
        <w:right w:val="none" w:sz="0" w:space="0" w:color="auto"/>
      </w:divBdr>
    </w:div>
    <w:div w:id="1278289450">
      <w:bodyDiv w:val="1"/>
      <w:marLeft w:val="0"/>
      <w:marRight w:val="0"/>
      <w:marTop w:val="0"/>
      <w:marBottom w:val="0"/>
      <w:divBdr>
        <w:top w:val="none" w:sz="0" w:space="0" w:color="auto"/>
        <w:left w:val="none" w:sz="0" w:space="0" w:color="auto"/>
        <w:bottom w:val="none" w:sz="0" w:space="0" w:color="auto"/>
        <w:right w:val="none" w:sz="0" w:space="0" w:color="auto"/>
      </w:divBdr>
    </w:div>
    <w:div w:id="1287927917">
      <w:bodyDiv w:val="1"/>
      <w:marLeft w:val="0"/>
      <w:marRight w:val="0"/>
      <w:marTop w:val="0"/>
      <w:marBottom w:val="0"/>
      <w:divBdr>
        <w:top w:val="none" w:sz="0" w:space="0" w:color="auto"/>
        <w:left w:val="none" w:sz="0" w:space="0" w:color="auto"/>
        <w:bottom w:val="none" w:sz="0" w:space="0" w:color="auto"/>
        <w:right w:val="none" w:sz="0" w:space="0" w:color="auto"/>
      </w:divBdr>
    </w:div>
    <w:div w:id="1296450624">
      <w:bodyDiv w:val="1"/>
      <w:marLeft w:val="0"/>
      <w:marRight w:val="0"/>
      <w:marTop w:val="0"/>
      <w:marBottom w:val="0"/>
      <w:divBdr>
        <w:top w:val="none" w:sz="0" w:space="0" w:color="auto"/>
        <w:left w:val="none" w:sz="0" w:space="0" w:color="auto"/>
        <w:bottom w:val="none" w:sz="0" w:space="0" w:color="auto"/>
        <w:right w:val="none" w:sz="0" w:space="0" w:color="auto"/>
      </w:divBdr>
      <w:divsChild>
        <w:div w:id="1753165325">
          <w:marLeft w:val="547"/>
          <w:marRight w:val="0"/>
          <w:marTop w:val="0"/>
          <w:marBottom w:val="0"/>
          <w:divBdr>
            <w:top w:val="none" w:sz="0" w:space="0" w:color="auto"/>
            <w:left w:val="none" w:sz="0" w:space="0" w:color="auto"/>
            <w:bottom w:val="none" w:sz="0" w:space="0" w:color="auto"/>
            <w:right w:val="none" w:sz="0" w:space="0" w:color="auto"/>
          </w:divBdr>
        </w:div>
      </w:divsChild>
    </w:div>
    <w:div w:id="1299260551">
      <w:bodyDiv w:val="1"/>
      <w:marLeft w:val="0"/>
      <w:marRight w:val="0"/>
      <w:marTop w:val="0"/>
      <w:marBottom w:val="0"/>
      <w:divBdr>
        <w:top w:val="none" w:sz="0" w:space="0" w:color="auto"/>
        <w:left w:val="none" w:sz="0" w:space="0" w:color="auto"/>
        <w:bottom w:val="none" w:sz="0" w:space="0" w:color="auto"/>
        <w:right w:val="none" w:sz="0" w:space="0" w:color="auto"/>
      </w:divBdr>
    </w:div>
    <w:div w:id="1306934896">
      <w:bodyDiv w:val="1"/>
      <w:marLeft w:val="0"/>
      <w:marRight w:val="0"/>
      <w:marTop w:val="0"/>
      <w:marBottom w:val="0"/>
      <w:divBdr>
        <w:top w:val="none" w:sz="0" w:space="0" w:color="auto"/>
        <w:left w:val="none" w:sz="0" w:space="0" w:color="auto"/>
        <w:bottom w:val="none" w:sz="0" w:space="0" w:color="auto"/>
        <w:right w:val="none" w:sz="0" w:space="0" w:color="auto"/>
      </w:divBdr>
    </w:div>
    <w:div w:id="1308246755">
      <w:bodyDiv w:val="1"/>
      <w:marLeft w:val="0"/>
      <w:marRight w:val="0"/>
      <w:marTop w:val="0"/>
      <w:marBottom w:val="0"/>
      <w:divBdr>
        <w:top w:val="none" w:sz="0" w:space="0" w:color="auto"/>
        <w:left w:val="none" w:sz="0" w:space="0" w:color="auto"/>
        <w:bottom w:val="none" w:sz="0" w:space="0" w:color="auto"/>
        <w:right w:val="none" w:sz="0" w:space="0" w:color="auto"/>
      </w:divBdr>
    </w:div>
    <w:div w:id="1309093164">
      <w:bodyDiv w:val="1"/>
      <w:marLeft w:val="0"/>
      <w:marRight w:val="0"/>
      <w:marTop w:val="0"/>
      <w:marBottom w:val="0"/>
      <w:divBdr>
        <w:top w:val="none" w:sz="0" w:space="0" w:color="auto"/>
        <w:left w:val="none" w:sz="0" w:space="0" w:color="auto"/>
        <w:bottom w:val="none" w:sz="0" w:space="0" w:color="auto"/>
        <w:right w:val="none" w:sz="0" w:space="0" w:color="auto"/>
      </w:divBdr>
    </w:div>
    <w:div w:id="1320420891">
      <w:bodyDiv w:val="1"/>
      <w:marLeft w:val="0"/>
      <w:marRight w:val="0"/>
      <w:marTop w:val="0"/>
      <w:marBottom w:val="0"/>
      <w:divBdr>
        <w:top w:val="none" w:sz="0" w:space="0" w:color="auto"/>
        <w:left w:val="none" w:sz="0" w:space="0" w:color="auto"/>
        <w:bottom w:val="none" w:sz="0" w:space="0" w:color="auto"/>
        <w:right w:val="none" w:sz="0" w:space="0" w:color="auto"/>
      </w:divBdr>
    </w:div>
    <w:div w:id="1330062189">
      <w:bodyDiv w:val="1"/>
      <w:marLeft w:val="0"/>
      <w:marRight w:val="0"/>
      <w:marTop w:val="0"/>
      <w:marBottom w:val="0"/>
      <w:divBdr>
        <w:top w:val="none" w:sz="0" w:space="0" w:color="auto"/>
        <w:left w:val="none" w:sz="0" w:space="0" w:color="auto"/>
        <w:bottom w:val="none" w:sz="0" w:space="0" w:color="auto"/>
        <w:right w:val="none" w:sz="0" w:space="0" w:color="auto"/>
      </w:divBdr>
    </w:div>
    <w:div w:id="1347247487">
      <w:bodyDiv w:val="1"/>
      <w:marLeft w:val="0"/>
      <w:marRight w:val="0"/>
      <w:marTop w:val="0"/>
      <w:marBottom w:val="0"/>
      <w:divBdr>
        <w:top w:val="none" w:sz="0" w:space="0" w:color="auto"/>
        <w:left w:val="none" w:sz="0" w:space="0" w:color="auto"/>
        <w:bottom w:val="none" w:sz="0" w:space="0" w:color="auto"/>
        <w:right w:val="none" w:sz="0" w:space="0" w:color="auto"/>
      </w:divBdr>
    </w:div>
    <w:div w:id="1356539660">
      <w:bodyDiv w:val="1"/>
      <w:marLeft w:val="0"/>
      <w:marRight w:val="0"/>
      <w:marTop w:val="0"/>
      <w:marBottom w:val="0"/>
      <w:divBdr>
        <w:top w:val="none" w:sz="0" w:space="0" w:color="auto"/>
        <w:left w:val="none" w:sz="0" w:space="0" w:color="auto"/>
        <w:bottom w:val="none" w:sz="0" w:space="0" w:color="auto"/>
        <w:right w:val="none" w:sz="0" w:space="0" w:color="auto"/>
      </w:divBdr>
    </w:div>
    <w:div w:id="1361205377">
      <w:bodyDiv w:val="1"/>
      <w:marLeft w:val="0"/>
      <w:marRight w:val="0"/>
      <w:marTop w:val="0"/>
      <w:marBottom w:val="0"/>
      <w:divBdr>
        <w:top w:val="none" w:sz="0" w:space="0" w:color="auto"/>
        <w:left w:val="none" w:sz="0" w:space="0" w:color="auto"/>
        <w:bottom w:val="none" w:sz="0" w:space="0" w:color="auto"/>
        <w:right w:val="none" w:sz="0" w:space="0" w:color="auto"/>
      </w:divBdr>
    </w:div>
    <w:div w:id="1365255762">
      <w:bodyDiv w:val="1"/>
      <w:marLeft w:val="0"/>
      <w:marRight w:val="0"/>
      <w:marTop w:val="0"/>
      <w:marBottom w:val="0"/>
      <w:divBdr>
        <w:top w:val="none" w:sz="0" w:space="0" w:color="auto"/>
        <w:left w:val="none" w:sz="0" w:space="0" w:color="auto"/>
        <w:bottom w:val="none" w:sz="0" w:space="0" w:color="auto"/>
        <w:right w:val="none" w:sz="0" w:space="0" w:color="auto"/>
      </w:divBdr>
    </w:div>
    <w:div w:id="1365904305">
      <w:bodyDiv w:val="1"/>
      <w:marLeft w:val="0"/>
      <w:marRight w:val="0"/>
      <w:marTop w:val="0"/>
      <w:marBottom w:val="0"/>
      <w:divBdr>
        <w:top w:val="none" w:sz="0" w:space="0" w:color="auto"/>
        <w:left w:val="none" w:sz="0" w:space="0" w:color="auto"/>
        <w:bottom w:val="none" w:sz="0" w:space="0" w:color="auto"/>
        <w:right w:val="none" w:sz="0" w:space="0" w:color="auto"/>
      </w:divBdr>
    </w:div>
    <w:div w:id="1368604835">
      <w:bodyDiv w:val="1"/>
      <w:marLeft w:val="0"/>
      <w:marRight w:val="0"/>
      <w:marTop w:val="0"/>
      <w:marBottom w:val="0"/>
      <w:divBdr>
        <w:top w:val="none" w:sz="0" w:space="0" w:color="auto"/>
        <w:left w:val="none" w:sz="0" w:space="0" w:color="auto"/>
        <w:bottom w:val="none" w:sz="0" w:space="0" w:color="auto"/>
        <w:right w:val="none" w:sz="0" w:space="0" w:color="auto"/>
      </w:divBdr>
    </w:div>
    <w:div w:id="1390882073">
      <w:bodyDiv w:val="1"/>
      <w:marLeft w:val="0"/>
      <w:marRight w:val="0"/>
      <w:marTop w:val="0"/>
      <w:marBottom w:val="0"/>
      <w:divBdr>
        <w:top w:val="none" w:sz="0" w:space="0" w:color="auto"/>
        <w:left w:val="none" w:sz="0" w:space="0" w:color="auto"/>
        <w:bottom w:val="none" w:sz="0" w:space="0" w:color="auto"/>
        <w:right w:val="none" w:sz="0" w:space="0" w:color="auto"/>
      </w:divBdr>
    </w:div>
    <w:div w:id="1392803447">
      <w:bodyDiv w:val="1"/>
      <w:marLeft w:val="0"/>
      <w:marRight w:val="0"/>
      <w:marTop w:val="0"/>
      <w:marBottom w:val="0"/>
      <w:divBdr>
        <w:top w:val="none" w:sz="0" w:space="0" w:color="auto"/>
        <w:left w:val="none" w:sz="0" w:space="0" w:color="auto"/>
        <w:bottom w:val="none" w:sz="0" w:space="0" w:color="auto"/>
        <w:right w:val="none" w:sz="0" w:space="0" w:color="auto"/>
      </w:divBdr>
    </w:div>
    <w:div w:id="1397973911">
      <w:bodyDiv w:val="1"/>
      <w:marLeft w:val="0"/>
      <w:marRight w:val="0"/>
      <w:marTop w:val="0"/>
      <w:marBottom w:val="0"/>
      <w:divBdr>
        <w:top w:val="none" w:sz="0" w:space="0" w:color="auto"/>
        <w:left w:val="none" w:sz="0" w:space="0" w:color="auto"/>
        <w:bottom w:val="none" w:sz="0" w:space="0" w:color="auto"/>
        <w:right w:val="none" w:sz="0" w:space="0" w:color="auto"/>
      </w:divBdr>
    </w:div>
    <w:div w:id="1407149142">
      <w:bodyDiv w:val="1"/>
      <w:marLeft w:val="0"/>
      <w:marRight w:val="0"/>
      <w:marTop w:val="0"/>
      <w:marBottom w:val="0"/>
      <w:divBdr>
        <w:top w:val="none" w:sz="0" w:space="0" w:color="auto"/>
        <w:left w:val="none" w:sz="0" w:space="0" w:color="auto"/>
        <w:bottom w:val="none" w:sz="0" w:space="0" w:color="auto"/>
        <w:right w:val="none" w:sz="0" w:space="0" w:color="auto"/>
      </w:divBdr>
    </w:div>
    <w:div w:id="1410925090">
      <w:bodyDiv w:val="1"/>
      <w:marLeft w:val="0"/>
      <w:marRight w:val="0"/>
      <w:marTop w:val="0"/>
      <w:marBottom w:val="0"/>
      <w:divBdr>
        <w:top w:val="none" w:sz="0" w:space="0" w:color="auto"/>
        <w:left w:val="none" w:sz="0" w:space="0" w:color="auto"/>
        <w:bottom w:val="none" w:sz="0" w:space="0" w:color="auto"/>
        <w:right w:val="none" w:sz="0" w:space="0" w:color="auto"/>
      </w:divBdr>
    </w:div>
    <w:div w:id="1419399634">
      <w:bodyDiv w:val="1"/>
      <w:marLeft w:val="0"/>
      <w:marRight w:val="0"/>
      <w:marTop w:val="0"/>
      <w:marBottom w:val="0"/>
      <w:divBdr>
        <w:top w:val="none" w:sz="0" w:space="0" w:color="auto"/>
        <w:left w:val="none" w:sz="0" w:space="0" w:color="auto"/>
        <w:bottom w:val="none" w:sz="0" w:space="0" w:color="auto"/>
        <w:right w:val="none" w:sz="0" w:space="0" w:color="auto"/>
      </w:divBdr>
    </w:div>
    <w:div w:id="1433627102">
      <w:bodyDiv w:val="1"/>
      <w:marLeft w:val="0"/>
      <w:marRight w:val="0"/>
      <w:marTop w:val="0"/>
      <w:marBottom w:val="0"/>
      <w:divBdr>
        <w:top w:val="none" w:sz="0" w:space="0" w:color="auto"/>
        <w:left w:val="none" w:sz="0" w:space="0" w:color="auto"/>
        <w:bottom w:val="none" w:sz="0" w:space="0" w:color="auto"/>
        <w:right w:val="none" w:sz="0" w:space="0" w:color="auto"/>
      </w:divBdr>
    </w:div>
    <w:div w:id="1437483596">
      <w:bodyDiv w:val="1"/>
      <w:marLeft w:val="0"/>
      <w:marRight w:val="0"/>
      <w:marTop w:val="0"/>
      <w:marBottom w:val="0"/>
      <w:divBdr>
        <w:top w:val="none" w:sz="0" w:space="0" w:color="auto"/>
        <w:left w:val="none" w:sz="0" w:space="0" w:color="auto"/>
        <w:bottom w:val="none" w:sz="0" w:space="0" w:color="auto"/>
        <w:right w:val="none" w:sz="0" w:space="0" w:color="auto"/>
      </w:divBdr>
    </w:div>
    <w:div w:id="1444806864">
      <w:bodyDiv w:val="1"/>
      <w:marLeft w:val="0"/>
      <w:marRight w:val="0"/>
      <w:marTop w:val="0"/>
      <w:marBottom w:val="0"/>
      <w:divBdr>
        <w:top w:val="none" w:sz="0" w:space="0" w:color="auto"/>
        <w:left w:val="none" w:sz="0" w:space="0" w:color="auto"/>
        <w:bottom w:val="none" w:sz="0" w:space="0" w:color="auto"/>
        <w:right w:val="none" w:sz="0" w:space="0" w:color="auto"/>
      </w:divBdr>
    </w:div>
    <w:div w:id="1453939736">
      <w:bodyDiv w:val="1"/>
      <w:marLeft w:val="0"/>
      <w:marRight w:val="0"/>
      <w:marTop w:val="0"/>
      <w:marBottom w:val="0"/>
      <w:divBdr>
        <w:top w:val="none" w:sz="0" w:space="0" w:color="auto"/>
        <w:left w:val="none" w:sz="0" w:space="0" w:color="auto"/>
        <w:bottom w:val="none" w:sz="0" w:space="0" w:color="auto"/>
        <w:right w:val="none" w:sz="0" w:space="0" w:color="auto"/>
      </w:divBdr>
    </w:div>
    <w:div w:id="1454709874">
      <w:bodyDiv w:val="1"/>
      <w:marLeft w:val="0"/>
      <w:marRight w:val="0"/>
      <w:marTop w:val="0"/>
      <w:marBottom w:val="0"/>
      <w:divBdr>
        <w:top w:val="none" w:sz="0" w:space="0" w:color="auto"/>
        <w:left w:val="none" w:sz="0" w:space="0" w:color="auto"/>
        <w:bottom w:val="none" w:sz="0" w:space="0" w:color="auto"/>
        <w:right w:val="none" w:sz="0" w:space="0" w:color="auto"/>
      </w:divBdr>
      <w:divsChild>
        <w:div w:id="857696155">
          <w:marLeft w:val="0"/>
          <w:marRight w:val="0"/>
          <w:marTop w:val="0"/>
          <w:marBottom w:val="0"/>
          <w:divBdr>
            <w:top w:val="none" w:sz="0" w:space="0" w:color="auto"/>
            <w:left w:val="none" w:sz="0" w:space="0" w:color="auto"/>
            <w:bottom w:val="none" w:sz="0" w:space="0" w:color="auto"/>
            <w:right w:val="none" w:sz="0" w:space="0" w:color="auto"/>
          </w:divBdr>
          <w:divsChild>
            <w:div w:id="18892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5347">
      <w:bodyDiv w:val="1"/>
      <w:marLeft w:val="0"/>
      <w:marRight w:val="0"/>
      <w:marTop w:val="0"/>
      <w:marBottom w:val="0"/>
      <w:divBdr>
        <w:top w:val="none" w:sz="0" w:space="0" w:color="auto"/>
        <w:left w:val="none" w:sz="0" w:space="0" w:color="auto"/>
        <w:bottom w:val="none" w:sz="0" w:space="0" w:color="auto"/>
        <w:right w:val="none" w:sz="0" w:space="0" w:color="auto"/>
      </w:divBdr>
    </w:div>
    <w:div w:id="1483042180">
      <w:bodyDiv w:val="1"/>
      <w:marLeft w:val="0"/>
      <w:marRight w:val="0"/>
      <w:marTop w:val="0"/>
      <w:marBottom w:val="0"/>
      <w:divBdr>
        <w:top w:val="none" w:sz="0" w:space="0" w:color="auto"/>
        <w:left w:val="none" w:sz="0" w:space="0" w:color="auto"/>
        <w:bottom w:val="none" w:sz="0" w:space="0" w:color="auto"/>
        <w:right w:val="none" w:sz="0" w:space="0" w:color="auto"/>
      </w:divBdr>
    </w:div>
    <w:div w:id="1487356784">
      <w:bodyDiv w:val="1"/>
      <w:marLeft w:val="0"/>
      <w:marRight w:val="0"/>
      <w:marTop w:val="0"/>
      <w:marBottom w:val="0"/>
      <w:divBdr>
        <w:top w:val="none" w:sz="0" w:space="0" w:color="auto"/>
        <w:left w:val="none" w:sz="0" w:space="0" w:color="auto"/>
        <w:bottom w:val="none" w:sz="0" w:space="0" w:color="auto"/>
        <w:right w:val="none" w:sz="0" w:space="0" w:color="auto"/>
      </w:divBdr>
    </w:div>
    <w:div w:id="1488090854">
      <w:bodyDiv w:val="1"/>
      <w:marLeft w:val="0"/>
      <w:marRight w:val="0"/>
      <w:marTop w:val="0"/>
      <w:marBottom w:val="0"/>
      <w:divBdr>
        <w:top w:val="none" w:sz="0" w:space="0" w:color="auto"/>
        <w:left w:val="none" w:sz="0" w:space="0" w:color="auto"/>
        <w:bottom w:val="none" w:sz="0" w:space="0" w:color="auto"/>
        <w:right w:val="none" w:sz="0" w:space="0" w:color="auto"/>
      </w:divBdr>
    </w:div>
    <w:div w:id="1489901569">
      <w:bodyDiv w:val="1"/>
      <w:marLeft w:val="0"/>
      <w:marRight w:val="0"/>
      <w:marTop w:val="0"/>
      <w:marBottom w:val="0"/>
      <w:divBdr>
        <w:top w:val="none" w:sz="0" w:space="0" w:color="auto"/>
        <w:left w:val="none" w:sz="0" w:space="0" w:color="auto"/>
        <w:bottom w:val="none" w:sz="0" w:space="0" w:color="auto"/>
        <w:right w:val="none" w:sz="0" w:space="0" w:color="auto"/>
      </w:divBdr>
    </w:div>
    <w:div w:id="1490093812">
      <w:bodyDiv w:val="1"/>
      <w:marLeft w:val="0"/>
      <w:marRight w:val="0"/>
      <w:marTop w:val="0"/>
      <w:marBottom w:val="0"/>
      <w:divBdr>
        <w:top w:val="none" w:sz="0" w:space="0" w:color="auto"/>
        <w:left w:val="none" w:sz="0" w:space="0" w:color="auto"/>
        <w:bottom w:val="none" w:sz="0" w:space="0" w:color="auto"/>
        <w:right w:val="none" w:sz="0" w:space="0" w:color="auto"/>
      </w:divBdr>
      <w:divsChild>
        <w:div w:id="1028531085">
          <w:marLeft w:val="547"/>
          <w:marRight w:val="0"/>
          <w:marTop w:val="0"/>
          <w:marBottom w:val="0"/>
          <w:divBdr>
            <w:top w:val="none" w:sz="0" w:space="0" w:color="auto"/>
            <w:left w:val="none" w:sz="0" w:space="0" w:color="auto"/>
            <w:bottom w:val="none" w:sz="0" w:space="0" w:color="auto"/>
            <w:right w:val="none" w:sz="0" w:space="0" w:color="auto"/>
          </w:divBdr>
        </w:div>
      </w:divsChild>
    </w:div>
    <w:div w:id="1498115482">
      <w:bodyDiv w:val="1"/>
      <w:marLeft w:val="0"/>
      <w:marRight w:val="0"/>
      <w:marTop w:val="0"/>
      <w:marBottom w:val="0"/>
      <w:divBdr>
        <w:top w:val="none" w:sz="0" w:space="0" w:color="auto"/>
        <w:left w:val="none" w:sz="0" w:space="0" w:color="auto"/>
        <w:bottom w:val="none" w:sz="0" w:space="0" w:color="auto"/>
        <w:right w:val="none" w:sz="0" w:space="0" w:color="auto"/>
      </w:divBdr>
    </w:div>
    <w:div w:id="1498811810">
      <w:bodyDiv w:val="1"/>
      <w:marLeft w:val="0"/>
      <w:marRight w:val="0"/>
      <w:marTop w:val="0"/>
      <w:marBottom w:val="0"/>
      <w:divBdr>
        <w:top w:val="none" w:sz="0" w:space="0" w:color="auto"/>
        <w:left w:val="none" w:sz="0" w:space="0" w:color="auto"/>
        <w:bottom w:val="none" w:sz="0" w:space="0" w:color="auto"/>
        <w:right w:val="none" w:sz="0" w:space="0" w:color="auto"/>
      </w:divBdr>
    </w:div>
    <w:div w:id="1506171517">
      <w:bodyDiv w:val="1"/>
      <w:marLeft w:val="0"/>
      <w:marRight w:val="0"/>
      <w:marTop w:val="0"/>
      <w:marBottom w:val="0"/>
      <w:divBdr>
        <w:top w:val="none" w:sz="0" w:space="0" w:color="auto"/>
        <w:left w:val="none" w:sz="0" w:space="0" w:color="auto"/>
        <w:bottom w:val="none" w:sz="0" w:space="0" w:color="auto"/>
        <w:right w:val="none" w:sz="0" w:space="0" w:color="auto"/>
      </w:divBdr>
    </w:div>
    <w:div w:id="1509639847">
      <w:bodyDiv w:val="1"/>
      <w:marLeft w:val="0"/>
      <w:marRight w:val="0"/>
      <w:marTop w:val="0"/>
      <w:marBottom w:val="0"/>
      <w:divBdr>
        <w:top w:val="none" w:sz="0" w:space="0" w:color="auto"/>
        <w:left w:val="none" w:sz="0" w:space="0" w:color="auto"/>
        <w:bottom w:val="none" w:sz="0" w:space="0" w:color="auto"/>
        <w:right w:val="none" w:sz="0" w:space="0" w:color="auto"/>
      </w:divBdr>
    </w:div>
    <w:div w:id="1521240769">
      <w:bodyDiv w:val="1"/>
      <w:marLeft w:val="0"/>
      <w:marRight w:val="0"/>
      <w:marTop w:val="0"/>
      <w:marBottom w:val="0"/>
      <w:divBdr>
        <w:top w:val="none" w:sz="0" w:space="0" w:color="auto"/>
        <w:left w:val="none" w:sz="0" w:space="0" w:color="auto"/>
        <w:bottom w:val="none" w:sz="0" w:space="0" w:color="auto"/>
        <w:right w:val="none" w:sz="0" w:space="0" w:color="auto"/>
      </w:divBdr>
    </w:div>
    <w:div w:id="1525437257">
      <w:bodyDiv w:val="1"/>
      <w:marLeft w:val="0"/>
      <w:marRight w:val="0"/>
      <w:marTop w:val="0"/>
      <w:marBottom w:val="0"/>
      <w:divBdr>
        <w:top w:val="none" w:sz="0" w:space="0" w:color="auto"/>
        <w:left w:val="none" w:sz="0" w:space="0" w:color="auto"/>
        <w:bottom w:val="none" w:sz="0" w:space="0" w:color="auto"/>
        <w:right w:val="none" w:sz="0" w:space="0" w:color="auto"/>
      </w:divBdr>
    </w:div>
    <w:div w:id="1530601375">
      <w:bodyDiv w:val="1"/>
      <w:marLeft w:val="0"/>
      <w:marRight w:val="0"/>
      <w:marTop w:val="0"/>
      <w:marBottom w:val="0"/>
      <w:divBdr>
        <w:top w:val="none" w:sz="0" w:space="0" w:color="auto"/>
        <w:left w:val="none" w:sz="0" w:space="0" w:color="auto"/>
        <w:bottom w:val="none" w:sz="0" w:space="0" w:color="auto"/>
        <w:right w:val="none" w:sz="0" w:space="0" w:color="auto"/>
      </w:divBdr>
    </w:div>
    <w:div w:id="1531920449">
      <w:bodyDiv w:val="1"/>
      <w:marLeft w:val="0"/>
      <w:marRight w:val="0"/>
      <w:marTop w:val="0"/>
      <w:marBottom w:val="0"/>
      <w:divBdr>
        <w:top w:val="none" w:sz="0" w:space="0" w:color="auto"/>
        <w:left w:val="none" w:sz="0" w:space="0" w:color="auto"/>
        <w:bottom w:val="none" w:sz="0" w:space="0" w:color="auto"/>
        <w:right w:val="none" w:sz="0" w:space="0" w:color="auto"/>
      </w:divBdr>
    </w:div>
    <w:div w:id="1545096372">
      <w:bodyDiv w:val="1"/>
      <w:marLeft w:val="0"/>
      <w:marRight w:val="0"/>
      <w:marTop w:val="0"/>
      <w:marBottom w:val="0"/>
      <w:divBdr>
        <w:top w:val="none" w:sz="0" w:space="0" w:color="auto"/>
        <w:left w:val="none" w:sz="0" w:space="0" w:color="auto"/>
        <w:bottom w:val="none" w:sz="0" w:space="0" w:color="auto"/>
        <w:right w:val="none" w:sz="0" w:space="0" w:color="auto"/>
      </w:divBdr>
    </w:div>
    <w:div w:id="1547377170">
      <w:bodyDiv w:val="1"/>
      <w:marLeft w:val="0"/>
      <w:marRight w:val="0"/>
      <w:marTop w:val="0"/>
      <w:marBottom w:val="0"/>
      <w:divBdr>
        <w:top w:val="none" w:sz="0" w:space="0" w:color="auto"/>
        <w:left w:val="none" w:sz="0" w:space="0" w:color="auto"/>
        <w:bottom w:val="none" w:sz="0" w:space="0" w:color="auto"/>
        <w:right w:val="none" w:sz="0" w:space="0" w:color="auto"/>
      </w:divBdr>
    </w:div>
    <w:div w:id="1547445540">
      <w:bodyDiv w:val="1"/>
      <w:marLeft w:val="0"/>
      <w:marRight w:val="0"/>
      <w:marTop w:val="0"/>
      <w:marBottom w:val="0"/>
      <w:divBdr>
        <w:top w:val="none" w:sz="0" w:space="0" w:color="auto"/>
        <w:left w:val="none" w:sz="0" w:space="0" w:color="auto"/>
        <w:bottom w:val="none" w:sz="0" w:space="0" w:color="auto"/>
        <w:right w:val="none" w:sz="0" w:space="0" w:color="auto"/>
      </w:divBdr>
    </w:div>
    <w:div w:id="1549220443">
      <w:bodyDiv w:val="1"/>
      <w:marLeft w:val="0"/>
      <w:marRight w:val="0"/>
      <w:marTop w:val="0"/>
      <w:marBottom w:val="0"/>
      <w:divBdr>
        <w:top w:val="none" w:sz="0" w:space="0" w:color="auto"/>
        <w:left w:val="none" w:sz="0" w:space="0" w:color="auto"/>
        <w:bottom w:val="none" w:sz="0" w:space="0" w:color="auto"/>
        <w:right w:val="none" w:sz="0" w:space="0" w:color="auto"/>
      </w:divBdr>
    </w:div>
    <w:div w:id="1552574091">
      <w:bodyDiv w:val="1"/>
      <w:marLeft w:val="0"/>
      <w:marRight w:val="0"/>
      <w:marTop w:val="0"/>
      <w:marBottom w:val="0"/>
      <w:divBdr>
        <w:top w:val="none" w:sz="0" w:space="0" w:color="auto"/>
        <w:left w:val="none" w:sz="0" w:space="0" w:color="auto"/>
        <w:bottom w:val="none" w:sz="0" w:space="0" w:color="auto"/>
        <w:right w:val="none" w:sz="0" w:space="0" w:color="auto"/>
      </w:divBdr>
    </w:div>
    <w:div w:id="1556770312">
      <w:bodyDiv w:val="1"/>
      <w:marLeft w:val="0"/>
      <w:marRight w:val="0"/>
      <w:marTop w:val="0"/>
      <w:marBottom w:val="0"/>
      <w:divBdr>
        <w:top w:val="none" w:sz="0" w:space="0" w:color="auto"/>
        <w:left w:val="none" w:sz="0" w:space="0" w:color="auto"/>
        <w:bottom w:val="none" w:sz="0" w:space="0" w:color="auto"/>
        <w:right w:val="none" w:sz="0" w:space="0" w:color="auto"/>
      </w:divBdr>
    </w:div>
    <w:div w:id="1568223908">
      <w:bodyDiv w:val="1"/>
      <w:marLeft w:val="0"/>
      <w:marRight w:val="0"/>
      <w:marTop w:val="0"/>
      <w:marBottom w:val="0"/>
      <w:divBdr>
        <w:top w:val="none" w:sz="0" w:space="0" w:color="auto"/>
        <w:left w:val="none" w:sz="0" w:space="0" w:color="auto"/>
        <w:bottom w:val="none" w:sz="0" w:space="0" w:color="auto"/>
        <w:right w:val="none" w:sz="0" w:space="0" w:color="auto"/>
      </w:divBdr>
    </w:div>
    <w:div w:id="1568999969">
      <w:bodyDiv w:val="1"/>
      <w:marLeft w:val="0"/>
      <w:marRight w:val="0"/>
      <w:marTop w:val="0"/>
      <w:marBottom w:val="0"/>
      <w:divBdr>
        <w:top w:val="none" w:sz="0" w:space="0" w:color="auto"/>
        <w:left w:val="none" w:sz="0" w:space="0" w:color="auto"/>
        <w:bottom w:val="none" w:sz="0" w:space="0" w:color="auto"/>
        <w:right w:val="none" w:sz="0" w:space="0" w:color="auto"/>
      </w:divBdr>
      <w:divsChild>
        <w:div w:id="1082868731">
          <w:marLeft w:val="0"/>
          <w:marRight w:val="0"/>
          <w:marTop w:val="0"/>
          <w:marBottom w:val="0"/>
          <w:divBdr>
            <w:top w:val="none" w:sz="0" w:space="0" w:color="auto"/>
            <w:left w:val="none" w:sz="0" w:space="0" w:color="auto"/>
            <w:bottom w:val="none" w:sz="0" w:space="0" w:color="auto"/>
            <w:right w:val="none" w:sz="0" w:space="0" w:color="auto"/>
          </w:divBdr>
        </w:div>
      </w:divsChild>
    </w:div>
    <w:div w:id="1574780202">
      <w:bodyDiv w:val="1"/>
      <w:marLeft w:val="0"/>
      <w:marRight w:val="0"/>
      <w:marTop w:val="0"/>
      <w:marBottom w:val="0"/>
      <w:divBdr>
        <w:top w:val="none" w:sz="0" w:space="0" w:color="auto"/>
        <w:left w:val="none" w:sz="0" w:space="0" w:color="auto"/>
        <w:bottom w:val="none" w:sz="0" w:space="0" w:color="auto"/>
        <w:right w:val="none" w:sz="0" w:space="0" w:color="auto"/>
      </w:divBdr>
    </w:div>
    <w:div w:id="1577784505">
      <w:bodyDiv w:val="1"/>
      <w:marLeft w:val="0"/>
      <w:marRight w:val="0"/>
      <w:marTop w:val="0"/>
      <w:marBottom w:val="0"/>
      <w:divBdr>
        <w:top w:val="none" w:sz="0" w:space="0" w:color="auto"/>
        <w:left w:val="none" w:sz="0" w:space="0" w:color="auto"/>
        <w:bottom w:val="none" w:sz="0" w:space="0" w:color="auto"/>
        <w:right w:val="none" w:sz="0" w:space="0" w:color="auto"/>
      </w:divBdr>
    </w:div>
    <w:div w:id="1580558679">
      <w:bodyDiv w:val="1"/>
      <w:marLeft w:val="0"/>
      <w:marRight w:val="0"/>
      <w:marTop w:val="0"/>
      <w:marBottom w:val="0"/>
      <w:divBdr>
        <w:top w:val="none" w:sz="0" w:space="0" w:color="auto"/>
        <w:left w:val="none" w:sz="0" w:space="0" w:color="auto"/>
        <w:bottom w:val="none" w:sz="0" w:space="0" w:color="auto"/>
        <w:right w:val="none" w:sz="0" w:space="0" w:color="auto"/>
      </w:divBdr>
    </w:div>
    <w:div w:id="1580602569">
      <w:bodyDiv w:val="1"/>
      <w:marLeft w:val="0"/>
      <w:marRight w:val="0"/>
      <w:marTop w:val="0"/>
      <w:marBottom w:val="0"/>
      <w:divBdr>
        <w:top w:val="none" w:sz="0" w:space="0" w:color="auto"/>
        <w:left w:val="none" w:sz="0" w:space="0" w:color="auto"/>
        <w:bottom w:val="none" w:sz="0" w:space="0" w:color="auto"/>
        <w:right w:val="none" w:sz="0" w:space="0" w:color="auto"/>
      </w:divBdr>
    </w:div>
    <w:div w:id="1583492878">
      <w:bodyDiv w:val="1"/>
      <w:marLeft w:val="0"/>
      <w:marRight w:val="0"/>
      <w:marTop w:val="0"/>
      <w:marBottom w:val="0"/>
      <w:divBdr>
        <w:top w:val="none" w:sz="0" w:space="0" w:color="auto"/>
        <w:left w:val="none" w:sz="0" w:space="0" w:color="auto"/>
        <w:bottom w:val="none" w:sz="0" w:space="0" w:color="auto"/>
        <w:right w:val="none" w:sz="0" w:space="0" w:color="auto"/>
      </w:divBdr>
    </w:div>
    <w:div w:id="1588802474">
      <w:bodyDiv w:val="1"/>
      <w:marLeft w:val="0"/>
      <w:marRight w:val="0"/>
      <w:marTop w:val="0"/>
      <w:marBottom w:val="0"/>
      <w:divBdr>
        <w:top w:val="none" w:sz="0" w:space="0" w:color="auto"/>
        <w:left w:val="none" w:sz="0" w:space="0" w:color="auto"/>
        <w:bottom w:val="none" w:sz="0" w:space="0" w:color="auto"/>
        <w:right w:val="none" w:sz="0" w:space="0" w:color="auto"/>
      </w:divBdr>
    </w:div>
    <w:div w:id="1592347113">
      <w:bodyDiv w:val="1"/>
      <w:marLeft w:val="0"/>
      <w:marRight w:val="0"/>
      <w:marTop w:val="0"/>
      <w:marBottom w:val="0"/>
      <w:divBdr>
        <w:top w:val="none" w:sz="0" w:space="0" w:color="auto"/>
        <w:left w:val="none" w:sz="0" w:space="0" w:color="auto"/>
        <w:bottom w:val="none" w:sz="0" w:space="0" w:color="auto"/>
        <w:right w:val="none" w:sz="0" w:space="0" w:color="auto"/>
      </w:divBdr>
    </w:div>
    <w:div w:id="1598293178">
      <w:bodyDiv w:val="1"/>
      <w:marLeft w:val="0"/>
      <w:marRight w:val="0"/>
      <w:marTop w:val="0"/>
      <w:marBottom w:val="0"/>
      <w:divBdr>
        <w:top w:val="none" w:sz="0" w:space="0" w:color="auto"/>
        <w:left w:val="none" w:sz="0" w:space="0" w:color="auto"/>
        <w:bottom w:val="none" w:sz="0" w:space="0" w:color="auto"/>
        <w:right w:val="none" w:sz="0" w:space="0" w:color="auto"/>
      </w:divBdr>
    </w:div>
    <w:div w:id="1600290245">
      <w:bodyDiv w:val="1"/>
      <w:marLeft w:val="0"/>
      <w:marRight w:val="0"/>
      <w:marTop w:val="0"/>
      <w:marBottom w:val="0"/>
      <w:divBdr>
        <w:top w:val="none" w:sz="0" w:space="0" w:color="auto"/>
        <w:left w:val="none" w:sz="0" w:space="0" w:color="auto"/>
        <w:bottom w:val="none" w:sz="0" w:space="0" w:color="auto"/>
        <w:right w:val="none" w:sz="0" w:space="0" w:color="auto"/>
      </w:divBdr>
      <w:divsChild>
        <w:div w:id="1958291919">
          <w:marLeft w:val="547"/>
          <w:marRight w:val="0"/>
          <w:marTop w:val="0"/>
          <w:marBottom w:val="0"/>
          <w:divBdr>
            <w:top w:val="none" w:sz="0" w:space="0" w:color="auto"/>
            <w:left w:val="none" w:sz="0" w:space="0" w:color="auto"/>
            <w:bottom w:val="none" w:sz="0" w:space="0" w:color="auto"/>
            <w:right w:val="none" w:sz="0" w:space="0" w:color="auto"/>
          </w:divBdr>
        </w:div>
        <w:div w:id="989094821">
          <w:marLeft w:val="547"/>
          <w:marRight w:val="0"/>
          <w:marTop w:val="0"/>
          <w:marBottom w:val="0"/>
          <w:divBdr>
            <w:top w:val="none" w:sz="0" w:space="0" w:color="auto"/>
            <w:left w:val="none" w:sz="0" w:space="0" w:color="auto"/>
            <w:bottom w:val="none" w:sz="0" w:space="0" w:color="auto"/>
            <w:right w:val="none" w:sz="0" w:space="0" w:color="auto"/>
          </w:divBdr>
        </w:div>
        <w:div w:id="764807745">
          <w:marLeft w:val="547"/>
          <w:marRight w:val="0"/>
          <w:marTop w:val="0"/>
          <w:marBottom w:val="0"/>
          <w:divBdr>
            <w:top w:val="none" w:sz="0" w:space="0" w:color="auto"/>
            <w:left w:val="none" w:sz="0" w:space="0" w:color="auto"/>
            <w:bottom w:val="none" w:sz="0" w:space="0" w:color="auto"/>
            <w:right w:val="none" w:sz="0" w:space="0" w:color="auto"/>
          </w:divBdr>
        </w:div>
      </w:divsChild>
    </w:div>
    <w:div w:id="1601449150">
      <w:bodyDiv w:val="1"/>
      <w:marLeft w:val="0"/>
      <w:marRight w:val="0"/>
      <w:marTop w:val="0"/>
      <w:marBottom w:val="0"/>
      <w:divBdr>
        <w:top w:val="none" w:sz="0" w:space="0" w:color="auto"/>
        <w:left w:val="none" w:sz="0" w:space="0" w:color="auto"/>
        <w:bottom w:val="none" w:sz="0" w:space="0" w:color="auto"/>
        <w:right w:val="none" w:sz="0" w:space="0" w:color="auto"/>
      </w:divBdr>
    </w:div>
    <w:div w:id="1613318030">
      <w:bodyDiv w:val="1"/>
      <w:marLeft w:val="0"/>
      <w:marRight w:val="0"/>
      <w:marTop w:val="0"/>
      <w:marBottom w:val="0"/>
      <w:divBdr>
        <w:top w:val="none" w:sz="0" w:space="0" w:color="auto"/>
        <w:left w:val="none" w:sz="0" w:space="0" w:color="auto"/>
        <w:bottom w:val="none" w:sz="0" w:space="0" w:color="auto"/>
        <w:right w:val="none" w:sz="0" w:space="0" w:color="auto"/>
      </w:divBdr>
    </w:div>
    <w:div w:id="1616327783">
      <w:bodyDiv w:val="1"/>
      <w:marLeft w:val="0"/>
      <w:marRight w:val="0"/>
      <w:marTop w:val="0"/>
      <w:marBottom w:val="0"/>
      <w:divBdr>
        <w:top w:val="none" w:sz="0" w:space="0" w:color="auto"/>
        <w:left w:val="none" w:sz="0" w:space="0" w:color="auto"/>
        <w:bottom w:val="none" w:sz="0" w:space="0" w:color="auto"/>
        <w:right w:val="none" w:sz="0" w:space="0" w:color="auto"/>
      </w:divBdr>
    </w:div>
    <w:div w:id="1616908039">
      <w:bodyDiv w:val="1"/>
      <w:marLeft w:val="0"/>
      <w:marRight w:val="0"/>
      <w:marTop w:val="0"/>
      <w:marBottom w:val="0"/>
      <w:divBdr>
        <w:top w:val="none" w:sz="0" w:space="0" w:color="auto"/>
        <w:left w:val="none" w:sz="0" w:space="0" w:color="auto"/>
        <w:bottom w:val="none" w:sz="0" w:space="0" w:color="auto"/>
        <w:right w:val="none" w:sz="0" w:space="0" w:color="auto"/>
      </w:divBdr>
    </w:div>
    <w:div w:id="1621917671">
      <w:bodyDiv w:val="1"/>
      <w:marLeft w:val="0"/>
      <w:marRight w:val="0"/>
      <w:marTop w:val="0"/>
      <w:marBottom w:val="0"/>
      <w:divBdr>
        <w:top w:val="none" w:sz="0" w:space="0" w:color="auto"/>
        <w:left w:val="none" w:sz="0" w:space="0" w:color="auto"/>
        <w:bottom w:val="none" w:sz="0" w:space="0" w:color="auto"/>
        <w:right w:val="none" w:sz="0" w:space="0" w:color="auto"/>
      </w:divBdr>
    </w:div>
    <w:div w:id="1630818335">
      <w:bodyDiv w:val="1"/>
      <w:marLeft w:val="0"/>
      <w:marRight w:val="0"/>
      <w:marTop w:val="0"/>
      <w:marBottom w:val="0"/>
      <w:divBdr>
        <w:top w:val="none" w:sz="0" w:space="0" w:color="auto"/>
        <w:left w:val="none" w:sz="0" w:space="0" w:color="auto"/>
        <w:bottom w:val="none" w:sz="0" w:space="0" w:color="auto"/>
        <w:right w:val="none" w:sz="0" w:space="0" w:color="auto"/>
      </w:divBdr>
    </w:div>
    <w:div w:id="1639532617">
      <w:bodyDiv w:val="1"/>
      <w:marLeft w:val="0"/>
      <w:marRight w:val="0"/>
      <w:marTop w:val="0"/>
      <w:marBottom w:val="0"/>
      <w:divBdr>
        <w:top w:val="none" w:sz="0" w:space="0" w:color="auto"/>
        <w:left w:val="none" w:sz="0" w:space="0" w:color="auto"/>
        <w:bottom w:val="none" w:sz="0" w:space="0" w:color="auto"/>
        <w:right w:val="none" w:sz="0" w:space="0" w:color="auto"/>
      </w:divBdr>
    </w:div>
    <w:div w:id="1640921267">
      <w:bodyDiv w:val="1"/>
      <w:marLeft w:val="0"/>
      <w:marRight w:val="0"/>
      <w:marTop w:val="0"/>
      <w:marBottom w:val="0"/>
      <w:divBdr>
        <w:top w:val="none" w:sz="0" w:space="0" w:color="auto"/>
        <w:left w:val="none" w:sz="0" w:space="0" w:color="auto"/>
        <w:bottom w:val="none" w:sz="0" w:space="0" w:color="auto"/>
        <w:right w:val="none" w:sz="0" w:space="0" w:color="auto"/>
      </w:divBdr>
    </w:div>
    <w:div w:id="1642274398">
      <w:bodyDiv w:val="1"/>
      <w:marLeft w:val="0"/>
      <w:marRight w:val="0"/>
      <w:marTop w:val="0"/>
      <w:marBottom w:val="0"/>
      <w:divBdr>
        <w:top w:val="none" w:sz="0" w:space="0" w:color="auto"/>
        <w:left w:val="none" w:sz="0" w:space="0" w:color="auto"/>
        <w:bottom w:val="none" w:sz="0" w:space="0" w:color="auto"/>
        <w:right w:val="none" w:sz="0" w:space="0" w:color="auto"/>
      </w:divBdr>
      <w:divsChild>
        <w:div w:id="475342085">
          <w:marLeft w:val="0"/>
          <w:marRight w:val="0"/>
          <w:marTop w:val="0"/>
          <w:marBottom w:val="0"/>
          <w:divBdr>
            <w:top w:val="none" w:sz="0" w:space="0" w:color="auto"/>
            <w:left w:val="none" w:sz="0" w:space="0" w:color="auto"/>
            <w:bottom w:val="none" w:sz="0" w:space="0" w:color="auto"/>
            <w:right w:val="none" w:sz="0" w:space="0" w:color="auto"/>
          </w:divBdr>
        </w:div>
      </w:divsChild>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241289">
      <w:bodyDiv w:val="1"/>
      <w:marLeft w:val="0"/>
      <w:marRight w:val="0"/>
      <w:marTop w:val="0"/>
      <w:marBottom w:val="0"/>
      <w:divBdr>
        <w:top w:val="none" w:sz="0" w:space="0" w:color="auto"/>
        <w:left w:val="none" w:sz="0" w:space="0" w:color="auto"/>
        <w:bottom w:val="none" w:sz="0" w:space="0" w:color="auto"/>
        <w:right w:val="none" w:sz="0" w:space="0" w:color="auto"/>
      </w:divBdr>
    </w:div>
    <w:div w:id="1652514902">
      <w:bodyDiv w:val="1"/>
      <w:marLeft w:val="0"/>
      <w:marRight w:val="0"/>
      <w:marTop w:val="0"/>
      <w:marBottom w:val="0"/>
      <w:divBdr>
        <w:top w:val="none" w:sz="0" w:space="0" w:color="auto"/>
        <w:left w:val="none" w:sz="0" w:space="0" w:color="auto"/>
        <w:bottom w:val="none" w:sz="0" w:space="0" w:color="auto"/>
        <w:right w:val="none" w:sz="0" w:space="0" w:color="auto"/>
      </w:divBdr>
    </w:div>
    <w:div w:id="1662151380">
      <w:bodyDiv w:val="1"/>
      <w:marLeft w:val="0"/>
      <w:marRight w:val="0"/>
      <w:marTop w:val="0"/>
      <w:marBottom w:val="0"/>
      <w:divBdr>
        <w:top w:val="none" w:sz="0" w:space="0" w:color="auto"/>
        <w:left w:val="none" w:sz="0" w:space="0" w:color="auto"/>
        <w:bottom w:val="none" w:sz="0" w:space="0" w:color="auto"/>
        <w:right w:val="none" w:sz="0" w:space="0" w:color="auto"/>
      </w:divBdr>
    </w:div>
    <w:div w:id="1666854899">
      <w:bodyDiv w:val="1"/>
      <w:marLeft w:val="0"/>
      <w:marRight w:val="0"/>
      <w:marTop w:val="0"/>
      <w:marBottom w:val="0"/>
      <w:divBdr>
        <w:top w:val="none" w:sz="0" w:space="0" w:color="auto"/>
        <w:left w:val="none" w:sz="0" w:space="0" w:color="auto"/>
        <w:bottom w:val="none" w:sz="0" w:space="0" w:color="auto"/>
        <w:right w:val="none" w:sz="0" w:space="0" w:color="auto"/>
      </w:divBdr>
    </w:div>
    <w:div w:id="1676568873">
      <w:bodyDiv w:val="1"/>
      <w:marLeft w:val="0"/>
      <w:marRight w:val="0"/>
      <w:marTop w:val="0"/>
      <w:marBottom w:val="0"/>
      <w:divBdr>
        <w:top w:val="none" w:sz="0" w:space="0" w:color="auto"/>
        <w:left w:val="none" w:sz="0" w:space="0" w:color="auto"/>
        <w:bottom w:val="none" w:sz="0" w:space="0" w:color="auto"/>
        <w:right w:val="none" w:sz="0" w:space="0" w:color="auto"/>
      </w:divBdr>
    </w:div>
    <w:div w:id="1678343420">
      <w:bodyDiv w:val="1"/>
      <w:marLeft w:val="0"/>
      <w:marRight w:val="0"/>
      <w:marTop w:val="0"/>
      <w:marBottom w:val="0"/>
      <w:divBdr>
        <w:top w:val="none" w:sz="0" w:space="0" w:color="auto"/>
        <w:left w:val="none" w:sz="0" w:space="0" w:color="auto"/>
        <w:bottom w:val="none" w:sz="0" w:space="0" w:color="auto"/>
        <w:right w:val="none" w:sz="0" w:space="0" w:color="auto"/>
      </w:divBdr>
    </w:div>
    <w:div w:id="1681666044">
      <w:bodyDiv w:val="1"/>
      <w:marLeft w:val="0"/>
      <w:marRight w:val="0"/>
      <w:marTop w:val="0"/>
      <w:marBottom w:val="0"/>
      <w:divBdr>
        <w:top w:val="none" w:sz="0" w:space="0" w:color="auto"/>
        <w:left w:val="none" w:sz="0" w:space="0" w:color="auto"/>
        <w:bottom w:val="none" w:sz="0" w:space="0" w:color="auto"/>
        <w:right w:val="none" w:sz="0" w:space="0" w:color="auto"/>
      </w:divBdr>
    </w:div>
    <w:div w:id="1682506091">
      <w:bodyDiv w:val="1"/>
      <w:marLeft w:val="0"/>
      <w:marRight w:val="0"/>
      <w:marTop w:val="0"/>
      <w:marBottom w:val="0"/>
      <w:divBdr>
        <w:top w:val="none" w:sz="0" w:space="0" w:color="auto"/>
        <w:left w:val="none" w:sz="0" w:space="0" w:color="auto"/>
        <w:bottom w:val="none" w:sz="0" w:space="0" w:color="auto"/>
        <w:right w:val="none" w:sz="0" w:space="0" w:color="auto"/>
      </w:divBdr>
      <w:divsChild>
        <w:div w:id="228421913">
          <w:marLeft w:val="547"/>
          <w:marRight w:val="0"/>
          <w:marTop w:val="0"/>
          <w:marBottom w:val="0"/>
          <w:divBdr>
            <w:top w:val="none" w:sz="0" w:space="0" w:color="auto"/>
            <w:left w:val="none" w:sz="0" w:space="0" w:color="auto"/>
            <w:bottom w:val="none" w:sz="0" w:space="0" w:color="auto"/>
            <w:right w:val="none" w:sz="0" w:space="0" w:color="auto"/>
          </w:divBdr>
        </w:div>
      </w:divsChild>
    </w:div>
    <w:div w:id="1683899571">
      <w:bodyDiv w:val="1"/>
      <w:marLeft w:val="0"/>
      <w:marRight w:val="0"/>
      <w:marTop w:val="0"/>
      <w:marBottom w:val="0"/>
      <w:divBdr>
        <w:top w:val="none" w:sz="0" w:space="0" w:color="auto"/>
        <w:left w:val="none" w:sz="0" w:space="0" w:color="auto"/>
        <w:bottom w:val="none" w:sz="0" w:space="0" w:color="auto"/>
        <w:right w:val="none" w:sz="0" w:space="0" w:color="auto"/>
      </w:divBdr>
    </w:div>
    <w:div w:id="1690258189">
      <w:bodyDiv w:val="1"/>
      <w:marLeft w:val="0"/>
      <w:marRight w:val="0"/>
      <w:marTop w:val="0"/>
      <w:marBottom w:val="0"/>
      <w:divBdr>
        <w:top w:val="none" w:sz="0" w:space="0" w:color="auto"/>
        <w:left w:val="none" w:sz="0" w:space="0" w:color="auto"/>
        <w:bottom w:val="none" w:sz="0" w:space="0" w:color="auto"/>
        <w:right w:val="none" w:sz="0" w:space="0" w:color="auto"/>
      </w:divBdr>
    </w:div>
    <w:div w:id="1690790487">
      <w:bodyDiv w:val="1"/>
      <w:marLeft w:val="0"/>
      <w:marRight w:val="0"/>
      <w:marTop w:val="0"/>
      <w:marBottom w:val="0"/>
      <w:divBdr>
        <w:top w:val="none" w:sz="0" w:space="0" w:color="auto"/>
        <w:left w:val="none" w:sz="0" w:space="0" w:color="auto"/>
        <w:bottom w:val="none" w:sz="0" w:space="0" w:color="auto"/>
        <w:right w:val="none" w:sz="0" w:space="0" w:color="auto"/>
      </w:divBdr>
    </w:div>
    <w:div w:id="1691762824">
      <w:bodyDiv w:val="1"/>
      <w:marLeft w:val="0"/>
      <w:marRight w:val="0"/>
      <w:marTop w:val="0"/>
      <w:marBottom w:val="0"/>
      <w:divBdr>
        <w:top w:val="none" w:sz="0" w:space="0" w:color="auto"/>
        <w:left w:val="none" w:sz="0" w:space="0" w:color="auto"/>
        <w:bottom w:val="none" w:sz="0" w:space="0" w:color="auto"/>
        <w:right w:val="none" w:sz="0" w:space="0" w:color="auto"/>
      </w:divBdr>
      <w:divsChild>
        <w:div w:id="2062973812">
          <w:marLeft w:val="0"/>
          <w:marRight w:val="0"/>
          <w:marTop w:val="0"/>
          <w:marBottom w:val="0"/>
          <w:divBdr>
            <w:top w:val="none" w:sz="0" w:space="0" w:color="auto"/>
            <w:left w:val="none" w:sz="0" w:space="0" w:color="auto"/>
            <w:bottom w:val="none" w:sz="0" w:space="0" w:color="auto"/>
            <w:right w:val="none" w:sz="0" w:space="0" w:color="auto"/>
          </w:divBdr>
        </w:div>
      </w:divsChild>
    </w:div>
    <w:div w:id="1696298805">
      <w:bodyDiv w:val="1"/>
      <w:marLeft w:val="0"/>
      <w:marRight w:val="0"/>
      <w:marTop w:val="0"/>
      <w:marBottom w:val="0"/>
      <w:divBdr>
        <w:top w:val="none" w:sz="0" w:space="0" w:color="auto"/>
        <w:left w:val="none" w:sz="0" w:space="0" w:color="auto"/>
        <w:bottom w:val="none" w:sz="0" w:space="0" w:color="auto"/>
        <w:right w:val="none" w:sz="0" w:space="0" w:color="auto"/>
      </w:divBdr>
    </w:div>
    <w:div w:id="1705327587">
      <w:bodyDiv w:val="1"/>
      <w:marLeft w:val="0"/>
      <w:marRight w:val="0"/>
      <w:marTop w:val="0"/>
      <w:marBottom w:val="0"/>
      <w:divBdr>
        <w:top w:val="none" w:sz="0" w:space="0" w:color="auto"/>
        <w:left w:val="none" w:sz="0" w:space="0" w:color="auto"/>
        <w:bottom w:val="none" w:sz="0" w:space="0" w:color="auto"/>
        <w:right w:val="none" w:sz="0" w:space="0" w:color="auto"/>
      </w:divBdr>
    </w:div>
    <w:div w:id="1717856341">
      <w:bodyDiv w:val="1"/>
      <w:marLeft w:val="0"/>
      <w:marRight w:val="0"/>
      <w:marTop w:val="0"/>
      <w:marBottom w:val="0"/>
      <w:divBdr>
        <w:top w:val="none" w:sz="0" w:space="0" w:color="auto"/>
        <w:left w:val="none" w:sz="0" w:space="0" w:color="auto"/>
        <w:bottom w:val="none" w:sz="0" w:space="0" w:color="auto"/>
        <w:right w:val="none" w:sz="0" w:space="0" w:color="auto"/>
      </w:divBdr>
    </w:div>
    <w:div w:id="1721322595">
      <w:bodyDiv w:val="1"/>
      <w:marLeft w:val="0"/>
      <w:marRight w:val="0"/>
      <w:marTop w:val="0"/>
      <w:marBottom w:val="0"/>
      <w:divBdr>
        <w:top w:val="none" w:sz="0" w:space="0" w:color="auto"/>
        <w:left w:val="none" w:sz="0" w:space="0" w:color="auto"/>
        <w:bottom w:val="none" w:sz="0" w:space="0" w:color="auto"/>
        <w:right w:val="none" w:sz="0" w:space="0" w:color="auto"/>
      </w:divBdr>
    </w:div>
    <w:div w:id="1746801428">
      <w:bodyDiv w:val="1"/>
      <w:marLeft w:val="0"/>
      <w:marRight w:val="0"/>
      <w:marTop w:val="0"/>
      <w:marBottom w:val="0"/>
      <w:divBdr>
        <w:top w:val="none" w:sz="0" w:space="0" w:color="auto"/>
        <w:left w:val="none" w:sz="0" w:space="0" w:color="auto"/>
        <w:bottom w:val="none" w:sz="0" w:space="0" w:color="auto"/>
        <w:right w:val="none" w:sz="0" w:space="0" w:color="auto"/>
      </w:divBdr>
    </w:div>
    <w:div w:id="1750035325">
      <w:bodyDiv w:val="1"/>
      <w:marLeft w:val="0"/>
      <w:marRight w:val="0"/>
      <w:marTop w:val="0"/>
      <w:marBottom w:val="0"/>
      <w:divBdr>
        <w:top w:val="none" w:sz="0" w:space="0" w:color="auto"/>
        <w:left w:val="none" w:sz="0" w:space="0" w:color="auto"/>
        <w:bottom w:val="none" w:sz="0" w:space="0" w:color="auto"/>
        <w:right w:val="none" w:sz="0" w:space="0" w:color="auto"/>
      </w:divBdr>
    </w:div>
    <w:div w:id="1752389083">
      <w:bodyDiv w:val="1"/>
      <w:marLeft w:val="0"/>
      <w:marRight w:val="0"/>
      <w:marTop w:val="0"/>
      <w:marBottom w:val="0"/>
      <w:divBdr>
        <w:top w:val="none" w:sz="0" w:space="0" w:color="auto"/>
        <w:left w:val="none" w:sz="0" w:space="0" w:color="auto"/>
        <w:bottom w:val="none" w:sz="0" w:space="0" w:color="auto"/>
        <w:right w:val="none" w:sz="0" w:space="0" w:color="auto"/>
      </w:divBdr>
      <w:divsChild>
        <w:div w:id="1159619531">
          <w:marLeft w:val="0"/>
          <w:marRight w:val="0"/>
          <w:marTop w:val="0"/>
          <w:marBottom w:val="0"/>
          <w:divBdr>
            <w:top w:val="none" w:sz="0" w:space="0" w:color="auto"/>
            <w:left w:val="none" w:sz="0" w:space="0" w:color="auto"/>
            <w:bottom w:val="none" w:sz="0" w:space="0" w:color="auto"/>
            <w:right w:val="none" w:sz="0" w:space="0" w:color="auto"/>
          </w:divBdr>
        </w:div>
      </w:divsChild>
    </w:div>
    <w:div w:id="1754274232">
      <w:bodyDiv w:val="1"/>
      <w:marLeft w:val="0"/>
      <w:marRight w:val="0"/>
      <w:marTop w:val="0"/>
      <w:marBottom w:val="0"/>
      <w:divBdr>
        <w:top w:val="none" w:sz="0" w:space="0" w:color="auto"/>
        <w:left w:val="none" w:sz="0" w:space="0" w:color="auto"/>
        <w:bottom w:val="none" w:sz="0" w:space="0" w:color="auto"/>
        <w:right w:val="none" w:sz="0" w:space="0" w:color="auto"/>
      </w:divBdr>
    </w:div>
    <w:div w:id="1758401913">
      <w:bodyDiv w:val="1"/>
      <w:marLeft w:val="0"/>
      <w:marRight w:val="0"/>
      <w:marTop w:val="0"/>
      <w:marBottom w:val="0"/>
      <w:divBdr>
        <w:top w:val="none" w:sz="0" w:space="0" w:color="auto"/>
        <w:left w:val="none" w:sz="0" w:space="0" w:color="auto"/>
        <w:bottom w:val="none" w:sz="0" w:space="0" w:color="auto"/>
        <w:right w:val="none" w:sz="0" w:space="0" w:color="auto"/>
      </w:divBdr>
    </w:div>
    <w:div w:id="1760371916">
      <w:bodyDiv w:val="1"/>
      <w:marLeft w:val="0"/>
      <w:marRight w:val="0"/>
      <w:marTop w:val="0"/>
      <w:marBottom w:val="0"/>
      <w:divBdr>
        <w:top w:val="none" w:sz="0" w:space="0" w:color="auto"/>
        <w:left w:val="none" w:sz="0" w:space="0" w:color="auto"/>
        <w:bottom w:val="none" w:sz="0" w:space="0" w:color="auto"/>
        <w:right w:val="none" w:sz="0" w:space="0" w:color="auto"/>
      </w:divBdr>
    </w:div>
    <w:div w:id="1771899033">
      <w:bodyDiv w:val="1"/>
      <w:marLeft w:val="0"/>
      <w:marRight w:val="0"/>
      <w:marTop w:val="0"/>
      <w:marBottom w:val="0"/>
      <w:divBdr>
        <w:top w:val="none" w:sz="0" w:space="0" w:color="auto"/>
        <w:left w:val="none" w:sz="0" w:space="0" w:color="auto"/>
        <w:bottom w:val="none" w:sz="0" w:space="0" w:color="auto"/>
        <w:right w:val="none" w:sz="0" w:space="0" w:color="auto"/>
      </w:divBdr>
    </w:div>
    <w:div w:id="1775707102">
      <w:bodyDiv w:val="1"/>
      <w:marLeft w:val="0"/>
      <w:marRight w:val="0"/>
      <w:marTop w:val="0"/>
      <w:marBottom w:val="0"/>
      <w:divBdr>
        <w:top w:val="none" w:sz="0" w:space="0" w:color="auto"/>
        <w:left w:val="none" w:sz="0" w:space="0" w:color="auto"/>
        <w:bottom w:val="none" w:sz="0" w:space="0" w:color="auto"/>
        <w:right w:val="none" w:sz="0" w:space="0" w:color="auto"/>
      </w:divBdr>
    </w:div>
    <w:div w:id="1781992103">
      <w:bodyDiv w:val="1"/>
      <w:marLeft w:val="0"/>
      <w:marRight w:val="0"/>
      <w:marTop w:val="0"/>
      <w:marBottom w:val="0"/>
      <w:divBdr>
        <w:top w:val="none" w:sz="0" w:space="0" w:color="auto"/>
        <w:left w:val="none" w:sz="0" w:space="0" w:color="auto"/>
        <w:bottom w:val="none" w:sz="0" w:space="0" w:color="auto"/>
        <w:right w:val="none" w:sz="0" w:space="0" w:color="auto"/>
      </w:divBdr>
    </w:div>
    <w:div w:id="1785806349">
      <w:bodyDiv w:val="1"/>
      <w:marLeft w:val="0"/>
      <w:marRight w:val="0"/>
      <w:marTop w:val="0"/>
      <w:marBottom w:val="0"/>
      <w:divBdr>
        <w:top w:val="none" w:sz="0" w:space="0" w:color="auto"/>
        <w:left w:val="none" w:sz="0" w:space="0" w:color="auto"/>
        <w:bottom w:val="none" w:sz="0" w:space="0" w:color="auto"/>
        <w:right w:val="none" w:sz="0" w:space="0" w:color="auto"/>
      </w:divBdr>
    </w:div>
    <w:div w:id="1789934116">
      <w:bodyDiv w:val="1"/>
      <w:marLeft w:val="0"/>
      <w:marRight w:val="0"/>
      <w:marTop w:val="0"/>
      <w:marBottom w:val="0"/>
      <w:divBdr>
        <w:top w:val="none" w:sz="0" w:space="0" w:color="auto"/>
        <w:left w:val="none" w:sz="0" w:space="0" w:color="auto"/>
        <w:bottom w:val="none" w:sz="0" w:space="0" w:color="auto"/>
        <w:right w:val="none" w:sz="0" w:space="0" w:color="auto"/>
      </w:divBdr>
    </w:div>
    <w:div w:id="1792741153">
      <w:bodyDiv w:val="1"/>
      <w:marLeft w:val="0"/>
      <w:marRight w:val="0"/>
      <w:marTop w:val="0"/>
      <w:marBottom w:val="0"/>
      <w:divBdr>
        <w:top w:val="none" w:sz="0" w:space="0" w:color="auto"/>
        <w:left w:val="none" w:sz="0" w:space="0" w:color="auto"/>
        <w:bottom w:val="none" w:sz="0" w:space="0" w:color="auto"/>
        <w:right w:val="none" w:sz="0" w:space="0" w:color="auto"/>
      </w:divBdr>
    </w:div>
    <w:div w:id="1805582942">
      <w:bodyDiv w:val="1"/>
      <w:marLeft w:val="0"/>
      <w:marRight w:val="0"/>
      <w:marTop w:val="0"/>
      <w:marBottom w:val="0"/>
      <w:divBdr>
        <w:top w:val="none" w:sz="0" w:space="0" w:color="auto"/>
        <w:left w:val="none" w:sz="0" w:space="0" w:color="auto"/>
        <w:bottom w:val="none" w:sz="0" w:space="0" w:color="auto"/>
        <w:right w:val="none" w:sz="0" w:space="0" w:color="auto"/>
      </w:divBdr>
    </w:div>
    <w:div w:id="1813130132">
      <w:bodyDiv w:val="1"/>
      <w:marLeft w:val="0"/>
      <w:marRight w:val="0"/>
      <w:marTop w:val="0"/>
      <w:marBottom w:val="0"/>
      <w:divBdr>
        <w:top w:val="none" w:sz="0" w:space="0" w:color="auto"/>
        <w:left w:val="none" w:sz="0" w:space="0" w:color="auto"/>
        <w:bottom w:val="none" w:sz="0" w:space="0" w:color="auto"/>
        <w:right w:val="none" w:sz="0" w:space="0" w:color="auto"/>
      </w:divBdr>
    </w:div>
    <w:div w:id="1814710986">
      <w:bodyDiv w:val="1"/>
      <w:marLeft w:val="0"/>
      <w:marRight w:val="0"/>
      <w:marTop w:val="0"/>
      <w:marBottom w:val="0"/>
      <w:divBdr>
        <w:top w:val="none" w:sz="0" w:space="0" w:color="auto"/>
        <w:left w:val="none" w:sz="0" w:space="0" w:color="auto"/>
        <w:bottom w:val="none" w:sz="0" w:space="0" w:color="auto"/>
        <w:right w:val="none" w:sz="0" w:space="0" w:color="auto"/>
      </w:divBdr>
    </w:div>
    <w:div w:id="1819225542">
      <w:bodyDiv w:val="1"/>
      <w:marLeft w:val="0"/>
      <w:marRight w:val="0"/>
      <w:marTop w:val="0"/>
      <w:marBottom w:val="0"/>
      <w:divBdr>
        <w:top w:val="none" w:sz="0" w:space="0" w:color="auto"/>
        <w:left w:val="none" w:sz="0" w:space="0" w:color="auto"/>
        <w:bottom w:val="none" w:sz="0" w:space="0" w:color="auto"/>
        <w:right w:val="none" w:sz="0" w:space="0" w:color="auto"/>
      </w:divBdr>
    </w:div>
    <w:div w:id="1821920293">
      <w:bodyDiv w:val="1"/>
      <w:marLeft w:val="0"/>
      <w:marRight w:val="0"/>
      <w:marTop w:val="0"/>
      <w:marBottom w:val="0"/>
      <w:divBdr>
        <w:top w:val="none" w:sz="0" w:space="0" w:color="auto"/>
        <w:left w:val="none" w:sz="0" w:space="0" w:color="auto"/>
        <w:bottom w:val="none" w:sz="0" w:space="0" w:color="auto"/>
        <w:right w:val="none" w:sz="0" w:space="0" w:color="auto"/>
      </w:divBdr>
    </w:div>
    <w:div w:id="1822186300">
      <w:bodyDiv w:val="1"/>
      <w:marLeft w:val="0"/>
      <w:marRight w:val="0"/>
      <w:marTop w:val="0"/>
      <w:marBottom w:val="0"/>
      <w:divBdr>
        <w:top w:val="none" w:sz="0" w:space="0" w:color="auto"/>
        <w:left w:val="none" w:sz="0" w:space="0" w:color="auto"/>
        <w:bottom w:val="none" w:sz="0" w:space="0" w:color="auto"/>
        <w:right w:val="none" w:sz="0" w:space="0" w:color="auto"/>
      </w:divBdr>
    </w:div>
    <w:div w:id="1822965335">
      <w:bodyDiv w:val="1"/>
      <w:marLeft w:val="0"/>
      <w:marRight w:val="0"/>
      <w:marTop w:val="0"/>
      <w:marBottom w:val="0"/>
      <w:divBdr>
        <w:top w:val="none" w:sz="0" w:space="0" w:color="auto"/>
        <w:left w:val="none" w:sz="0" w:space="0" w:color="auto"/>
        <w:bottom w:val="none" w:sz="0" w:space="0" w:color="auto"/>
        <w:right w:val="none" w:sz="0" w:space="0" w:color="auto"/>
      </w:divBdr>
    </w:div>
    <w:div w:id="1823892069">
      <w:bodyDiv w:val="1"/>
      <w:marLeft w:val="0"/>
      <w:marRight w:val="0"/>
      <w:marTop w:val="0"/>
      <w:marBottom w:val="0"/>
      <w:divBdr>
        <w:top w:val="none" w:sz="0" w:space="0" w:color="auto"/>
        <w:left w:val="none" w:sz="0" w:space="0" w:color="auto"/>
        <w:bottom w:val="none" w:sz="0" w:space="0" w:color="auto"/>
        <w:right w:val="none" w:sz="0" w:space="0" w:color="auto"/>
      </w:divBdr>
    </w:div>
    <w:div w:id="1828395885">
      <w:bodyDiv w:val="1"/>
      <w:marLeft w:val="0"/>
      <w:marRight w:val="0"/>
      <w:marTop w:val="0"/>
      <w:marBottom w:val="0"/>
      <w:divBdr>
        <w:top w:val="none" w:sz="0" w:space="0" w:color="auto"/>
        <w:left w:val="none" w:sz="0" w:space="0" w:color="auto"/>
        <w:bottom w:val="none" w:sz="0" w:space="0" w:color="auto"/>
        <w:right w:val="none" w:sz="0" w:space="0" w:color="auto"/>
      </w:divBdr>
    </w:div>
    <w:div w:id="1847866835">
      <w:bodyDiv w:val="1"/>
      <w:marLeft w:val="0"/>
      <w:marRight w:val="0"/>
      <w:marTop w:val="0"/>
      <w:marBottom w:val="0"/>
      <w:divBdr>
        <w:top w:val="none" w:sz="0" w:space="0" w:color="auto"/>
        <w:left w:val="none" w:sz="0" w:space="0" w:color="auto"/>
        <w:bottom w:val="none" w:sz="0" w:space="0" w:color="auto"/>
        <w:right w:val="none" w:sz="0" w:space="0" w:color="auto"/>
      </w:divBdr>
    </w:div>
    <w:div w:id="1852378060">
      <w:bodyDiv w:val="1"/>
      <w:marLeft w:val="0"/>
      <w:marRight w:val="0"/>
      <w:marTop w:val="0"/>
      <w:marBottom w:val="0"/>
      <w:divBdr>
        <w:top w:val="none" w:sz="0" w:space="0" w:color="auto"/>
        <w:left w:val="none" w:sz="0" w:space="0" w:color="auto"/>
        <w:bottom w:val="none" w:sz="0" w:space="0" w:color="auto"/>
        <w:right w:val="none" w:sz="0" w:space="0" w:color="auto"/>
      </w:divBdr>
    </w:div>
    <w:div w:id="1858274336">
      <w:bodyDiv w:val="1"/>
      <w:marLeft w:val="0"/>
      <w:marRight w:val="0"/>
      <w:marTop w:val="0"/>
      <w:marBottom w:val="0"/>
      <w:divBdr>
        <w:top w:val="none" w:sz="0" w:space="0" w:color="auto"/>
        <w:left w:val="none" w:sz="0" w:space="0" w:color="auto"/>
        <w:bottom w:val="none" w:sz="0" w:space="0" w:color="auto"/>
        <w:right w:val="none" w:sz="0" w:space="0" w:color="auto"/>
      </w:divBdr>
    </w:div>
    <w:div w:id="1865551884">
      <w:bodyDiv w:val="1"/>
      <w:marLeft w:val="0"/>
      <w:marRight w:val="0"/>
      <w:marTop w:val="0"/>
      <w:marBottom w:val="0"/>
      <w:divBdr>
        <w:top w:val="none" w:sz="0" w:space="0" w:color="auto"/>
        <w:left w:val="none" w:sz="0" w:space="0" w:color="auto"/>
        <w:bottom w:val="none" w:sz="0" w:space="0" w:color="auto"/>
        <w:right w:val="none" w:sz="0" w:space="0" w:color="auto"/>
      </w:divBdr>
    </w:div>
    <w:div w:id="1867868188">
      <w:bodyDiv w:val="1"/>
      <w:marLeft w:val="0"/>
      <w:marRight w:val="0"/>
      <w:marTop w:val="0"/>
      <w:marBottom w:val="0"/>
      <w:divBdr>
        <w:top w:val="none" w:sz="0" w:space="0" w:color="auto"/>
        <w:left w:val="none" w:sz="0" w:space="0" w:color="auto"/>
        <w:bottom w:val="none" w:sz="0" w:space="0" w:color="auto"/>
        <w:right w:val="none" w:sz="0" w:space="0" w:color="auto"/>
      </w:divBdr>
      <w:divsChild>
        <w:div w:id="1994722281">
          <w:marLeft w:val="0"/>
          <w:marRight w:val="0"/>
          <w:marTop w:val="0"/>
          <w:marBottom w:val="0"/>
          <w:divBdr>
            <w:top w:val="none" w:sz="0" w:space="0" w:color="auto"/>
            <w:left w:val="none" w:sz="0" w:space="0" w:color="auto"/>
            <w:bottom w:val="none" w:sz="0" w:space="0" w:color="auto"/>
            <w:right w:val="none" w:sz="0" w:space="0" w:color="auto"/>
          </w:divBdr>
        </w:div>
      </w:divsChild>
    </w:div>
    <w:div w:id="1869029847">
      <w:bodyDiv w:val="1"/>
      <w:marLeft w:val="0"/>
      <w:marRight w:val="0"/>
      <w:marTop w:val="0"/>
      <w:marBottom w:val="0"/>
      <w:divBdr>
        <w:top w:val="none" w:sz="0" w:space="0" w:color="auto"/>
        <w:left w:val="none" w:sz="0" w:space="0" w:color="auto"/>
        <w:bottom w:val="none" w:sz="0" w:space="0" w:color="auto"/>
        <w:right w:val="none" w:sz="0" w:space="0" w:color="auto"/>
      </w:divBdr>
    </w:div>
    <w:div w:id="1875344357">
      <w:bodyDiv w:val="1"/>
      <w:marLeft w:val="0"/>
      <w:marRight w:val="0"/>
      <w:marTop w:val="0"/>
      <w:marBottom w:val="0"/>
      <w:divBdr>
        <w:top w:val="none" w:sz="0" w:space="0" w:color="auto"/>
        <w:left w:val="none" w:sz="0" w:space="0" w:color="auto"/>
        <w:bottom w:val="none" w:sz="0" w:space="0" w:color="auto"/>
        <w:right w:val="none" w:sz="0" w:space="0" w:color="auto"/>
      </w:divBdr>
    </w:div>
    <w:div w:id="1876114058">
      <w:bodyDiv w:val="1"/>
      <w:marLeft w:val="0"/>
      <w:marRight w:val="0"/>
      <w:marTop w:val="0"/>
      <w:marBottom w:val="0"/>
      <w:divBdr>
        <w:top w:val="none" w:sz="0" w:space="0" w:color="auto"/>
        <w:left w:val="none" w:sz="0" w:space="0" w:color="auto"/>
        <w:bottom w:val="none" w:sz="0" w:space="0" w:color="auto"/>
        <w:right w:val="none" w:sz="0" w:space="0" w:color="auto"/>
      </w:divBdr>
    </w:div>
    <w:div w:id="1878931823">
      <w:bodyDiv w:val="1"/>
      <w:marLeft w:val="0"/>
      <w:marRight w:val="0"/>
      <w:marTop w:val="0"/>
      <w:marBottom w:val="0"/>
      <w:divBdr>
        <w:top w:val="none" w:sz="0" w:space="0" w:color="auto"/>
        <w:left w:val="none" w:sz="0" w:space="0" w:color="auto"/>
        <w:bottom w:val="none" w:sz="0" w:space="0" w:color="auto"/>
        <w:right w:val="none" w:sz="0" w:space="0" w:color="auto"/>
      </w:divBdr>
      <w:divsChild>
        <w:div w:id="712119680">
          <w:marLeft w:val="547"/>
          <w:marRight w:val="0"/>
          <w:marTop w:val="0"/>
          <w:marBottom w:val="0"/>
          <w:divBdr>
            <w:top w:val="none" w:sz="0" w:space="0" w:color="auto"/>
            <w:left w:val="none" w:sz="0" w:space="0" w:color="auto"/>
            <w:bottom w:val="none" w:sz="0" w:space="0" w:color="auto"/>
            <w:right w:val="none" w:sz="0" w:space="0" w:color="auto"/>
          </w:divBdr>
        </w:div>
      </w:divsChild>
    </w:div>
    <w:div w:id="1880314570">
      <w:bodyDiv w:val="1"/>
      <w:marLeft w:val="0"/>
      <w:marRight w:val="0"/>
      <w:marTop w:val="0"/>
      <w:marBottom w:val="0"/>
      <w:divBdr>
        <w:top w:val="none" w:sz="0" w:space="0" w:color="auto"/>
        <w:left w:val="none" w:sz="0" w:space="0" w:color="auto"/>
        <w:bottom w:val="none" w:sz="0" w:space="0" w:color="auto"/>
        <w:right w:val="none" w:sz="0" w:space="0" w:color="auto"/>
      </w:divBdr>
    </w:div>
    <w:div w:id="1881430516">
      <w:bodyDiv w:val="1"/>
      <w:marLeft w:val="0"/>
      <w:marRight w:val="0"/>
      <w:marTop w:val="0"/>
      <w:marBottom w:val="0"/>
      <w:divBdr>
        <w:top w:val="none" w:sz="0" w:space="0" w:color="auto"/>
        <w:left w:val="none" w:sz="0" w:space="0" w:color="auto"/>
        <w:bottom w:val="none" w:sz="0" w:space="0" w:color="auto"/>
        <w:right w:val="none" w:sz="0" w:space="0" w:color="auto"/>
      </w:divBdr>
    </w:div>
    <w:div w:id="1887838080">
      <w:bodyDiv w:val="1"/>
      <w:marLeft w:val="0"/>
      <w:marRight w:val="0"/>
      <w:marTop w:val="0"/>
      <w:marBottom w:val="0"/>
      <w:divBdr>
        <w:top w:val="none" w:sz="0" w:space="0" w:color="auto"/>
        <w:left w:val="none" w:sz="0" w:space="0" w:color="auto"/>
        <w:bottom w:val="none" w:sz="0" w:space="0" w:color="auto"/>
        <w:right w:val="none" w:sz="0" w:space="0" w:color="auto"/>
      </w:divBdr>
    </w:div>
    <w:div w:id="1890148649">
      <w:bodyDiv w:val="1"/>
      <w:marLeft w:val="0"/>
      <w:marRight w:val="0"/>
      <w:marTop w:val="0"/>
      <w:marBottom w:val="0"/>
      <w:divBdr>
        <w:top w:val="none" w:sz="0" w:space="0" w:color="auto"/>
        <w:left w:val="none" w:sz="0" w:space="0" w:color="auto"/>
        <w:bottom w:val="none" w:sz="0" w:space="0" w:color="auto"/>
        <w:right w:val="none" w:sz="0" w:space="0" w:color="auto"/>
      </w:divBdr>
      <w:divsChild>
        <w:div w:id="2112432748">
          <w:marLeft w:val="0"/>
          <w:marRight w:val="0"/>
          <w:marTop w:val="0"/>
          <w:marBottom w:val="0"/>
          <w:divBdr>
            <w:top w:val="none" w:sz="0" w:space="0" w:color="auto"/>
            <w:left w:val="none" w:sz="0" w:space="0" w:color="auto"/>
            <w:bottom w:val="none" w:sz="0" w:space="0" w:color="auto"/>
            <w:right w:val="none" w:sz="0" w:space="0" w:color="auto"/>
          </w:divBdr>
        </w:div>
      </w:divsChild>
    </w:div>
    <w:div w:id="1898008364">
      <w:bodyDiv w:val="1"/>
      <w:marLeft w:val="0"/>
      <w:marRight w:val="0"/>
      <w:marTop w:val="0"/>
      <w:marBottom w:val="0"/>
      <w:divBdr>
        <w:top w:val="none" w:sz="0" w:space="0" w:color="auto"/>
        <w:left w:val="none" w:sz="0" w:space="0" w:color="auto"/>
        <w:bottom w:val="none" w:sz="0" w:space="0" w:color="auto"/>
        <w:right w:val="none" w:sz="0" w:space="0" w:color="auto"/>
      </w:divBdr>
    </w:div>
    <w:div w:id="1904364052">
      <w:bodyDiv w:val="1"/>
      <w:marLeft w:val="0"/>
      <w:marRight w:val="0"/>
      <w:marTop w:val="0"/>
      <w:marBottom w:val="0"/>
      <w:divBdr>
        <w:top w:val="none" w:sz="0" w:space="0" w:color="auto"/>
        <w:left w:val="none" w:sz="0" w:space="0" w:color="auto"/>
        <w:bottom w:val="none" w:sz="0" w:space="0" w:color="auto"/>
        <w:right w:val="none" w:sz="0" w:space="0" w:color="auto"/>
      </w:divBdr>
    </w:div>
    <w:div w:id="1907841440">
      <w:bodyDiv w:val="1"/>
      <w:marLeft w:val="0"/>
      <w:marRight w:val="0"/>
      <w:marTop w:val="0"/>
      <w:marBottom w:val="0"/>
      <w:divBdr>
        <w:top w:val="none" w:sz="0" w:space="0" w:color="auto"/>
        <w:left w:val="none" w:sz="0" w:space="0" w:color="auto"/>
        <w:bottom w:val="none" w:sz="0" w:space="0" w:color="auto"/>
        <w:right w:val="none" w:sz="0" w:space="0" w:color="auto"/>
      </w:divBdr>
    </w:div>
    <w:div w:id="1908152367">
      <w:bodyDiv w:val="1"/>
      <w:marLeft w:val="0"/>
      <w:marRight w:val="0"/>
      <w:marTop w:val="0"/>
      <w:marBottom w:val="0"/>
      <w:divBdr>
        <w:top w:val="none" w:sz="0" w:space="0" w:color="auto"/>
        <w:left w:val="none" w:sz="0" w:space="0" w:color="auto"/>
        <w:bottom w:val="none" w:sz="0" w:space="0" w:color="auto"/>
        <w:right w:val="none" w:sz="0" w:space="0" w:color="auto"/>
      </w:divBdr>
    </w:div>
    <w:div w:id="1915582235">
      <w:bodyDiv w:val="1"/>
      <w:marLeft w:val="0"/>
      <w:marRight w:val="0"/>
      <w:marTop w:val="0"/>
      <w:marBottom w:val="0"/>
      <w:divBdr>
        <w:top w:val="none" w:sz="0" w:space="0" w:color="auto"/>
        <w:left w:val="none" w:sz="0" w:space="0" w:color="auto"/>
        <w:bottom w:val="none" w:sz="0" w:space="0" w:color="auto"/>
        <w:right w:val="none" w:sz="0" w:space="0" w:color="auto"/>
      </w:divBdr>
    </w:div>
    <w:div w:id="1920213148">
      <w:bodyDiv w:val="1"/>
      <w:marLeft w:val="0"/>
      <w:marRight w:val="0"/>
      <w:marTop w:val="0"/>
      <w:marBottom w:val="0"/>
      <w:divBdr>
        <w:top w:val="none" w:sz="0" w:space="0" w:color="auto"/>
        <w:left w:val="none" w:sz="0" w:space="0" w:color="auto"/>
        <w:bottom w:val="none" w:sz="0" w:space="0" w:color="auto"/>
        <w:right w:val="none" w:sz="0" w:space="0" w:color="auto"/>
      </w:divBdr>
    </w:div>
    <w:div w:id="1931891196">
      <w:bodyDiv w:val="1"/>
      <w:marLeft w:val="0"/>
      <w:marRight w:val="0"/>
      <w:marTop w:val="0"/>
      <w:marBottom w:val="0"/>
      <w:divBdr>
        <w:top w:val="none" w:sz="0" w:space="0" w:color="auto"/>
        <w:left w:val="none" w:sz="0" w:space="0" w:color="auto"/>
        <w:bottom w:val="none" w:sz="0" w:space="0" w:color="auto"/>
        <w:right w:val="none" w:sz="0" w:space="0" w:color="auto"/>
      </w:divBdr>
    </w:div>
    <w:div w:id="1939831077">
      <w:bodyDiv w:val="1"/>
      <w:marLeft w:val="0"/>
      <w:marRight w:val="0"/>
      <w:marTop w:val="0"/>
      <w:marBottom w:val="0"/>
      <w:divBdr>
        <w:top w:val="none" w:sz="0" w:space="0" w:color="auto"/>
        <w:left w:val="none" w:sz="0" w:space="0" w:color="auto"/>
        <w:bottom w:val="none" w:sz="0" w:space="0" w:color="auto"/>
        <w:right w:val="none" w:sz="0" w:space="0" w:color="auto"/>
      </w:divBdr>
    </w:div>
    <w:div w:id="1942834746">
      <w:bodyDiv w:val="1"/>
      <w:marLeft w:val="0"/>
      <w:marRight w:val="0"/>
      <w:marTop w:val="0"/>
      <w:marBottom w:val="0"/>
      <w:divBdr>
        <w:top w:val="none" w:sz="0" w:space="0" w:color="auto"/>
        <w:left w:val="none" w:sz="0" w:space="0" w:color="auto"/>
        <w:bottom w:val="none" w:sz="0" w:space="0" w:color="auto"/>
        <w:right w:val="none" w:sz="0" w:space="0" w:color="auto"/>
      </w:divBdr>
    </w:div>
    <w:div w:id="1947228199">
      <w:bodyDiv w:val="1"/>
      <w:marLeft w:val="0"/>
      <w:marRight w:val="0"/>
      <w:marTop w:val="0"/>
      <w:marBottom w:val="0"/>
      <w:divBdr>
        <w:top w:val="none" w:sz="0" w:space="0" w:color="auto"/>
        <w:left w:val="none" w:sz="0" w:space="0" w:color="auto"/>
        <w:bottom w:val="none" w:sz="0" w:space="0" w:color="auto"/>
        <w:right w:val="none" w:sz="0" w:space="0" w:color="auto"/>
      </w:divBdr>
    </w:div>
    <w:div w:id="1951013997">
      <w:bodyDiv w:val="1"/>
      <w:marLeft w:val="0"/>
      <w:marRight w:val="0"/>
      <w:marTop w:val="0"/>
      <w:marBottom w:val="0"/>
      <w:divBdr>
        <w:top w:val="none" w:sz="0" w:space="0" w:color="auto"/>
        <w:left w:val="none" w:sz="0" w:space="0" w:color="auto"/>
        <w:bottom w:val="none" w:sz="0" w:space="0" w:color="auto"/>
        <w:right w:val="none" w:sz="0" w:space="0" w:color="auto"/>
      </w:divBdr>
    </w:div>
    <w:div w:id="1953705426">
      <w:bodyDiv w:val="1"/>
      <w:marLeft w:val="0"/>
      <w:marRight w:val="0"/>
      <w:marTop w:val="0"/>
      <w:marBottom w:val="0"/>
      <w:divBdr>
        <w:top w:val="none" w:sz="0" w:space="0" w:color="auto"/>
        <w:left w:val="none" w:sz="0" w:space="0" w:color="auto"/>
        <w:bottom w:val="none" w:sz="0" w:space="0" w:color="auto"/>
        <w:right w:val="none" w:sz="0" w:space="0" w:color="auto"/>
      </w:divBdr>
    </w:div>
    <w:div w:id="1957173087">
      <w:bodyDiv w:val="1"/>
      <w:marLeft w:val="0"/>
      <w:marRight w:val="0"/>
      <w:marTop w:val="0"/>
      <w:marBottom w:val="0"/>
      <w:divBdr>
        <w:top w:val="none" w:sz="0" w:space="0" w:color="auto"/>
        <w:left w:val="none" w:sz="0" w:space="0" w:color="auto"/>
        <w:bottom w:val="none" w:sz="0" w:space="0" w:color="auto"/>
        <w:right w:val="none" w:sz="0" w:space="0" w:color="auto"/>
      </w:divBdr>
    </w:div>
    <w:div w:id="1959800145">
      <w:bodyDiv w:val="1"/>
      <w:marLeft w:val="0"/>
      <w:marRight w:val="0"/>
      <w:marTop w:val="0"/>
      <w:marBottom w:val="0"/>
      <w:divBdr>
        <w:top w:val="none" w:sz="0" w:space="0" w:color="auto"/>
        <w:left w:val="none" w:sz="0" w:space="0" w:color="auto"/>
        <w:bottom w:val="none" w:sz="0" w:space="0" w:color="auto"/>
        <w:right w:val="none" w:sz="0" w:space="0" w:color="auto"/>
      </w:divBdr>
    </w:div>
    <w:div w:id="1959872122">
      <w:bodyDiv w:val="1"/>
      <w:marLeft w:val="0"/>
      <w:marRight w:val="0"/>
      <w:marTop w:val="0"/>
      <w:marBottom w:val="0"/>
      <w:divBdr>
        <w:top w:val="none" w:sz="0" w:space="0" w:color="auto"/>
        <w:left w:val="none" w:sz="0" w:space="0" w:color="auto"/>
        <w:bottom w:val="none" w:sz="0" w:space="0" w:color="auto"/>
        <w:right w:val="none" w:sz="0" w:space="0" w:color="auto"/>
      </w:divBdr>
      <w:divsChild>
        <w:div w:id="1467236602">
          <w:marLeft w:val="0"/>
          <w:marRight w:val="0"/>
          <w:marTop w:val="0"/>
          <w:marBottom w:val="0"/>
          <w:divBdr>
            <w:top w:val="none" w:sz="0" w:space="0" w:color="auto"/>
            <w:left w:val="none" w:sz="0" w:space="0" w:color="auto"/>
            <w:bottom w:val="none" w:sz="0" w:space="0" w:color="auto"/>
            <w:right w:val="none" w:sz="0" w:space="0" w:color="auto"/>
          </w:divBdr>
        </w:div>
      </w:divsChild>
    </w:div>
    <w:div w:id="1965191190">
      <w:bodyDiv w:val="1"/>
      <w:marLeft w:val="0"/>
      <w:marRight w:val="0"/>
      <w:marTop w:val="0"/>
      <w:marBottom w:val="0"/>
      <w:divBdr>
        <w:top w:val="none" w:sz="0" w:space="0" w:color="auto"/>
        <w:left w:val="none" w:sz="0" w:space="0" w:color="auto"/>
        <w:bottom w:val="none" w:sz="0" w:space="0" w:color="auto"/>
        <w:right w:val="none" w:sz="0" w:space="0" w:color="auto"/>
      </w:divBdr>
    </w:div>
    <w:div w:id="1965576762">
      <w:bodyDiv w:val="1"/>
      <w:marLeft w:val="0"/>
      <w:marRight w:val="0"/>
      <w:marTop w:val="0"/>
      <w:marBottom w:val="0"/>
      <w:divBdr>
        <w:top w:val="none" w:sz="0" w:space="0" w:color="auto"/>
        <w:left w:val="none" w:sz="0" w:space="0" w:color="auto"/>
        <w:bottom w:val="none" w:sz="0" w:space="0" w:color="auto"/>
        <w:right w:val="none" w:sz="0" w:space="0" w:color="auto"/>
      </w:divBdr>
    </w:div>
    <w:div w:id="1969238069">
      <w:bodyDiv w:val="1"/>
      <w:marLeft w:val="0"/>
      <w:marRight w:val="0"/>
      <w:marTop w:val="0"/>
      <w:marBottom w:val="0"/>
      <w:divBdr>
        <w:top w:val="none" w:sz="0" w:space="0" w:color="auto"/>
        <w:left w:val="none" w:sz="0" w:space="0" w:color="auto"/>
        <w:bottom w:val="none" w:sz="0" w:space="0" w:color="auto"/>
        <w:right w:val="none" w:sz="0" w:space="0" w:color="auto"/>
      </w:divBdr>
    </w:div>
    <w:div w:id="1971084602">
      <w:bodyDiv w:val="1"/>
      <w:marLeft w:val="0"/>
      <w:marRight w:val="0"/>
      <w:marTop w:val="0"/>
      <w:marBottom w:val="0"/>
      <w:divBdr>
        <w:top w:val="none" w:sz="0" w:space="0" w:color="auto"/>
        <w:left w:val="none" w:sz="0" w:space="0" w:color="auto"/>
        <w:bottom w:val="none" w:sz="0" w:space="0" w:color="auto"/>
        <w:right w:val="none" w:sz="0" w:space="0" w:color="auto"/>
      </w:divBdr>
      <w:divsChild>
        <w:div w:id="96488129">
          <w:marLeft w:val="547"/>
          <w:marRight w:val="0"/>
          <w:marTop w:val="0"/>
          <w:marBottom w:val="0"/>
          <w:divBdr>
            <w:top w:val="none" w:sz="0" w:space="0" w:color="auto"/>
            <w:left w:val="none" w:sz="0" w:space="0" w:color="auto"/>
            <w:bottom w:val="none" w:sz="0" w:space="0" w:color="auto"/>
            <w:right w:val="none" w:sz="0" w:space="0" w:color="auto"/>
          </w:divBdr>
        </w:div>
      </w:divsChild>
    </w:div>
    <w:div w:id="1977026986">
      <w:bodyDiv w:val="1"/>
      <w:marLeft w:val="0"/>
      <w:marRight w:val="0"/>
      <w:marTop w:val="0"/>
      <w:marBottom w:val="0"/>
      <w:divBdr>
        <w:top w:val="none" w:sz="0" w:space="0" w:color="auto"/>
        <w:left w:val="none" w:sz="0" w:space="0" w:color="auto"/>
        <w:bottom w:val="none" w:sz="0" w:space="0" w:color="auto"/>
        <w:right w:val="none" w:sz="0" w:space="0" w:color="auto"/>
      </w:divBdr>
    </w:div>
    <w:div w:id="1983072133">
      <w:bodyDiv w:val="1"/>
      <w:marLeft w:val="0"/>
      <w:marRight w:val="0"/>
      <w:marTop w:val="0"/>
      <w:marBottom w:val="0"/>
      <w:divBdr>
        <w:top w:val="none" w:sz="0" w:space="0" w:color="auto"/>
        <w:left w:val="none" w:sz="0" w:space="0" w:color="auto"/>
        <w:bottom w:val="none" w:sz="0" w:space="0" w:color="auto"/>
        <w:right w:val="none" w:sz="0" w:space="0" w:color="auto"/>
      </w:divBdr>
      <w:divsChild>
        <w:div w:id="1463423978">
          <w:marLeft w:val="0"/>
          <w:marRight w:val="0"/>
          <w:marTop w:val="0"/>
          <w:marBottom w:val="0"/>
          <w:divBdr>
            <w:top w:val="none" w:sz="0" w:space="0" w:color="auto"/>
            <w:left w:val="none" w:sz="0" w:space="0" w:color="auto"/>
            <w:bottom w:val="none" w:sz="0" w:space="0" w:color="auto"/>
            <w:right w:val="none" w:sz="0" w:space="0" w:color="auto"/>
          </w:divBdr>
        </w:div>
        <w:div w:id="149491092">
          <w:marLeft w:val="0"/>
          <w:marRight w:val="0"/>
          <w:marTop w:val="0"/>
          <w:marBottom w:val="0"/>
          <w:divBdr>
            <w:top w:val="none" w:sz="0" w:space="0" w:color="auto"/>
            <w:left w:val="none" w:sz="0" w:space="0" w:color="auto"/>
            <w:bottom w:val="none" w:sz="0" w:space="0" w:color="auto"/>
            <w:right w:val="none" w:sz="0" w:space="0" w:color="auto"/>
          </w:divBdr>
        </w:div>
        <w:div w:id="1977947775">
          <w:marLeft w:val="0"/>
          <w:marRight w:val="0"/>
          <w:marTop w:val="0"/>
          <w:marBottom w:val="0"/>
          <w:divBdr>
            <w:top w:val="none" w:sz="0" w:space="0" w:color="auto"/>
            <w:left w:val="none" w:sz="0" w:space="0" w:color="auto"/>
            <w:bottom w:val="none" w:sz="0" w:space="0" w:color="auto"/>
            <w:right w:val="none" w:sz="0" w:space="0" w:color="auto"/>
          </w:divBdr>
        </w:div>
        <w:div w:id="311981858">
          <w:marLeft w:val="0"/>
          <w:marRight w:val="0"/>
          <w:marTop w:val="0"/>
          <w:marBottom w:val="0"/>
          <w:divBdr>
            <w:top w:val="none" w:sz="0" w:space="0" w:color="auto"/>
            <w:left w:val="none" w:sz="0" w:space="0" w:color="auto"/>
            <w:bottom w:val="none" w:sz="0" w:space="0" w:color="auto"/>
            <w:right w:val="none" w:sz="0" w:space="0" w:color="auto"/>
          </w:divBdr>
        </w:div>
        <w:div w:id="1976138457">
          <w:marLeft w:val="0"/>
          <w:marRight w:val="0"/>
          <w:marTop w:val="0"/>
          <w:marBottom w:val="0"/>
          <w:divBdr>
            <w:top w:val="none" w:sz="0" w:space="0" w:color="auto"/>
            <w:left w:val="none" w:sz="0" w:space="0" w:color="auto"/>
            <w:bottom w:val="none" w:sz="0" w:space="0" w:color="auto"/>
            <w:right w:val="none" w:sz="0" w:space="0" w:color="auto"/>
          </w:divBdr>
        </w:div>
      </w:divsChild>
    </w:div>
    <w:div w:id="1983656289">
      <w:bodyDiv w:val="1"/>
      <w:marLeft w:val="0"/>
      <w:marRight w:val="0"/>
      <w:marTop w:val="0"/>
      <w:marBottom w:val="0"/>
      <w:divBdr>
        <w:top w:val="none" w:sz="0" w:space="0" w:color="auto"/>
        <w:left w:val="none" w:sz="0" w:space="0" w:color="auto"/>
        <w:bottom w:val="none" w:sz="0" w:space="0" w:color="auto"/>
        <w:right w:val="none" w:sz="0" w:space="0" w:color="auto"/>
      </w:divBdr>
    </w:div>
    <w:div w:id="1993409276">
      <w:bodyDiv w:val="1"/>
      <w:marLeft w:val="0"/>
      <w:marRight w:val="0"/>
      <w:marTop w:val="0"/>
      <w:marBottom w:val="0"/>
      <w:divBdr>
        <w:top w:val="none" w:sz="0" w:space="0" w:color="auto"/>
        <w:left w:val="none" w:sz="0" w:space="0" w:color="auto"/>
        <w:bottom w:val="none" w:sz="0" w:space="0" w:color="auto"/>
        <w:right w:val="none" w:sz="0" w:space="0" w:color="auto"/>
      </w:divBdr>
    </w:div>
    <w:div w:id="1994337211">
      <w:bodyDiv w:val="1"/>
      <w:marLeft w:val="0"/>
      <w:marRight w:val="0"/>
      <w:marTop w:val="0"/>
      <w:marBottom w:val="0"/>
      <w:divBdr>
        <w:top w:val="none" w:sz="0" w:space="0" w:color="auto"/>
        <w:left w:val="none" w:sz="0" w:space="0" w:color="auto"/>
        <w:bottom w:val="none" w:sz="0" w:space="0" w:color="auto"/>
        <w:right w:val="none" w:sz="0" w:space="0" w:color="auto"/>
      </w:divBdr>
    </w:div>
    <w:div w:id="1996448736">
      <w:bodyDiv w:val="1"/>
      <w:marLeft w:val="0"/>
      <w:marRight w:val="0"/>
      <w:marTop w:val="0"/>
      <w:marBottom w:val="0"/>
      <w:divBdr>
        <w:top w:val="none" w:sz="0" w:space="0" w:color="auto"/>
        <w:left w:val="none" w:sz="0" w:space="0" w:color="auto"/>
        <w:bottom w:val="none" w:sz="0" w:space="0" w:color="auto"/>
        <w:right w:val="none" w:sz="0" w:space="0" w:color="auto"/>
      </w:divBdr>
      <w:divsChild>
        <w:div w:id="1089161992">
          <w:marLeft w:val="0"/>
          <w:marRight w:val="0"/>
          <w:marTop w:val="0"/>
          <w:marBottom w:val="0"/>
          <w:divBdr>
            <w:top w:val="none" w:sz="0" w:space="0" w:color="auto"/>
            <w:left w:val="none" w:sz="0" w:space="0" w:color="auto"/>
            <w:bottom w:val="none" w:sz="0" w:space="0" w:color="auto"/>
            <w:right w:val="none" w:sz="0" w:space="0" w:color="auto"/>
          </w:divBdr>
        </w:div>
      </w:divsChild>
    </w:div>
    <w:div w:id="1998414713">
      <w:bodyDiv w:val="1"/>
      <w:marLeft w:val="0"/>
      <w:marRight w:val="0"/>
      <w:marTop w:val="0"/>
      <w:marBottom w:val="0"/>
      <w:divBdr>
        <w:top w:val="none" w:sz="0" w:space="0" w:color="auto"/>
        <w:left w:val="none" w:sz="0" w:space="0" w:color="auto"/>
        <w:bottom w:val="none" w:sz="0" w:space="0" w:color="auto"/>
        <w:right w:val="none" w:sz="0" w:space="0" w:color="auto"/>
      </w:divBdr>
    </w:div>
    <w:div w:id="2004309305">
      <w:bodyDiv w:val="1"/>
      <w:marLeft w:val="0"/>
      <w:marRight w:val="0"/>
      <w:marTop w:val="0"/>
      <w:marBottom w:val="0"/>
      <w:divBdr>
        <w:top w:val="none" w:sz="0" w:space="0" w:color="auto"/>
        <w:left w:val="none" w:sz="0" w:space="0" w:color="auto"/>
        <w:bottom w:val="none" w:sz="0" w:space="0" w:color="auto"/>
        <w:right w:val="none" w:sz="0" w:space="0" w:color="auto"/>
      </w:divBdr>
    </w:div>
    <w:div w:id="2025551096">
      <w:bodyDiv w:val="1"/>
      <w:marLeft w:val="0"/>
      <w:marRight w:val="0"/>
      <w:marTop w:val="0"/>
      <w:marBottom w:val="0"/>
      <w:divBdr>
        <w:top w:val="none" w:sz="0" w:space="0" w:color="auto"/>
        <w:left w:val="none" w:sz="0" w:space="0" w:color="auto"/>
        <w:bottom w:val="none" w:sz="0" w:space="0" w:color="auto"/>
        <w:right w:val="none" w:sz="0" w:space="0" w:color="auto"/>
      </w:divBdr>
    </w:div>
    <w:div w:id="2030527889">
      <w:bodyDiv w:val="1"/>
      <w:marLeft w:val="0"/>
      <w:marRight w:val="0"/>
      <w:marTop w:val="0"/>
      <w:marBottom w:val="0"/>
      <w:divBdr>
        <w:top w:val="none" w:sz="0" w:space="0" w:color="auto"/>
        <w:left w:val="none" w:sz="0" w:space="0" w:color="auto"/>
        <w:bottom w:val="none" w:sz="0" w:space="0" w:color="auto"/>
        <w:right w:val="none" w:sz="0" w:space="0" w:color="auto"/>
      </w:divBdr>
      <w:divsChild>
        <w:div w:id="1238974111">
          <w:marLeft w:val="0"/>
          <w:marRight w:val="0"/>
          <w:marTop w:val="0"/>
          <w:marBottom w:val="0"/>
          <w:divBdr>
            <w:top w:val="none" w:sz="0" w:space="0" w:color="auto"/>
            <w:left w:val="none" w:sz="0" w:space="0" w:color="auto"/>
            <w:bottom w:val="none" w:sz="0" w:space="0" w:color="auto"/>
            <w:right w:val="none" w:sz="0" w:space="0" w:color="auto"/>
          </w:divBdr>
        </w:div>
      </w:divsChild>
    </w:div>
    <w:div w:id="2031368381">
      <w:bodyDiv w:val="1"/>
      <w:marLeft w:val="0"/>
      <w:marRight w:val="0"/>
      <w:marTop w:val="0"/>
      <w:marBottom w:val="0"/>
      <w:divBdr>
        <w:top w:val="none" w:sz="0" w:space="0" w:color="auto"/>
        <w:left w:val="none" w:sz="0" w:space="0" w:color="auto"/>
        <w:bottom w:val="none" w:sz="0" w:space="0" w:color="auto"/>
        <w:right w:val="none" w:sz="0" w:space="0" w:color="auto"/>
      </w:divBdr>
    </w:div>
    <w:div w:id="2040087085">
      <w:bodyDiv w:val="1"/>
      <w:marLeft w:val="0"/>
      <w:marRight w:val="0"/>
      <w:marTop w:val="0"/>
      <w:marBottom w:val="0"/>
      <w:divBdr>
        <w:top w:val="none" w:sz="0" w:space="0" w:color="auto"/>
        <w:left w:val="none" w:sz="0" w:space="0" w:color="auto"/>
        <w:bottom w:val="none" w:sz="0" w:space="0" w:color="auto"/>
        <w:right w:val="none" w:sz="0" w:space="0" w:color="auto"/>
      </w:divBdr>
    </w:div>
    <w:div w:id="2063359022">
      <w:bodyDiv w:val="1"/>
      <w:marLeft w:val="0"/>
      <w:marRight w:val="0"/>
      <w:marTop w:val="0"/>
      <w:marBottom w:val="0"/>
      <w:divBdr>
        <w:top w:val="none" w:sz="0" w:space="0" w:color="auto"/>
        <w:left w:val="none" w:sz="0" w:space="0" w:color="auto"/>
        <w:bottom w:val="none" w:sz="0" w:space="0" w:color="auto"/>
        <w:right w:val="none" w:sz="0" w:space="0" w:color="auto"/>
      </w:divBdr>
    </w:div>
    <w:div w:id="2070834194">
      <w:bodyDiv w:val="1"/>
      <w:marLeft w:val="0"/>
      <w:marRight w:val="0"/>
      <w:marTop w:val="0"/>
      <w:marBottom w:val="0"/>
      <w:divBdr>
        <w:top w:val="none" w:sz="0" w:space="0" w:color="auto"/>
        <w:left w:val="none" w:sz="0" w:space="0" w:color="auto"/>
        <w:bottom w:val="none" w:sz="0" w:space="0" w:color="auto"/>
        <w:right w:val="none" w:sz="0" w:space="0" w:color="auto"/>
      </w:divBdr>
    </w:div>
    <w:div w:id="2075466995">
      <w:bodyDiv w:val="1"/>
      <w:marLeft w:val="0"/>
      <w:marRight w:val="0"/>
      <w:marTop w:val="0"/>
      <w:marBottom w:val="0"/>
      <w:divBdr>
        <w:top w:val="none" w:sz="0" w:space="0" w:color="auto"/>
        <w:left w:val="none" w:sz="0" w:space="0" w:color="auto"/>
        <w:bottom w:val="none" w:sz="0" w:space="0" w:color="auto"/>
        <w:right w:val="none" w:sz="0" w:space="0" w:color="auto"/>
      </w:divBdr>
    </w:div>
    <w:div w:id="2080981552">
      <w:bodyDiv w:val="1"/>
      <w:marLeft w:val="0"/>
      <w:marRight w:val="0"/>
      <w:marTop w:val="0"/>
      <w:marBottom w:val="0"/>
      <w:divBdr>
        <w:top w:val="none" w:sz="0" w:space="0" w:color="auto"/>
        <w:left w:val="none" w:sz="0" w:space="0" w:color="auto"/>
        <w:bottom w:val="none" w:sz="0" w:space="0" w:color="auto"/>
        <w:right w:val="none" w:sz="0" w:space="0" w:color="auto"/>
      </w:divBdr>
    </w:div>
    <w:div w:id="2082943414">
      <w:bodyDiv w:val="1"/>
      <w:marLeft w:val="0"/>
      <w:marRight w:val="0"/>
      <w:marTop w:val="0"/>
      <w:marBottom w:val="0"/>
      <w:divBdr>
        <w:top w:val="none" w:sz="0" w:space="0" w:color="auto"/>
        <w:left w:val="none" w:sz="0" w:space="0" w:color="auto"/>
        <w:bottom w:val="none" w:sz="0" w:space="0" w:color="auto"/>
        <w:right w:val="none" w:sz="0" w:space="0" w:color="auto"/>
      </w:divBdr>
    </w:div>
    <w:div w:id="2089838211">
      <w:bodyDiv w:val="1"/>
      <w:marLeft w:val="0"/>
      <w:marRight w:val="0"/>
      <w:marTop w:val="0"/>
      <w:marBottom w:val="0"/>
      <w:divBdr>
        <w:top w:val="none" w:sz="0" w:space="0" w:color="auto"/>
        <w:left w:val="none" w:sz="0" w:space="0" w:color="auto"/>
        <w:bottom w:val="none" w:sz="0" w:space="0" w:color="auto"/>
        <w:right w:val="none" w:sz="0" w:space="0" w:color="auto"/>
      </w:divBdr>
    </w:div>
    <w:div w:id="2091464022">
      <w:bodyDiv w:val="1"/>
      <w:marLeft w:val="0"/>
      <w:marRight w:val="0"/>
      <w:marTop w:val="0"/>
      <w:marBottom w:val="0"/>
      <w:divBdr>
        <w:top w:val="none" w:sz="0" w:space="0" w:color="auto"/>
        <w:left w:val="none" w:sz="0" w:space="0" w:color="auto"/>
        <w:bottom w:val="none" w:sz="0" w:space="0" w:color="auto"/>
        <w:right w:val="none" w:sz="0" w:space="0" w:color="auto"/>
      </w:divBdr>
    </w:div>
    <w:div w:id="2094088830">
      <w:bodyDiv w:val="1"/>
      <w:marLeft w:val="0"/>
      <w:marRight w:val="0"/>
      <w:marTop w:val="0"/>
      <w:marBottom w:val="0"/>
      <w:divBdr>
        <w:top w:val="none" w:sz="0" w:space="0" w:color="auto"/>
        <w:left w:val="none" w:sz="0" w:space="0" w:color="auto"/>
        <w:bottom w:val="none" w:sz="0" w:space="0" w:color="auto"/>
        <w:right w:val="none" w:sz="0" w:space="0" w:color="auto"/>
      </w:divBdr>
    </w:div>
    <w:div w:id="2096241424">
      <w:bodyDiv w:val="1"/>
      <w:marLeft w:val="0"/>
      <w:marRight w:val="0"/>
      <w:marTop w:val="0"/>
      <w:marBottom w:val="0"/>
      <w:divBdr>
        <w:top w:val="none" w:sz="0" w:space="0" w:color="auto"/>
        <w:left w:val="none" w:sz="0" w:space="0" w:color="auto"/>
        <w:bottom w:val="none" w:sz="0" w:space="0" w:color="auto"/>
        <w:right w:val="none" w:sz="0" w:space="0" w:color="auto"/>
      </w:divBdr>
    </w:div>
    <w:div w:id="2102294538">
      <w:bodyDiv w:val="1"/>
      <w:marLeft w:val="0"/>
      <w:marRight w:val="0"/>
      <w:marTop w:val="0"/>
      <w:marBottom w:val="0"/>
      <w:divBdr>
        <w:top w:val="none" w:sz="0" w:space="0" w:color="auto"/>
        <w:left w:val="none" w:sz="0" w:space="0" w:color="auto"/>
        <w:bottom w:val="none" w:sz="0" w:space="0" w:color="auto"/>
        <w:right w:val="none" w:sz="0" w:space="0" w:color="auto"/>
      </w:divBdr>
    </w:div>
    <w:div w:id="2104959802">
      <w:bodyDiv w:val="1"/>
      <w:marLeft w:val="0"/>
      <w:marRight w:val="0"/>
      <w:marTop w:val="0"/>
      <w:marBottom w:val="0"/>
      <w:divBdr>
        <w:top w:val="none" w:sz="0" w:space="0" w:color="auto"/>
        <w:left w:val="none" w:sz="0" w:space="0" w:color="auto"/>
        <w:bottom w:val="none" w:sz="0" w:space="0" w:color="auto"/>
        <w:right w:val="none" w:sz="0" w:space="0" w:color="auto"/>
      </w:divBdr>
    </w:div>
    <w:div w:id="2106875843">
      <w:bodyDiv w:val="1"/>
      <w:marLeft w:val="0"/>
      <w:marRight w:val="0"/>
      <w:marTop w:val="0"/>
      <w:marBottom w:val="0"/>
      <w:divBdr>
        <w:top w:val="none" w:sz="0" w:space="0" w:color="auto"/>
        <w:left w:val="none" w:sz="0" w:space="0" w:color="auto"/>
        <w:bottom w:val="none" w:sz="0" w:space="0" w:color="auto"/>
        <w:right w:val="none" w:sz="0" w:space="0" w:color="auto"/>
      </w:divBdr>
      <w:divsChild>
        <w:div w:id="1047534514">
          <w:marLeft w:val="0"/>
          <w:marRight w:val="0"/>
          <w:marTop w:val="0"/>
          <w:marBottom w:val="0"/>
          <w:divBdr>
            <w:top w:val="none" w:sz="0" w:space="0" w:color="auto"/>
            <w:left w:val="none" w:sz="0" w:space="0" w:color="auto"/>
            <w:bottom w:val="none" w:sz="0" w:space="0" w:color="auto"/>
            <w:right w:val="none" w:sz="0" w:space="0" w:color="auto"/>
          </w:divBdr>
        </w:div>
      </w:divsChild>
    </w:div>
    <w:div w:id="2110656848">
      <w:bodyDiv w:val="1"/>
      <w:marLeft w:val="0"/>
      <w:marRight w:val="0"/>
      <w:marTop w:val="0"/>
      <w:marBottom w:val="0"/>
      <w:divBdr>
        <w:top w:val="none" w:sz="0" w:space="0" w:color="auto"/>
        <w:left w:val="none" w:sz="0" w:space="0" w:color="auto"/>
        <w:bottom w:val="none" w:sz="0" w:space="0" w:color="auto"/>
        <w:right w:val="none" w:sz="0" w:space="0" w:color="auto"/>
      </w:divBdr>
    </w:div>
    <w:div w:id="2115860624">
      <w:bodyDiv w:val="1"/>
      <w:marLeft w:val="0"/>
      <w:marRight w:val="0"/>
      <w:marTop w:val="0"/>
      <w:marBottom w:val="0"/>
      <w:divBdr>
        <w:top w:val="none" w:sz="0" w:space="0" w:color="auto"/>
        <w:left w:val="none" w:sz="0" w:space="0" w:color="auto"/>
        <w:bottom w:val="none" w:sz="0" w:space="0" w:color="auto"/>
        <w:right w:val="none" w:sz="0" w:space="0" w:color="auto"/>
      </w:divBdr>
    </w:div>
    <w:div w:id="2118789165">
      <w:bodyDiv w:val="1"/>
      <w:marLeft w:val="0"/>
      <w:marRight w:val="0"/>
      <w:marTop w:val="0"/>
      <w:marBottom w:val="0"/>
      <w:divBdr>
        <w:top w:val="none" w:sz="0" w:space="0" w:color="auto"/>
        <w:left w:val="none" w:sz="0" w:space="0" w:color="auto"/>
        <w:bottom w:val="none" w:sz="0" w:space="0" w:color="auto"/>
        <w:right w:val="none" w:sz="0" w:space="0" w:color="auto"/>
      </w:divBdr>
    </w:div>
    <w:div w:id="2121491109">
      <w:bodyDiv w:val="1"/>
      <w:marLeft w:val="0"/>
      <w:marRight w:val="0"/>
      <w:marTop w:val="0"/>
      <w:marBottom w:val="0"/>
      <w:divBdr>
        <w:top w:val="none" w:sz="0" w:space="0" w:color="auto"/>
        <w:left w:val="none" w:sz="0" w:space="0" w:color="auto"/>
        <w:bottom w:val="none" w:sz="0" w:space="0" w:color="auto"/>
        <w:right w:val="none" w:sz="0" w:space="0" w:color="auto"/>
      </w:divBdr>
    </w:div>
    <w:div w:id="2137017827">
      <w:bodyDiv w:val="1"/>
      <w:marLeft w:val="0"/>
      <w:marRight w:val="0"/>
      <w:marTop w:val="0"/>
      <w:marBottom w:val="0"/>
      <w:divBdr>
        <w:top w:val="none" w:sz="0" w:space="0" w:color="auto"/>
        <w:left w:val="none" w:sz="0" w:space="0" w:color="auto"/>
        <w:bottom w:val="none" w:sz="0" w:space="0" w:color="auto"/>
        <w:right w:val="none" w:sz="0" w:space="0" w:color="auto"/>
      </w:divBdr>
    </w:div>
    <w:div w:id="2140806390">
      <w:bodyDiv w:val="1"/>
      <w:marLeft w:val="0"/>
      <w:marRight w:val="0"/>
      <w:marTop w:val="0"/>
      <w:marBottom w:val="0"/>
      <w:divBdr>
        <w:top w:val="none" w:sz="0" w:space="0" w:color="auto"/>
        <w:left w:val="none" w:sz="0" w:space="0" w:color="auto"/>
        <w:bottom w:val="none" w:sz="0" w:space="0" w:color="auto"/>
        <w:right w:val="none" w:sz="0" w:space="0" w:color="auto"/>
      </w:divBdr>
    </w:div>
    <w:div w:id="2140831652">
      <w:bodyDiv w:val="1"/>
      <w:marLeft w:val="0"/>
      <w:marRight w:val="0"/>
      <w:marTop w:val="0"/>
      <w:marBottom w:val="0"/>
      <w:divBdr>
        <w:top w:val="none" w:sz="0" w:space="0" w:color="auto"/>
        <w:left w:val="none" w:sz="0" w:space="0" w:color="auto"/>
        <w:bottom w:val="none" w:sz="0" w:space="0" w:color="auto"/>
        <w:right w:val="none" w:sz="0" w:space="0" w:color="auto"/>
      </w:divBdr>
    </w:div>
    <w:div w:id="2142258276">
      <w:bodyDiv w:val="1"/>
      <w:marLeft w:val="0"/>
      <w:marRight w:val="0"/>
      <w:marTop w:val="0"/>
      <w:marBottom w:val="0"/>
      <w:divBdr>
        <w:top w:val="none" w:sz="0" w:space="0" w:color="auto"/>
        <w:left w:val="none" w:sz="0" w:space="0" w:color="auto"/>
        <w:bottom w:val="none" w:sz="0" w:space="0" w:color="auto"/>
        <w:right w:val="none" w:sz="0" w:space="0" w:color="auto"/>
      </w:divBdr>
    </w:div>
    <w:div w:id="2142988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vdu.lt/lt/krastovaizdzio-dizainas-rysi-su-gamta-jauciantiems-kurejams/" TargetMode="External"/><Relationship Id="rId2" Type="http://schemas.openxmlformats.org/officeDocument/2006/relationships/hyperlink" Target="https://sa.lt/zaliosios-didmiesciu-erdves-ne-tik-valo-ora-bet-ir-augina-busto-verte/" TargetMode="External"/><Relationship Id="rId1" Type="http://schemas.openxmlformats.org/officeDocument/2006/relationships/hyperlink" Target="https://www.delfi.lt/bustas/naujakuriai/nustebsite-suzinoje-koks-veiksnys-daro-itaka-jusu-namu-vertei-91013363" TargetMode="External"/><Relationship Id="rId4" Type="http://schemas.openxmlformats.org/officeDocument/2006/relationships/hyperlink" Target="https://darnugroup.lt/lt/naujiena/geras-butas-nebera-tik-but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ibulskyte\OneDrive%20-%20EIP\Documents\Pasirinktiniai%20&#8222;Office&#8220;%20&#353;ablonai\Eurointegracijos%20projektai%20&#353;ablona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0A20C1-6572-498D-9BD9-B9B469F6E08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lt-LT"/>
        </a:p>
      </dgm:t>
    </dgm:pt>
    <dgm:pt modelId="{EA303F80-DC4F-416F-9B62-7EF85B7C7FCA}">
      <dgm:prSet phldrT="[Text]" custT="1"/>
      <dgm:spPr/>
      <dgm:t>
        <a:bodyPr/>
        <a:lstStyle/>
        <a:p>
          <a:pPr algn="ctr"/>
          <a:r>
            <a:rPr lang="lt-LT" sz="1000">
              <a:latin typeface="Arial" panose="020B0604020202020204" pitchFamily="34" charset="0"/>
              <a:cs typeface="Arial" panose="020B0604020202020204" pitchFamily="34" charset="0"/>
            </a:rPr>
            <a:t>Problema</a:t>
          </a:r>
        </a:p>
      </dgm:t>
    </dgm:pt>
    <dgm:pt modelId="{175B7AD5-2CBE-4028-A544-92FB7E55BCC1}" type="parTrans" cxnId="{F827C026-1EB6-43B5-A7ED-CD43B1C4A9BC}">
      <dgm:prSet/>
      <dgm:spPr/>
      <dgm:t>
        <a:bodyPr/>
        <a:lstStyle/>
        <a:p>
          <a:pPr algn="ctr"/>
          <a:endParaRPr lang="lt-LT" sz="1050">
            <a:latin typeface="Arial" panose="020B0604020202020204" pitchFamily="34" charset="0"/>
            <a:cs typeface="Arial" panose="020B0604020202020204" pitchFamily="34" charset="0"/>
          </a:endParaRPr>
        </a:p>
      </dgm:t>
    </dgm:pt>
    <dgm:pt modelId="{05DA39DB-BC02-433D-B099-EB45466ACF3E}" type="sibTrans" cxnId="{F827C026-1EB6-43B5-A7ED-CD43B1C4A9BC}">
      <dgm:prSet/>
      <dgm:spPr/>
      <dgm:t>
        <a:bodyPr/>
        <a:lstStyle/>
        <a:p>
          <a:pPr algn="ctr"/>
          <a:endParaRPr lang="lt-LT" sz="1050">
            <a:latin typeface="Arial" panose="020B0604020202020204" pitchFamily="34" charset="0"/>
            <a:cs typeface="Arial" panose="020B0604020202020204" pitchFamily="34" charset="0"/>
          </a:endParaRPr>
        </a:p>
      </dgm:t>
    </dgm:pt>
    <dgm:pt modelId="{3CD4F853-33D9-444A-92C9-D269D3D20DBF}">
      <dgm:prSet phldrT="[Text]" custT="1"/>
      <dgm:spPr/>
      <dgm:t>
        <a:bodyPr/>
        <a:lstStyle/>
        <a:p>
          <a:pPr algn="l"/>
          <a:r>
            <a:rPr lang="lt-LT" sz="1000">
              <a:latin typeface="Arial" panose="020B0604020202020204" pitchFamily="34" charset="0"/>
              <a:cs typeface="Arial" panose="020B0604020202020204" pitchFamily="34" charset="0"/>
            </a:rPr>
            <a:t> Nepakankama viešųjų erdvių plėtra ir atnaujinimas Utenos miesto urbanizuotose teritorijose </a:t>
          </a:r>
          <a:endParaRPr lang="lt-LT" sz="1000">
            <a:solidFill>
              <a:srgbClr val="FF0000"/>
            </a:solidFill>
            <a:latin typeface="Arial" panose="020B0604020202020204" pitchFamily="34" charset="0"/>
            <a:cs typeface="Arial" panose="020B0604020202020204" pitchFamily="34" charset="0"/>
          </a:endParaRPr>
        </a:p>
      </dgm:t>
    </dgm:pt>
    <dgm:pt modelId="{8D0F66AB-8971-47C2-B811-BB82729702B7}" type="parTrans" cxnId="{0DE36800-252F-4C8B-90C6-512A9A2AB74E}">
      <dgm:prSet/>
      <dgm:spPr/>
      <dgm:t>
        <a:bodyPr/>
        <a:lstStyle/>
        <a:p>
          <a:pPr algn="ctr"/>
          <a:endParaRPr lang="lt-LT" sz="1050">
            <a:latin typeface="Arial" panose="020B0604020202020204" pitchFamily="34" charset="0"/>
            <a:cs typeface="Arial" panose="020B0604020202020204" pitchFamily="34" charset="0"/>
          </a:endParaRPr>
        </a:p>
      </dgm:t>
    </dgm:pt>
    <dgm:pt modelId="{68DE54F7-3E95-4828-9B80-74E7E00010FA}" type="sibTrans" cxnId="{0DE36800-252F-4C8B-90C6-512A9A2AB74E}">
      <dgm:prSet/>
      <dgm:spPr/>
      <dgm:t>
        <a:bodyPr/>
        <a:lstStyle/>
        <a:p>
          <a:pPr algn="ctr"/>
          <a:endParaRPr lang="lt-LT" sz="1050">
            <a:latin typeface="Arial" panose="020B0604020202020204" pitchFamily="34" charset="0"/>
            <a:cs typeface="Arial" panose="020B0604020202020204" pitchFamily="34" charset="0"/>
          </a:endParaRPr>
        </a:p>
      </dgm:t>
    </dgm:pt>
    <dgm:pt modelId="{68BE5496-5F1D-493C-8C1A-D465BB8F6267}">
      <dgm:prSet phldrT="[Text]" custT="1"/>
      <dgm:spPr/>
      <dgm:t>
        <a:bodyPr/>
        <a:lstStyle/>
        <a:p>
          <a:pPr algn="ctr"/>
          <a:r>
            <a:rPr lang="lt-LT" sz="1000">
              <a:latin typeface="Arial" panose="020B0604020202020204" pitchFamily="34" charset="0"/>
              <a:cs typeface="Arial" panose="020B0604020202020204" pitchFamily="34" charset="0"/>
            </a:rPr>
            <a:t>Tikslas</a:t>
          </a:r>
        </a:p>
      </dgm:t>
    </dgm:pt>
    <dgm:pt modelId="{6A790B69-6022-4A75-8E9A-D5482FFF1197}" type="parTrans" cxnId="{ED4ADF9A-E6C6-4E70-87D6-390342A1C902}">
      <dgm:prSet/>
      <dgm:spPr/>
      <dgm:t>
        <a:bodyPr/>
        <a:lstStyle/>
        <a:p>
          <a:pPr algn="ctr"/>
          <a:endParaRPr lang="lt-LT" sz="1050">
            <a:latin typeface="Arial" panose="020B0604020202020204" pitchFamily="34" charset="0"/>
            <a:cs typeface="Arial" panose="020B0604020202020204" pitchFamily="34" charset="0"/>
          </a:endParaRPr>
        </a:p>
      </dgm:t>
    </dgm:pt>
    <dgm:pt modelId="{AFB48F30-507F-48D1-AE7C-94425FEE6D21}" type="sibTrans" cxnId="{ED4ADF9A-E6C6-4E70-87D6-390342A1C902}">
      <dgm:prSet/>
      <dgm:spPr/>
      <dgm:t>
        <a:bodyPr/>
        <a:lstStyle/>
        <a:p>
          <a:pPr algn="ctr"/>
          <a:endParaRPr lang="lt-LT" sz="1050">
            <a:latin typeface="Arial" panose="020B0604020202020204" pitchFamily="34" charset="0"/>
            <a:cs typeface="Arial" panose="020B0604020202020204" pitchFamily="34" charset="0"/>
          </a:endParaRPr>
        </a:p>
      </dgm:t>
    </dgm:pt>
    <dgm:pt modelId="{5DE44518-EB0C-46FF-95B9-5C9348108C8C}">
      <dgm:prSet phldrT="[Text]" custT="1"/>
      <dgm:spPr/>
      <dgm:t>
        <a:bodyPr/>
        <a:lstStyle/>
        <a:p>
          <a:pPr algn="l"/>
          <a:r>
            <a:rPr lang="lt-LT" sz="1000">
              <a:solidFill>
                <a:sysClr val="windowText" lastClr="000000"/>
              </a:solidFill>
              <a:latin typeface="Arial" panose="020B0604020202020204" pitchFamily="34" charset="0"/>
              <a:cs typeface="Arial" panose="020B0604020202020204" pitchFamily="34" charset="0"/>
            </a:rPr>
            <a:t> G</a:t>
          </a:r>
          <a:r>
            <a:rPr lang="lt-LT" sz="1000">
              <a:latin typeface="Arial" panose="020B0604020202020204" pitchFamily="34" charset="0"/>
              <a:cs typeface="Arial" panose="020B0604020202020204" pitchFamily="34" charset="0"/>
            </a:rPr>
            <a:t>erinti gyvenamosios aplinkos kokybę urbanizuotoje Utenos miesto teritorijoje, didinant viešųjų erdvių patrauklumą, prieinamumą ir funkcionalumą</a:t>
          </a:r>
          <a:endParaRPr lang="lt-LT" sz="1000">
            <a:solidFill>
              <a:srgbClr val="FF0000"/>
            </a:solidFill>
            <a:latin typeface="Arial" panose="020B0604020202020204" pitchFamily="34" charset="0"/>
            <a:cs typeface="Arial" panose="020B0604020202020204" pitchFamily="34" charset="0"/>
          </a:endParaRPr>
        </a:p>
      </dgm:t>
    </dgm:pt>
    <dgm:pt modelId="{E2B933B7-F8E7-4FA5-AF4E-5B4AD1192175}" type="parTrans" cxnId="{A53D6848-B9E5-41D8-9840-3002E0DE8A1D}">
      <dgm:prSet/>
      <dgm:spPr/>
      <dgm:t>
        <a:bodyPr/>
        <a:lstStyle/>
        <a:p>
          <a:pPr algn="ctr"/>
          <a:endParaRPr lang="lt-LT" sz="1050">
            <a:latin typeface="Arial" panose="020B0604020202020204" pitchFamily="34" charset="0"/>
            <a:cs typeface="Arial" panose="020B0604020202020204" pitchFamily="34" charset="0"/>
          </a:endParaRPr>
        </a:p>
      </dgm:t>
    </dgm:pt>
    <dgm:pt modelId="{233B30B2-B90D-446C-95AA-D107F97BEAD4}" type="sibTrans" cxnId="{A53D6848-B9E5-41D8-9840-3002E0DE8A1D}">
      <dgm:prSet/>
      <dgm:spPr/>
      <dgm:t>
        <a:bodyPr/>
        <a:lstStyle/>
        <a:p>
          <a:pPr algn="ctr"/>
          <a:endParaRPr lang="lt-LT" sz="1050">
            <a:latin typeface="Arial" panose="020B0604020202020204" pitchFamily="34" charset="0"/>
            <a:cs typeface="Arial" panose="020B0604020202020204" pitchFamily="34" charset="0"/>
          </a:endParaRPr>
        </a:p>
      </dgm:t>
    </dgm:pt>
    <dgm:pt modelId="{23ED7A06-A0A2-4EE8-AAAD-EFABECE26C59}">
      <dgm:prSet phldrT="[Text]" custT="1"/>
      <dgm:spPr/>
      <dgm:t>
        <a:bodyPr/>
        <a:lstStyle/>
        <a:p>
          <a:pPr algn="ctr"/>
          <a:r>
            <a:rPr lang="lt-LT" sz="1000">
              <a:latin typeface="Arial" panose="020B0604020202020204" pitchFamily="34" charset="0"/>
              <a:cs typeface="Arial" panose="020B0604020202020204" pitchFamily="34" charset="0"/>
            </a:rPr>
            <a:t>Uždavinys</a:t>
          </a:r>
        </a:p>
      </dgm:t>
    </dgm:pt>
    <dgm:pt modelId="{31C0240A-89B2-44D5-B511-D992F5224363}" type="parTrans" cxnId="{E6E6EFFE-5C00-404C-B10B-4DAA6F7B6BC9}">
      <dgm:prSet/>
      <dgm:spPr/>
      <dgm:t>
        <a:bodyPr/>
        <a:lstStyle/>
        <a:p>
          <a:pPr algn="ctr"/>
          <a:endParaRPr lang="lt-LT" sz="1050">
            <a:latin typeface="Arial" panose="020B0604020202020204" pitchFamily="34" charset="0"/>
            <a:cs typeface="Arial" panose="020B0604020202020204" pitchFamily="34" charset="0"/>
          </a:endParaRPr>
        </a:p>
      </dgm:t>
    </dgm:pt>
    <dgm:pt modelId="{A1656797-CE03-47E4-93F6-663E4448274E}" type="sibTrans" cxnId="{E6E6EFFE-5C00-404C-B10B-4DAA6F7B6BC9}">
      <dgm:prSet/>
      <dgm:spPr/>
      <dgm:t>
        <a:bodyPr/>
        <a:lstStyle/>
        <a:p>
          <a:pPr algn="ctr"/>
          <a:endParaRPr lang="lt-LT" sz="1050">
            <a:latin typeface="Arial" panose="020B0604020202020204" pitchFamily="34" charset="0"/>
            <a:cs typeface="Arial" panose="020B0604020202020204" pitchFamily="34" charset="0"/>
          </a:endParaRPr>
        </a:p>
      </dgm:t>
    </dgm:pt>
    <dgm:pt modelId="{F6D74C2F-2121-4998-ADD7-E062F5991072}">
      <dgm:prSet phldrT="[Text]" custT="1"/>
      <dgm:spPr/>
      <dgm:t>
        <a:bodyPr/>
        <a:lstStyle/>
        <a:p>
          <a:pPr algn="l"/>
          <a:r>
            <a:rPr lang="lt-LT" sz="1000">
              <a:latin typeface="Arial" panose="020B0604020202020204" pitchFamily="34" charset="0"/>
              <a:cs typeface="Arial" panose="020B0604020202020204" pitchFamily="34" charset="0"/>
            </a:rPr>
            <a:t> Atgaivinti ir modernizuoti Aukštakalnio daugiabučių namų mikrorajono teritoriją (apribotą Aukštakalnio g., Taikos g., Kupiškio g. ir Vyžuonos parku), įgyvendinant universalaus dizaino principais grindžiamus sprendimus </a:t>
          </a:r>
          <a:endParaRPr lang="lt-LT" sz="1000">
            <a:solidFill>
              <a:srgbClr val="FF0000"/>
            </a:solidFill>
            <a:latin typeface="Arial" panose="020B0604020202020204" pitchFamily="34" charset="0"/>
            <a:cs typeface="Arial" panose="020B0604020202020204" pitchFamily="34" charset="0"/>
          </a:endParaRPr>
        </a:p>
      </dgm:t>
    </dgm:pt>
    <dgm:pt modelId="{B54CFFFF-9ADA-4616-8E11-E459EFC03CEA}" type="parTrans" cxnId="{77D7BF1D-D292-4AC4-AD0E-2DF2CE8231A7}">
      <dgm:prSet/>
      <dgm:spPr/>
      <dgm:t>
        <a:bodyPr/>
        <a:lstStyle/>
        <a:p>
          <a:pPr algn="ctr"/>
          <a:endParaRPr lang="lt-LT" sz="1050">
            <a:latin typeface="Arial" panose="020B0604020202020204" pitchFamily="34" charset="0"/>
            <a:cs typeface="Arial" panose="020B0604020202020204" pitchFamily="34" charset="0"/>
          </a:endParaRPr>
        </a:p>
      </dgm:t>
    </dgm:pt>
    <dgm:pt modelId="{576D2D7A-30F8-458D-9A1D-1A7438F6BEB6}" type="sibTrans" cxnId="{77D7BF1D-D292-4AC4-AD0E-2DF2CE8231A7}">
      <dgm:prSet/>
      <dgm:spPr/>
      <dgm:t>
        <a:bodyPr/>
        <a:lstStyle/>
        <a:p>
          <a:pPr algn="ctr"/>
          <a:endParaRPr lang="lt-LT" sz="1050">
            <a:latin typeface="Arial" panose="020B0604020202020204" pitchFamily="34" charset="0"/>
            <a:cs typeface="Arial" panose="020B0604020202020204" pitchFamily="34" charset="0"/>
          </a:endParaRPr>
        </a:p>
      </dgm:t>
    </dgm:pt>
    <dgm:pt modelId="{55360E43-C279-46E6-9C79-E9ADAC802CE6}">
      <dgm:prSet custT="1"/>
      <dgm:spPr/>
      <dgm:t>
        <a:bodyPr/>
        <a:lstStyle/>
        <a:p>
          <a:pPr algn="ctr"/>
          <a:r>
            <a:rPr lang="lt-LT" sz="1000">
              <a:latin typeface="Arial" panose="020B0604020202020204" pitchFamily="34" charset="0"/>
              <a:cs typeface="Arial" panose="020B0604020202020204" pitchFamily="34" charset="0"/>
            </a:rPr>
            <a:t>Siekiami rezultatai</a:t>
          </a:r>
        </a:p>
      </dgm:t>
    </dgm:pt>
    <dgm:pt modelId="{9CC315AD-2723-4B59-A256-ECE10DCEC9B9}" type="parTrans" cxnId="{7B9FD6F2-9F0C-4346-A475-ACB179C232F3}">
      <dgm:prSet/>
      <dgm:spPr/>
      <dgm:t>
        <a:bodyPr/>
        <a:lstStyle/>
        <a:p>
          <a:pPr algn="ctr"/>
          <a:endParaRPr lang="lt-LT" sz="1050">
            <a:latin typeface="Arial" panose="020B0604020202020204" pitchFamily="34" charset="0"/>
            <a:cs typeface="Arial" panose="020B0604020202020204" pitchFamily="34" charset="0"/>
          </a:endParaRPr>
        </a:p>
      </dgm:t>
    </dgm:pt>
    <dgm:pt modelId="{C0F0B19D-BB51-4111-8B17-F4D0BBA12CA1}" type="sibTrans" cxnId="{7B9FD6F2-9F0C-4346-A475-ACB179C232F3}">
      <dgm:prSet/>
      <dgm:spPr/>
      <dgm:t>
        <a:bodyPr/>
        <a:lstStyle/>
        <a:p>
          <a:pPr algn="ctr"/>
          <a:endParaRPr lang="lt-LT" sz="1050">
            <a:latin typeface="Arial" panose="020B0604020202020204" pitchFamily="34" charset="0"/>
            <a:cs typeface="Arial" panose="020B0604020202020204" pitchFamily="34" charset="0"/>
          </a:endParaRPr>
        </a:p>
      </dgm:t>
    </dgm:pt>
    <dgm:pt modelId="{E1C1022D-E237-41E8-9409-D058D60D99BD}">
      <dgm:prSet custT="1"/>
      <dgm:spPr/>
      <dgm:t>
        <a:bodyPr/>
        <a:lstStyle/>
        <a:p>
          <a:pPr algn="l"/>
          <a:r>
            <a:rPr lang="lt-LT" sz="1000">
              <a:solidFill>
                <a:sysClr val="windowText" lastClr="000000"/>
              </a:solidFill>
              <a:latin typeface="Arial" panose="020B0604020202020204" pitchFamily="34" charset="0"/>
              <a:cs typeface="Arial" panose="020B0604020202020204" pitchFamily="34" charset="0"/>
            </a:rPr>
            <a:t> </a:t>
          </a:r>
          <a:r>
            <a:rPr lang="lt-LT" sz="1000" b="0" i="0">
              <a:solidFill>
                <a:sysClr val="windowText" lastClr="000000"/>
              </a:solidFill>
              <a:latin typeface="Arial" panose="020B0604020202020204" pitchFamily="34" charset="0"/>
              <a:cs typeface="Arial" panose="020B0604020202020204" pitchFamily="34" charset="0"/>
            </a:rPr>
            <a:t>Atviros erdvės, sukurtos arba atkurtos miestų teritorijose - 119 051 m</a:t>
          </a:r>
          <a:r>
            <a:rPr lang="lt-LT" sz="1000" b="0" i="0" baseline="30000">
              <a:solidFill>
                <a:sysClr val="windowText" lastClr="000000"/>
              </a:solidFill>
              <a:latin typeface="Arial" panose="020B0604020202020204" pitchFamily="34" charset="0"/>
              <a:cs typeface="Arial" panose="020B0604020202020204" pitchFamily="34" charset="0"/>
            </a:rPr>
            <a:t>2</a:t>
          </a:r>
          <a:endParaRPr lang="lt-LT" sz="1000">
            <a:solidFill>
              <a:sysClr val="windowText" lastClr="000000"/>
            </a:solidFill>
            <a:latin typeface="Arial" panose="020B0604020202020204" pitchFamily="34" charset="0"/>
            <a:cs typeface="Arial" panose="020B0604020202020204" pitchFamily="34" charset="0"/>
          </a:endParaRPr>
        </a:p>
      </dgm:t>
    </dgm:pt>
    <dgm:pt modelId="{9FCCE1E4-CB80-41AD-B6A7-977977DA2C7F}" type="sibTrans" cxnId="{D5AEBD74-A86C-4098-A54B-7033EA7B39BC}">
      <dgm:prSet/>
      <dgm:spPr/>
      <dgm:t>
        <a:bodyPr/>
        <a:lstStyle/>
        <a:p>
          <a:pPr algn="ctr"/>
          <a:endParaRPr lang="lt-LT" sz="1050">
            <a:latin typeface="Arial" panose="020B0604020202020204" pitchFamily="34" charset="0"/>
            <a:cs typeface="Arial" panose="020B0604020202020204" pitchFamily="34" charset="0"/>
          </a:endParaRPr>
        </a:p>
      </dgm:t>
    </dgm:pt>
    <dgm:pt modelId="{E86B3295-FB19-4011-9182-E9B52210EA1C}" type="parTrans" cxnId="{D5AEBD74-A86C-4098-A54B-7033EA7B39BC}">
      <dgm:prSet/>
      <dgm:spPr/>
      <dgm:t>
        <a:bodyPr/>
        <a:lstStyle/>
        <a:p>
          <a:pPr algn="ctr"/>
          <a:endParaRPr lang="lt-LT" sz="1050">
            <a:latin typeface="Arial" panose="020B0604020202020204" pitchFamily="34" charset="0"/>
            <a:cs typeface="Arial" panose="020B0604020202020204" pitchFamily="34" charset="0"/>
          </a:endParaRPr>
        </a:p>
      </dgm:t>
    </dgm:pt>
    <dgm:pt modelId="{4B88ED7E-FB47-4AFD-A986-402C496F0163}">
      <dgm:prSet custT="1"/>
      <dgm:spPr/>
      <dgm:t>
        <a:bodyPr/>
        <a:lstStyle/>
        <a:p>
          <a:pPr algn="l"/>
          <a:r>
            <a:rPr lang="lt-LT" sz="1000">
              <a:solidFill>
                <a:sysClr val="windowText" lastClr="000000"/>
              </a:solidFill>
              <a:latin typeface="Arial" panose="020B0604020202020204" pitchFamily="34" charset="0"/>
              <a:cs typeface="Arial" panose="020B0604020202020204" pitchFamily="34" charset="0"/>
            </a:rPr>
            <a:t> </a:t>
          </a:r>
          <a:r>
            <a:rPr lang="lt-LT" sz="1000">
              <a:latin typeface="Arial" panose="020B0604020202020204" pitchFamily="34" charset="0"/>
              <a:cs typeface="Arial" panose="020B0604020202020204" pitchFamily="34" charset="0"/>
            </a:rPr>
            <a:t>Rekultivuota žemė, naudojama žaliesiems plotams, socialiniams būstams, ekonominei arba kitai paskirčiai </a:t>
          </a:r>
          <a:r>
            <a:rPr lang="lt-LT" sz="1000" b="0" i="0">
              <a:solidFill>
                <a:sysClr val="windowText" lastClr="000000"/>
              </a:solidFill>
              <a:latin typeface="Arial" panose="020B0604020202020204" pitchFamily="34" charset="0"/>
              <a:cs typeface="Arial" panose="020B0604020202020204" pitchFamily="34" charset="0"/>
            </a:rPr>
            <a:t> - 11,9 ha</a:t>
          </a:r>
          <a:endParaRPr lang="lt-LT" sz="1000">
            <a:solidFill>
              <a:sysClr val="windowText" lastClr="000000"/>
            </a:solidFill>
            <a:latin typeface="Arial" panose="020B0604020202020204" pitchFamily="34" charset="0"/>
            <a:cs typeface="Arial" panose="020B0604020202020204" pitchFamily="34" charset="0"/>
          </a:endParaRPr>
        </a:p>
      </dgm:t>
    </dgm:pt>
    <dgm:pt modelId="{D0E3A239-119F-4A00-88A5-072E06C7EC22}" type="sibTrans" cxnId="{E43B6F9D-2C9F-4793-8425-7DBEDC520ABC}">
      <dgm:prSet/>
      <dgm:spPr/>
      <dgm:t>
        <a:bodyPr/>
        <a:lstStyle/>
        <a:p>
          <a:pPr algn="ctr"/>
          <a:endParaRPr lang="lt-LT"/>
        </a:p>
      </dgm:t>
    </dgm:pt>
    <dgm:pt modelId="{4CCC6F27-54AC-4D5F-9CBD-B99569EA034D}" type="parTrans" cxnId="{E43B6F9D-2C9F-4793-8425-7DBEDC520ABC}">
      <dgm:prSet/>
      <dgm:spPr/>
      <dgm:t>
        <a:bodyPr/>
        <a:lstStyle/>
        <a:p>
          <a:pPr algn="ctr"/>
          <a:endParaRPr lang="lt-LT"/>
        </a:p>
      </dgm:t>
    </dgm:pt>
    <dgm:pt modelId="{8DA435E7-73BA-46F9-8D67-63B9F9F4E31A}">
      <dgm:prSet custT="1"/>
      <dgm:spPr/>
      <dgm:t>
        <a:bodyPr/>
        <a:lstStyle/>
        <a:p>
          <a:pPr algn="l"/>
          <a:r>
            <a:rPr lang="lt-LT" sz="1000" b="0" i="0">
              <a:solidFill>
                <a:sysClr val="windowText" lastClr="000000"/>
              </a:solidFill>
              <a:latin typeface="Arial" panose="020B0604020202020204" pitchFamily="34" charset="0"/>
              <a:cs typeface="Arial" panose="020B0604020202020204" pitchFamily="34" charset="0"/>
            </a:rPr>
            <a:t> Integruoti teritorinio vystymo projektai - 1 projektas</a:t>
          </a:r>
          <a:endParaRPr lang="lt-LT" sz="1000">
            <a:solidFill>
              <a:sysClr val="windowText" lastClr="000000"/>
            </a:solidFill>
            <a:latin typeface="Arial" panose="020B0604020202020204" pitchFamily="34" charset="0"/>
            <a:cs typeface="Arial" panose="020B0604020202020204" pitchFamily="34" charset="0"/>
          </a:endParaRPr>
        </a:p>
      </dgm:t>
    </dgm:pt>
    <dgm:pt modelId="{489C7CA5-009E-42FC-ADA5-5D9E5B08024F}" type="parTrans" cxnId="{DB192677-D676-4B9C-94BC-99B2302DE4A7}">
      <dgm:prSet/>
      <dgm:spPr/>
      <dgm:t>
        <a:bodyPr/>
        <a:lstStyle/>
        <a:p>
          <a:endParaRPr lang="lt-LT"/>
        </a:p>
      </dgm:t>
    </dgm:pt>
    <dgm:pt modelId="{1C27D053-05A2-4FBB-BD2E-CF68F9C980EB}" type="sibTrans" cxnId="{DB192677-D676-4B9C-94BC-99B2302DE4A7}">
      <dgm:prSet/>
      <dgm:spPr/>
      <dgm:t>
        <a:bodyPr/>
        <a:lstStyle/>
        <a:p>
          <a:endParaRPr lang="lt-LT"/>
        </a:p>
      </dgm:t>
    </dgm:pt>
    <dgm:pt modelId="{B0AD132A-BCA2-4EFE-A582-6F45D4C50BBE}" type="pres">
      <dgm:prSet presAssocID="{470A20C1-6572-498D-9BD9-B9B469F6E08F}" presName="linearFlow" presStyleCnt="0">
        <dgm:presLayoutVars>
          <dgm:dir/>
          <dgm:animLvl val="lvl"/>
          <dgm:resizeHandles val="exact"/>
        </dgm:presLayoutVars>
      </dgm:prSet>
      <dgm:spPr/>
    </dgm:pt>
    <dgm:pt modelId="{446FCDAD-C16B-41C6-8C5D-12D8EBCC027B}" type="pres">
      <dgm:prSet presAssocID="{EA303F80-DC4F-416F-9B62-7EF85B7C7FCA}" presName="composite" presStyleCnt="0"/>
      <dgm:spPr/>
    </dgm:pt>
    <dgm:pt modelId="{21B6DFDB-CB3A-40A3-8330-DCFB2DD6D334}" type="pres">
      <dgm:prSet presAssocID="{EA303F80-DC4F-416F-9B62-7EF85B7C7FCA}" presName="parentText" presStyleLbl="alignNode1" presStyleIdx="0" presStyleCnt="4">
        <dgm:presLayoutVars>
          <dgm:chMax val="1"/>
          <dgm:bulletEnabled val="1"/>
        </dgm:presLayoutVars>
      </dgm:prSet>
      <dgm:spPr/>
    </dgm:pt>
    <dgm:pt modelId="{C145ED30-AE80-4FD0-873B-F8D11489704B}" type="pres">
      <dgm:prSet presAssocID="{EA303F80-DC4F-416F-9B62-7EF85B7C7FCA}" presName="descendantText" presStyleLbl="alignAcc1" presStyleIdx="0" presStyleCnt="4">
        <dgm:presLayoutVars>
          <dgm:bulletEnabled val="1"/>
        </dgm:presLayoutVars>
      </dgm:prSet>
      <dgm:spPr/>
    </dgm:pt>
    <dgm:pt modelId="{BACA1F3B-EE6E-47D4-86DB-2FA996132894}" type="pres">
      <dgm:prSet presAssocID="{05DA39DB-BC02-433D-B099-EB45466ACF3E}" presName="sp" presStyleCnt="0"/>
      <dgm:spPr/>
    </dgm:pt>
    <dgm:pt modelId="{F6E2F026-C4A9-427D-864B-94DD20DC7E3B}" type="pres">
      <dgm:prSet presAssocID="{68BE5496-5F1D-493C-8C1A-D465BB8F6267}" presName="composite" presStyleCnt="0"/>
      <dgm:spPr/>
    </dgm:pt>
    <dgm:pt modelId="{6403BF07-C8ED-424C-85DF-B0490188DDC4}" type="pres">
      <dgm:prSet presAssocID="{68BE5496-5F1D-493C-8C1A-D465BB8F6267}" presName="parentText" presStyleLbl="alignNode1" presStyleIdx="1" presStyleCnt="4">
        <dgm:presLayoutVars>
          <dgm:chMax val="1"/>
          <dgm:bulletEnabled val="1"/>
        </dgm:presLayoutVars>
      </dgm:prSet>
      <dgm:spPr/>
    </dgm:pt>
    <dgm:pt modelId="{E8E3F587-D0A4-42A1-8594-0BA549108E14}" type="pres">
      <dgm:prSet presAssocID="{68BE5496-5F1D-493C-8C1A-D465BB8F6267}" presName="descendantText" presStyleLbl="alignAcc1" presStyleIdx="1" presStyleCnt="4">
        <dgm:presLayoutVars>
          <dgm:bulletEnabled val="1"/>
        </dgm:presLayoutVars>
      </dgm:prSet>
      <dgm:spPr/>
    </dgm:pt>
    <dgm:pt modelId="{88EC79B5-6F18-4433-83E0-4F1CA7C95272}" type="pres">
      <dgm:prSet presAssocID="{AFB48F30-507F-48D1-AE7C-94425FEE6D21}" presName="sp" presStyleCnt="0"/>
      <dgm:spPr/>
    </dgm:pt>
    <dgm:pt modelId="{994D6EAB-7734-43E1-9F05-FB73432E4DEF}" type="pres">
      <dgm:prSet presAssocID="{23ED7A06-A0A2-4EE8-AAAD-EFABECE26C59}" presName="composite" presStyleCnt="0"/>
      <dgm:spPr/>
    </dgm:pt>
    <dgm:pt modelId="{4D173A69-2BCF-41F9-B5BD-19A76B8BFF70}" type="pres">
      <dgm:prSet presAssocID="{23ED7A06-A0A2-4EE8-AAAD-EFABECE26C59}" presName="parentText" presStyleLbl="alignNode1" presStyleIdx="2" presStyleCnt="4">
        <dgm:presLayoutVars>
          <dgm:chMax val="1"/>
          <dgm:bulletEnabled val="1"/>
        </dgm:presLayoutVars>
      </dgm:prSet>
      <dgm:spPr/>
    </dgm:pt>
    <dgm:pt modelId="{B434B918-BFE7-4372-A428-C5652954A0FF}" type="pres">
      <dgm:prSet presAssocID="{23ED7A06-A0A2-4EE8-AAAD-EFABECE26C59}" presName="descendantText" presStyleLbl="alignAcc1" presStyleIdx="2" presStyleCnt="4">
        <dgm:presLayoutVars>
          <dgm:bulletEnabled val="1"/>
        </dgm:presLayoutVars>
      </dgm:prSet>
      <dgm:spPr/>
    </dgm:pt>
    <dgm:pt modelId="{FD275B54-7DBA-468A-87F8-BE80AC3CBB08}" type="pres">
      <dgm:prSet presAssocID="{A1656797-CE03-47E4-93F6-663E4448274E}" presName="sp" presStyleCnt="0"/>
      <dgm:spPr/>
    </dgm:pt>
    <dgm:pt modelId="{F9C8F77B-476C-4CD6-B70A-1CFE93D817D8}" type="pres">
      <dgm:prSet presAssocID="{55360E43-C279-46E6-9C79-E9ADAC802CE6}" presName="composite" presStyleCnt="0"/>
      <dgm:spPr/>
    </dgm:pt>
    <dgm:pt modelId="{BC2E7518-424C-4062-9C45-1D7CEB96902A}" type="pres">
      <dgm:prSet presAssocID="{55360E43-C279-46E6-9C79-E9ADAC802CE6}" presName="parentText" presStyleLbl="alignNode1" presStyleIdx="3" presStyleCnt="4">
        <dgm:presLayoutVars>
          <dgm:chMax val="1"/>
          <dgm:bulletEnabled val="1"/>
        </dgm:presLayoutVars>
      </dgm:prSet>
      <dgm:spPr/>
    </dgm:pt>
    <dgm:pt modelId="{1A44C857-8D1F-42FF-B123-ABAE4C2790A7}" type="pres">
      <dgm:prSet presAssocID="{55360E43-C279-46E6-9C79-E9ADAC802CE6}" presName="descendantText" presStyleLbl="alignAcc1" presStyleIdx="3" presStyleCnt="4">
        <dgm:presLayoutVars>
          <dgm:bulletEnabled val="1"/>
        </dgm:presLayoutVars>
      </dgm:prSet>
      <dgm:spPr/>
    </dgm:pt>
  </dgm:ptLst>
  <dgm:cxnLst>
    <dgm:cxn modelId="{0DE36800-252F-4C8B-90C6-512A9A2AB74E}" srcId="{EA303F80-DC4F-416F-9B62-7EF85B7C7FCA}" destId="{3CD4F853-33D9-444A-92C9-D269D3D20DBF}" srcOrd="0" destOrd="0" parTransId="{8D0F66AB-8971-47C2-B811-BB82729702B7}" sibTransId="{68DE54F7-3E95-4828-9B80-74E7E00010FA}"/>
    <dgm:cxn modelId="{40AB3B16-E685-464D-89FB-C633B8833FDF}" type="presOf" srcId="{4B88ED7E-FB47-4AFD-A986-402C496F0163}" destId="{1A44C857-8D1F-42FF-B123-ABAE4C2790A7}" srcOrd="0" destOrd="2" presId="urn:microsoft.com/office/officeart/2005/8/layout/chevron2"/>
    <dgm:cxn modelId="{77D7BF1D-D292-4AC4-AD0E-2DF2CE8231A7}" srcId="{23ED7A06-A0A2-4EE8-AAAD-EFABECE26C59}" destId="{F6D74C2F-2121-4998-ADD7-E062F5991072}" srcOrd="0" destOrd="0" parTransId="{B54CFFFF-9ADA-4616-8E11-E459EFC03CEA}" sibTransId="{576D2D7A-30F8-458D-9A1D-1A7438F6BEB6}"/>
    <dgm:cxn modelId="{B227B526-70F7-4825-8AE6-6518BCB4FD27}" type="presOf" srcId="{EA303F80-DC4F-416F-9B62-7EF85B7C7FCA}" destId="{21B6DFDB-CB3A-40A3-8330-DCFB2DD6D334}" srcOrd="0" destOrd="0" presId="urn:microsoft.com/office/officeart/2005/8/layout/chevron2"/>
    <dgm:cxn modelId="{F827C026-1EB6-43B5-A7ED-CD43B1C4A9BC}" srcId="{470A20C1-6572-498D-9BD9-B9B469F6E08F}" destId="{EA303F80-DC4F-416F-9B62-7EF85B7C7FCA}" srcOrd="0" destOrd="0" parTransId="{175B7AD5-2CBE-4028-A544-92FB7E55BCC1}" sibTransId="{05DA39DB-BC02-433D-B099-EB45466ACF3E}"/>
    <dgm:cxn modelId="{F07C362F-923A-4480-B318-F11906062DCE}" type="presOf" srcId="{55360E43-C279-46E6-9C79-E9ADAC802CE6}" destId="{BC2E7518-424C-4062-9C45-1D7CEB96902A}" srcOrd="0" destOrd="0" presId="urn:microsoft.com/office/officeart/2005/8/layout/chevron2"/>
    <dgm:cxn modelId="{86BB9067-2C5C-4B5F-97C3-669100902E91}" type="presOf" srcId="{F6D74C2F-2121-4998-ADD7-E062F5991072}" destId="{B434B918-BFE7-4372-A428-C5652954A0FF}" srcOrd="0" destOrd="0" presId="urn:microsoft.com/office/officeart/2005/8/layout/chevron2"/>
    <dgm:cxn modelId="{A53D6848-B9E5-41D8-9840-3002E0DE8A1D}" srcId="{68BE5496-5F1D-493C-8C1A-D465BB8F6267}" destId="{5DE44518-EB0C-46FF-95B9-5C9348108C8C}" srcOrd="0" destOrd="0" parTransId="{E2B933B7-F8E7-4FA5-AF4E-5B4AD1192175}" sibTransId="{233B30B2-B90D-446C-95AA-D107F97BEAD4}"/>
    <dgm:cxn modelId="{2B9D606B-0CBD-48F3-B17F-0A5C67251D1C}" type="presOf" srcId="{3CD4F853-33D9-444A-92C9-D269D3D20DBF}" destId="{C145ED30-AE80-4FD0-873B-F8D11489704B}" srcOrd="0" destOrd="0" presId="urn:microsoft.com/office/officeart/2005/8/layout/chevron2"/>
    <dgm:cxn modelId="{D5AEBD74-A86C-4098-A54B-7033EA7B39BC}" srcId="{55360E43-C279-46E6-9C79-E9ADAC802CE6}" destId="{E1C1022D-E237-41E8-9409-D058D60D99BD}" srcOrd="0" destOrd="0" parTransId="{E86B3295-FB19-4011-9182-E9B52210EA1C}" sibTransId="{9FCCE1E4-CB80-41AD-B6A7-977977DA2C7F}"/>
    <dgm:cxn modelId="{DB192677-D676-4B9C-94BC-99B2302DE4A7}" srcId="{55360E43-C279-46E6-9C79-E9ADAC802CE6}" destId="{8DA435E7-73BA-46F9-8D67-63B9F9F4E31A}" srcOrd="1" destOrd="0" parTransId="{489C7CA5-009E-42FC-ADA5-5D9E5B08024F}" sibTransId="{1C27D053-05A2-4FBB-BD2E-CF68F9C980EB}"/>
    <dgm:cxn modelId="{949DA882-7199-48C5-9FE9-03DB24B07044}" type="presOf" srcId="{E1C1022D-E237-41E8-9409-D058D60D99BD}" destId="{1A44C857-8D1F-42FF-B123-ABAE4C2790A7}" srcOrd="0" destOrd="0" presId="urn:microsoft.com/office/officeart/2005/8/layout/chevron2"/>
    <dgm:cxn modelId="{63296F88-8F98-473B-9F21-827AE53D9941}" type="presOf" srcId="{23ED7A06-A0A2-4EE8-AAAD-EFABECE26C59}" destId="{4D173A69-2BCF-41F9-B5BD-19A76B8BFF70}" srcOrd="0" destOrd="0" presId="urn:microsoft.com/office/officeart/2005/8/layout/chevron2"/>
    <dgm:cxn modelId="{ED4ADF9A-E6C6-4E70-87D6-390342A1C902}" srcId="{470A20C1-6572-498D-9BD9-B9B469F6E08F}" destId="{68BE5496-5F1D-493C-8C1A-D465BB8F6267}" srcOrd="1" destOrd="0" parTransId="{6A790B69-6022-4A75-8E9A-D5482FFF1197}" sibTransId="{AFB48F30-507F-48D1-AE7C-94425FEE6D21}"/>
    <dgm:cxn modelId="{E43B6F9D-2C9F-4793-8425-7DBEDC520ABC}" srcId="{55360E43-C279-46E6-9C79-E9ADAC802CE6}" destId="{4B88ED7E-FB47-4AFD-A986-402C496F0163}" srcOrd="2" destOrd="0" parTransId="{4CCC6F27-54AC-4D5F-9CBD-B99569EA034D}" sibTransId="{D0E3A239-119F-4A00-88A5-072E06C7EC22}"/>
    <dgm:cxn modelId="{F4F4F5B3-6095-4D9A-8E71-B2F210584E57}" type="presOf" srcId="{470A20C1-6572-498D-9BD9-B9B469F6E08F}" destId="{B0AD132A-BCA2-4EFE-A582-6F45D4C50BBE}" srcOrd="0" destOrd="0" presId="urn:microsoft.com/office/officeart/2005/8/layout/chevron2"/>
    <dgm:cxn modelId="{FD8D25CE-C97D-4934-9A07-98C192C9E07A}" type="presOf" srcId="{68BE5496-5F1D-493C-8C1A-D465BB8F6267}" destId="{6403BF07-C8ED-424C-85DF-B0490188DDC4}" srcOrd="0" destOrd="0" presId="urn:microsoft.com/office/officeart/2005/8/layout/chevron2"/>
    <dgm:cxn modelId="{2CC201E4-202C-46E8-B89C-9F0B460422AE}" type="presOf" srcId="{5DE44518-EB0C-46FF-95B9-5C9348108C8C}" destId="{E8E3F587-D0A4-42A1-8594-0BA549108E14}" srcOrd="0" destOrd="0" presId="urn:microsoft.com/office/officeart/2005/8/layout/chevron2"/>
    <dgm:cxn modelId="{7B9FD6F2-9F0C-4346-A475-ACB179C232F3}" srcId="{470A20C1-6572-498D-9BD9-B9B469F6E08F}" destId="{55360E43-C279-46E6-9C79-E9ADAC802CE6}" srcOrd="3" destOrd="0" parTransId="{9CC315AD-2723-4B59-A256-ECE10DCEC9B9}" sibTransId="{C0F0B19D-BB51-4111-8B17-F4D0BBA12CA1}"/>
    <dgm:cxn modelId="{0B0052F5-9EDA-4CA0-8370-F6C194AE763E}" type="presOf" srcId="{8DA435E7-73BA-46F9-8D67-63B9F9F4E31A}" destId="{1A44C857-8D1F-42FF-B123-ABAE4C2790A7}" srcOrd="0" destOrd="1" presId="urn:microsoft.com/office/officeart/2005/8/layout/chevron2"/>
    <dgm:cxn modelId="{E6E6EFFE-5C00-404C-B10B-4DAA6F7B6BC9}" srcId="{470A20C1-6572-498D-9BD9-B9B469F6E08F}" destId="{23ED7A06-A0A2-4EE8-AAAD-EFABECE26C59}" srcOrd="2" destOrd="0" parTransId="{31C0240A-89B2-44D5-B511-D992F5224363}" sibTransId="{A1656797-CE03-47E4-93F6-663E4448274E}"/>
    <dgm:cxn modelId="{5A2196DE-E209-4B1E-8853-B53EFC00D689}" type="presParOf" srcId="{B0AD132A-BCA2-4EFE-A582-6F45D4C50BBE}" destId="{446FCDAD-C16B-41C6-8C5D-12D8EBCC027B}" srcOrd="0" destOrd="0" presId="urn:microsoft.com/office/officeart/2005/8/layout/chevron2"/>
    <dgm:cxn modelId="{7D9506AA-FC6A-4258-93ED-A78458F5B4F8}" type="presParOf" srcId="{446FCDAD-C16B-41C6-8C5D-12D8EBCC027B}" destId="{21B6DFDB-CB3A-40A3-8330-DCFB2DD6D334}" srcOrd="0" destOrd="0" presId="urn:microsoft.com/office/officeart/2005/8/layout/chevron2"/>
    <dgm:cxn modelId="{D51E7238-20C3-47A8-8373-832572DBC0F7}" type="presParOf" srcId="{446FCDAD-C16B-41C6-8C5D-12D8EBCC027B}" destId="{C145ED30-AE80-4FD0-873B-F8D11489704B}" srcOrd="1" destOrd="0" presId="urn:microsoft.com/office/officeart/2005/8/layout/chevron2"/>
    <dgm:cxn modelId="{BDB7135C-A1EE-443F-93A5-FF12ECF5BD4E}" type="presParOf" srcId="{B0AD132A-BCA2-4EFE-A582-6F45D4C50BBE}" destId="{BACA1F3B-EE6E-47D4-86DB-2FA996132894}" srcOrd="1" destOrd="0" presId="urn:microsoft.com/office/officeart/2005/8/layout/chevron2"/>
    <dgm:cxn modelId="{231107B7-DB55-4FA2-92A0-73B6E3024F0F}" type="presParOf" srcId="{B0AD132A-BCA2-4EFE-A582-6F45D4C50BBE}" destId="{F6E2F026-C4A9-427D-864B-94DD20DC7E3B}" srcOrd="2" destOrd="0" presId="urn:microsoft.com/office/officeart/2005/8/layout/chevron2"/>
    <dgm:cxn modelId="{6D9B696F-CE03-43FA-8A5E-842D73434955}" type="presParOf" srcId="{F6E2F026-C4A9-427D-864B-94DD20DC7E3B}" destId="{6403BF07-C8ED-424C-85DF-B0490188DDC4}" srcOrd="0" destOrd="0" presId="urn:microsoft.com/office/officeart/2005/8/layout/chevron2"/>
    <dgm:cxn modelId="{19C607CB-1E19-4EEA-BDAD-5FB22209ACD4}" type="presParOf" srcId="{F6E2F026-C4A9-427D-864B-94DD20DC7E3B}" destId="{E8E3F587-D0A4-42A1-8594-0BA549108E14}" srcOrd="1" destOrd="0" presId="urn:microsoft.com/office/officeart/2005/8/layout/chevron2"/>
    <dgm:cxn modelId="{EA437594-48BD-4FA4-9104-01F8B0949F01}" type="presParOf" srcId="{B0AD132A-BCA2-4EFE-A582-6F45D4C50BBE}" destId="{88EC79B5-6F18-4433-83E0-4F1CA7C95272}" srcOrd="3" destOrd="0" presId="urn:microsoft.com/office/officeart/2005/8/layout/chevron2"/>
    <dgm:cxn modelId="{401A6EAC-79AE-49CC-920A-6B3623465EED}" type="presParOf" srcId="{B0AD132A-BCA2-4EFE-A582-6F45D4C50BBE}" destId="{994D6EAB-7734-43E1-9F05-FB73432E4DEF}" srcOrd="4" destOrd="0" presId="urn:microsoft.com/office/officeart/2005/8/layout/chevron2"/>
    <dgm:cxn modelId="{DB1338E5-88EA-4979-B5A6-D5BEA3110E27}" type="presParOf" srcId="{994D6EAB-7734-43E1-9F05-FB73432E4DEF}" destId="{4D173A69-2BCF-41F9-B5BD-19A76B8BFF70}" srcOrd="0" destOrd="0" presId="urn:microsoft.com/office/officeart/2005/8/layout/chevron2"/>
    <dgm:cxn modelId="{7E131F53-4083-4B18-9C8C-48FC78C578BC}" type="presParOf" srcId="{994D6EAB-7734-43E1-9F05-FB73432E4DEF}" destId="{B434B918-BFE7-4372-A428-C5652954A0FF}" srcOrd="1" destOrd="0" presId="urn:microsoft.com/office/officeart/2005/8/layout/chevron2"/>
    <dgm:cxn modelId="{5156C8A0-955D-430A-8072-D355345486D7}" type="presParOf" srcId="{B0AD132A-BCA2-4EFE-A582-6F45D4C50BBE}" destId="{FD275B54-7DBA-468A-87F8-BE80AC3CBB08}" srcOrd="5" destOrd="0" presId="urn:microsoft.com/office/officeart/2005/8/layout/chevron2"/>
    <dgm:cxn modelId="{20418837-4893-47F2-B581-3C0FDF7513EB}" type="presParOf" srcId="{B0AD132A-BCA2-4EFE-A582-6F45D4C50BBE}" destId="{F9C8F77B-476C-4CD6-B70A-1CFE93D817D8}" srcOrd="6" destOrd="0" presId="urn:microsoft.com/office/officeart/2005/8/layout/chevron2"/>
    <dgm:cxn modelId="{97095EE4-48F5-4176-86FF-FB0A41C49033}" type="presParOf" srcId="{F9C8F77B-476C-4CD6-B70A-1CFE93D817D8}" destId="{BC2E7518-424C-4062-9C45-1D7CEB96902A}" srcOrd="0" destOrd="0" presId="urn:microsoft.com/office/officeart/2005/8/layout/chevron2"/>
    <dgm:cxn modelId="{7529B61E-565E-4C90-A54A-99CE189D5BB9}" type="presParOf" srcId="{F9C8F77B-476C-4CD6-B70A-1CFE93D817D8}" destId="{1A44C857-8D1F-42FF-B123-ABAE4C2790A7}"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6DFDB-CB3A-40A3-8330-DCFB2DD6D334}">
      <dsp:nvSpPr>
        <dsp:cNvPr id="0" name=""/>
        <dsp:cNvSpPr/>
      </dsp:nvSpPr>
      <dsp:spPr>
        <a:xfrm rot="5400000">
          <a:off x="-159112" y="160998"/>
          <a:ext cx="1060751" cy="7425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t-LT" sz="1000" kern="1200">
              <a:latin typeface="Arial" panose="020B0604020202020204" pitchFamily="34" charset="0"/>
              <a:cs typeface="Arial" panose="020B0604020202020204" pitchFamily="34" charset="0"/>
            </a:rPr>
            <a:t>Problema</a:t>
          </a:r>
        </a:p>
      </dsp:txBody>
      <dsp:txXfrm rot="-5400000">
        <a:off x="2" y="373148"/>
        <a:ext cx="742525" cy="318226"/>
      </dsp:txXfrm>
    </dsp:sp>
    <dsp:sp modelId="{C145ED30-AE80-4FD0-873B-F8D11489704B}">
      <dsp:nvSpPr>
        <dsp:cNvPr id="0" name=""/>
        <dsp:cNvSpPr/>
      </dsp:nvSpPr>
      <dsp:spPr>
        <a:xfrm rot="5400000">
          <a:off x="2904840" y="-2160429"/>
          <a:ext cx="689488" cy="50141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lt-LT" sz="1000" kern="1200">
              <a:latin typeface="Arial" panose="020B0604020202020204" pitchFamily="34" charset="0"/>
              <a:cs typeface="Arial" panose="020B0604020202020204" pitchFamily="34" charset="0"/>
            </a:rPr>
            <a:t> Nepakankama viešųjų erdvių plėtra ir atnaujinimas Utenos miesto urbanizuotose teritorijose </a:t>
          </a:r>
          <a:endParaRPr lang="lt-LT" sz="1000" kern="1200">
            <a:solidFill>
              <a:srgbClr val="FF0000"/>
            </a:solidFill>
            <a:latin typeface="Arial" panose="020B0604020202020204" pitchFamily="34" charset="0"/>
            <a:cs typeface="Arial" panose="020B0604020202020204" pitchFamily="34" charset="0"/>
          </a:endParaRPr>
        </a:p>
      </dsp:txBody>
      <dsp:txXfrm rot="-5400000">
        <a:off x="742525" y="35544"/>
        <a:ext cx="4980460" cy="622172"/>
      </dsp:txXfrm>
    </dsp:sp>
    <dsp:sp modelId="{6403BF07-C8ED-424C-85DF-B0490188DDC4}">
      <dsp:nvSpPr>
        <dsp:cNvPr id="0" name=""/>
        <dsp:cNvSpPr/>
      </dsp:nvSpPr>
      <dsp:spPr>
        <a:xfrm rot="5400000">
          <a:off x="-159112" y="1072135"/>
          <a:ext cx="1060751" cy="7425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t-LT" sz="1000" kern="1200">
              <a:latin typeface="Arial" panose="020B0604020202020204" pitchFamily="34" charset="0"/>
              <a:cs typeface="Arial" panose="020B0604020202020204" pitchFamily="34" charset="0"/>
            </a:rPr>
            <a:t>Tikslas</a:t>
          </a:r>
        </a:p>
      </dsp:txBody>
      <dsp:txXfrm rot="-5400000">
        <a:off x="2" y="1284285"/>
        <a:ext cx="742525" cy="318226"/>
      </dsp:txXfrm>
    </dsp:sp>
    <dsp:sp modelId="{E8E3F587-D0A4-42A1-8594-0BA549108E14}">
      <dsp:nvSpPr>
        <dsp:cNvPr id="0" name=""/>
        <dsp:cNvSpPr/>
      </dsp:nvSpPr>
      <dsp:spPr>
        <a:xfrm rot="5400000">
          <a:off x="2904840" y="-1249291"/>
          <a:ext cx="689488" cy="50141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Arial" panose="020B0604020202020204" pitchFamily="34" charset="0"/>
              <a:cs typeface="Arial" panose="020B0604020202020204" pitchFamily="34" charset="0"/>
            </a:rPr>
            <a:t> G</a:t>
          </a:r>
          <a:r>
            <a:rPr lang="lt-LT" sz="1000" kern="1200">
              <a:latin typeface="Arial" panose="020B0604020202020204" pitchFamily="34" charset="0"/>
              <a:cs typeface="Arial" panose="020B0604020202020204" pitchFamily="34" charset="0"/>
            </a:rPr>
            <a:t>erinti gyvenamosios aplinkos kokybę urbanizuotoje Utenos miesto teritorijoje, didinant viešųjų erdvių patrauklumą, prieinamumą ir funkcionalumą</a:t>
          </a:r>
          <a:endParaRPr lang="lt-LT" sz="1000" kern="1200">
            <a:solidFill>
              <a:srgbClr val="FF0000"/>
            </a:solidFill>
            <a:latin typeface="Arial" panose="020B0604020202020204" pitchFamily="34" charset="0"/>
            <a:cs typeface="Arial" panose="020B0604020202020204" pitchFamily="34" charset="0"/>
          </a:endParaRPr>
        </a:p>
      </dsp:txBody>
      <dsp:txXfrm rot="-5400000">
        <a:off x="742525" y="946682"/>
        <a:ext cx="4980460" cy="622172"/>
      </dsp:txXfrm>
    </dsp:sp>
    <dsp:sp modelId="{4D173A69-2BCF-41F9-B5BD-19A76B8BFF70}">
      <dsp:nvSpPr>
        <dsp:cNvPr id="0" name=""/>
        <dsp:cNvSpPr/>
      </dsp:nvSpPr>
      <dsp:spPr>
        <a:xfrm rot="5400000">
          <a:off x="-159112" y="1983273"/>
          <a:ext cx="1060751" cy="7425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t-LT" sz="1000" kern="1200">
              <a:latin typeface="Arial" panose="020B0604020202020204" pitchFamily="34" charset="0"/>
              <a:cs typeface="Arial" panose="020B0604020202020204" pitchFamily="34" charset="0"/>
            </a:rPr>
            <a:t>Uždavinys</a:t>
          </a:r>
        </a:p>
      </dsp:txBody>
      <dsp:txXfrm rot="-5400000">
        <a:off x="2" y="2195423"/>
        <a:ext cx="742525" cy="318226"/>
      </dsp:txXfrm>
    </dsp:sp>
    <dsp:sp modelId="{B434B918-BFE7-4372-A428-C5652954A0FF}">
      <dsp:nvSpPr>
        <dsp:cNvPr id="0" name=""/>
        <dsp:cNvSpPr/>
      </dsp:nvSpPr>
      <dsp:spPr>
        <a:xfrm rot="5400000">
          <a:off x="2904840" y="-338154"/>
          <a:ext cx="689488" cy="50141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lt-LT" sz="1000" kern="1200">
              <a:latin typeface="Arial" panose="020B0604020202020204" pitchFamily="34" charset="0"/>
              <a:cs typeface="Arial" panose="020B0604020202020204" pitchFamily="34" charset="0"/>
            </a:rPr>
            <a:t> Atgaivinti ir modernizuoti Aukštakalnio daugiabučių namų mikrorajono teritoriją (apribotą Aukštakalnio g., Taikos g., Kupiškio g. ir Vyžuonos parku), įgyvendinant universalaus dizaino principais grindžiamus sprendimus </a:t>
          </a:r>
          <a:endParaRPr lang="lt-LT" sz="1000" kern="1200">
            <a:solidFill>
              <a:srgbClr val="FF0000"/>
            </a:solidFill>
            <a:latin typeface="Arial" panose="020B0604020202020204" pitchFamily="34" charset="0"/>
            <a:cs typeface="Arial" panose="020B0604020202020204" pitchFamily="34" charset="0"/>
          </a:endParaRPr>
        </a:p>
      </dsp:txBody>
      <dsp:txXfrm rot="-5400000">
        <a:off x="742525" y="1857819"/>
        <a:ext cx="4980460" cy="622172"/>
      </dsp:txXfrm>
    </dsp:sp>
    <dsp:sp modelId="{BC2E7518-424C-4062-9C45-1D7CEB96902A}">
      <dsp:nvSpPr>
        <dsp:cNvPr id="0" name=""/>
        <dsp:cNvSpPr/>
      </dsp:nvSpPr>
      <dsp:spPr>
        <a:xfrm rot="5400000">
          <a:off x="-159112" y="2894410"/>
          <a:ext cx="1060751" cy="7425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t-LT" sz="1000" kern="1200">
              <a:latin typeface="Arial" panose="020B0604020202020204" pitchFamily="34" charset="0"/>
              <a:cs typeface="Arial" panose="020B0604020202020204" pitchFamily="34" charset="0"/>
            </a:rPr>
            <a:t>Siekiami rezultatai</a:t>
          </a:r>
        </a:p>
      </dsp:txBody>
      <dsp:txXfrm rot="-5400000">
        <a:off x="2" y="3106560"/>
        <a:ext cx="742525" cy="318226"/>
      </dsp:txXfrm>
    </dsp:sp>
    <dsp:sp modelId="{1A44C857-8D1F-42FF-B123-ABAE4C2790A7}">
      <dsp:nvSpPr>
        <dsp:cNvPr id="0" name=""/>
        <dsp:cNvSpPr/>
      </dsp:nvSpPr>
      <dsp:spPr>
        <a:xfrm rot="5400000">
          <a:off x="2904840" y="572983"/>
          <a:ext cx="689488" cy="501411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Arial" panose="020B0604020202020204" pitchFamily="34" charset="0"/>
              <a:cs typeface="Arial" panose="020B0604020202020204" pitchFamily="34" charset="0"/>
            </a:rPr>
            <a:t> </a:t>
          </a:r>
          <a:r>
            <a:rPr lang="lt-LT" sz="1000" b="0" i="0" kern="1200">
              <a:solidFill>
                <a:sysClr val="windowText" lastClr="000000"/>
              </a:solidFill>
              <a:latin typeface="Arial" panose="020B0604020202020204" pitchFamily="34" charset="0"/>
              <a:cs typeface="Arial" panose="020B0604020202020204" pitchFamily="34" charset="0"/>
            </a:rPr>
            <a:t>Atviros erdvės, sukurtos arba atkurtos miestų teritorijose - 119 051 m</a:t>
          </a:r>
          <a:r>
            <a:rPr lang="lt-LT" sz="1000" b="0" i="0" kern="1200" baseline="30000">
              <a:solidFill>
                <a:sysClr val="windowText" lastClr="000000"/>
              </a:solidFill>
              <a:latin typeface="Arial" panose="020B0604020202020204" pitchFamily="34" charset="0"/>
              <a:cs typeface="Arial" panose="020B0604020202020204" pitchFamily="34" charset="0"/>
            </a:rPr>
            <a:t>2</a:t>
          </a:r>
          <a:endParaRPr lang="lt-LT" sz="1000" kern="1200">
            <a:solidFill>
              <a:sysClr val="windowText" lastClr="000000"/>
            </a:solidFill>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lt-LT" sz="1000" b="0" i="0" kern="1200">
              <a:solidFill>
                <a:sysClr val="windowText" lastClr="000000"/>
              </a:solidFill>
              <a:latin typeface="Arial" panose="020B0604020202020204" pitchFamily="34" charset="0"/>
              <a:cs typeface="Arial" panose="020B0604020202020204" pitchFamily="34" charset="0"/>
            </a:rPr>
            <a:t> Integruoti teritorinio vystymo projektai - 1 projektas</a:t>
          </a:r>
          <a:endParaRPr lang="lt-LT" sz="1000" kern="1200">
            <a:solidFill>
              <a:sysClr val="windowText" lastClr="000000"/>
            </a:solidFill>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lt-LT" sz="1000" kern="1200">
              <a:solidFill>
                <a:sysClr val="windowText" lastClr="000000"/>
              </a:solidFill>
              <a:latin typeface="Arial" panose="020B0604020202020204" pitchFamily="34" charset="0"/>
              <a:cs typeface="Arial" panose="020B0604020202020204" pitchFamily="34" charset="0"/>
            </a:rPr>
            <a:t> </a:t>
          </a:r>
          <a:r>
            <a:rPr lang="lt-LT" sz="1000" kern="1200">
              <a:latin typeface="Arial" panose="020B0604020202020204" pitchFamily="34" charset="0"/>
              <a:cs typeface="Arial" panose="020B0604020202020204" pitchFamily="34" charset="0"/>
            </a:rPr>
            <a:t>Rekultivuota žemė, naudojama žaliesiems plotams, socialiniams būstams, ekonominei arba kitai paskirčiai </a:t>
          </a:r>
          <a:r>
            <a:rPr lang="lt-LT" sz="1000" b="0" i="0" kern="1200">
              <a:solidFill>
                <a:sysClr val="windowText" lastClr="000000"/>
              </a:solidFill>
              <a:latin typeface="Arial" panose="020B0604020202020204" pitchFamily="34" charset="0"/>
              <a:cs typeface="Arial" panose="020B0604020202020204" pitchFamily="34" charset="0"/>
            </a:rPr>
            <a:t> - 11,9 ha</a:t>
          </a:r>
          <a:endParaRPr lang="lt-LT" sz="1000" kern="1200">
            <a:solidFill>
              <a:sysClr val="windowText" lastClr="000000"/>
            </a:solidFill>
            <a:latin typeface="Arial" panose="020B0604020202020204" pitchFamily="34" charset="0"/>
            <a:cs typeface="Arial" panose="020B0604020202020204" pitchFamily="34" charset="0"/>
          </a:endParaRPr>
        </a:p>
      </dsp:txBody>
      <dsp:txXfrm rot="-5400000">
        <a:off x="742525" y="2768956"/>
        <a:ext cx="4980460" cy="6221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Transporto tinklų projektų skyrius|3517cb01-3d8d-4d7f-9b7b-034113f42e80;Darnaus transporto projektų skyrius|ac541b4c-a511-49a1-b192-8ec1ac837a74;Bendrųjų reikalų skyrius|98e1b560-c021-41d6-9632-b7f5b05ae6e9</a14285f26a0b45bfa54ed9a05aaa3ab1>
    <DmsRegDoc xmlns="4b2e9d09-07c5-42d4-ad0a-92e216c40b99">274241</DmsRegDoc>
    <DmsAddMarkOnPdf xmlns="028236e2-f653-4d19-ab67-4d06a9145e0c">false</DmsAddMarkOnPd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0E58F4-2E9B-4BDC-883D-94D81AA9BE6A}">
  <ds:schemaRefs>
    <ds:schemaRef ds:uri="http://schemas.openxmlformats.org/officeDocument/2006/bibliography"/>
  </ds:schemaRefs>
</ds:datastoreItem>
</file>

<file path=customXml/itemProps2.xml><?xml version="1.0" encoding="utf-8"?>
<ds:datastoreItem xmlns:ds="http://schemas.openxmlformats.org/officeDocument/2006/customXml" ds:itemID="{70B7FC1A-0135-41AA-A9F5-28212777C4B6}">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customXml/itemProps3.xml><?xml version="1.0" encoding="utf-8"?>
<ds:datastoreItem xmlns:ds="http://schemas.openxmlformats.org/officeDocument/2006/customXml" ds:itemID="{D0427EA9-EAF0-46A3-A93F-0DA6838A2778}">
  <ds:schemaRefs>
    <ds:schemaRef ds:uri="http://schemas.microsoft.com/sharepoint/v3/contenttype/forms"/>
  </ds:schemaRefs>
</ds:datastoreItem>
</file>

<file path=customXml/itemProps4.xml><?xml version="1.0" encoding="utf-8"?>
<ds:datastoreItem xmlns:ds="http://schemas.openxmlformats.org/officeDocument/2006/customXml" ds:itemID="{68AF527D-4385-49D9-87E5-383817AAC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Eurointegracijos projektai šablonas</Template>
  <TotalTime>3</TotalTime>
  <Pages>46</Pages>
  <Words>76400</Words>
  <Characters>43548</Characters>
  <Application>Microsoft Office Word</Application>
  <DocSecurity>0</DocSecurity>
  <Lines>362</Lines>
  <Paragraphs>239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SVEIKATOS PASLAUGOS PASVALIO RAJONO SAVIVALDYBĖJE</vt:lpstr>
      <vt:lpstr>SVEIKATOS PASLAUGOS PASVALIO RAJONO SAVIVALDYBĖJE</vt:lpstr>
    </vt:vector>
  </TitlesOfParts>
  <Company>elektrėnai, 2023</Company>
  <LinksUpToDate>false</LinksUpToDate>
  <CharactersWithSpaces>119709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SVEIKATOS PASLAUGOS PASVALIO RAJONO SAVIVALDYBĖJE</dc:title>
  <dc:subject>investicijų projektas</dc:subject>
  <dc:creator>User</dc:creator>
  <cp:keywords/>
  <dc:description/>
  <cp:lastModifiedBy>Aida Diržauskienė</cp:lastModifiedBy>
  <cp:revision>2</cp:revision>
  <cp:lastPrinted>2022-11-07T14:24:00Z</cp:lastPrinted>
  <dcterms:created xsi:type="dcterms:W3CDTF">2025-05-29T11:29:00Z</dcterms:created>
  <dcterms:modified xsi:type="dcterms:W3CDTF">2025-05-29T11:29:00Z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0x01010031A3634DF9DB4FFBA1EC65766E7376F5002DB646006A010C41A03564BD150A5EE1</vt:lpwstr>
  </property>
  <property fmtid="{D5CDD505-2E9C-101B-9397-08002B2CF9AE}" pid="3" name="DmsPermissionsFlags">
    <vt:lpwstr>,SECTRUE,</vt:lpwstr>
  </property>
  <property fmtid="{D5CDD505-2E9C-101B-9397-08002B2CF9AE}" pid="4" name="DmsDocPrepAdocCheckOutUser">
    <vt:lpwstr/>
  </property>
  <property fmtid="{D5CDD505-2E9C-101B-9397-08002B2CF9AE}" pid="5" name="DmsPermissionsDivisions">
    <vt:lpwstr>3171;#Transporto tinklų projektų skyrius|3517cb01-3d8d-4d7f-9b7b-034113f42e80;#3169;#Darnaus transporto projektų skyrius|ac541b4c-a511-49a1-b192-8ec1ac837a74;#47;#Bendrųjų reikalų skyrius|98e1b560-c021-41d6-9632-b7f5b05ae6e9</vt:lpwstr>
  </property>
  <property fmtid="{D5CDD505-2E9C-101B-9397-08002B2CF9AE}" pid="6" name="DmsPermissionsUsers">
    <vt:lpwstr>1073741823;#Sistemos abonementas;#1267;#Aušra Jankauskaitė;#699;#Inga Kmitienė;#145;#Audrius Tamkus;#1093;#i:0#.w|cpma\vyginta-gr</vt:lpwstr>
  </property>
  <property fmtid="{D5CDD505-2E9C-101B-9397-08002B2CF9AE}" pid="7" name="TaxCatchAll">
    <vt:lpwstr>3169;#Darnaus transporto projektų skyrius|ac541b4c-a511-49a1-b192-8ec1ac837a74;#3171;#Transporto tinklų projektų skyrius|3517cb01-3d8d-4d7f-9b7b-034113f42e80</vt:lpwstr>
  </property>
  <property fmtid="{D5CDD505-2E9C-101B-9397-08002B2CF9AE}" pid="8" name="DmsPermissionsConfid">
    <vt:bool>false</vt:bool>
  </property>
  <property fmtid="{D5CDD505-2E9C-101B-9397-08002B2CF9AE}" pid="9" name="DmsDocPrepDocSendRegReal">
    <vt:bool>false</vt:bool>
  </property>
  <property fmtid="{D5CDD505-2E9C-101B-9397-08002B2CF9AE}" pid="10" name="DmsWaitingForSign">
    <vt:bool>false</vt:bool>
  </property>
  <property fmtid="{D5CDD505-2E9C-101B-9397-08002B2CF9AE}" pid="11" name="DmsSendingDocType">
    <vt:lpwstr/>
  </property>
  <property fmtid="{D5CDD505-2E9C-101B-9397-08002B2CF9AE}" pid="12" name="DmsCPVADocSubtype">
    <vt:lpwstr/>
  </property>
  <property fmtid="{D5CDD505-2E9C-101B-9397-08002B2CF9AE}" pid="13" name="DmsCPVADocProgram">
    <vt:lpwstr/>
  </property>
  <property fmtid="{D5CDD505-2E9C-101B-9397-08002B2CF9AE}" pid="14" name="DmsVisers">
    <vt:lpwstr/>
  </property>
  <property fmtid="{D5CDD505-2E9C-101B-9397-08002B2CF9AE}" pid="15" name="DmsOrganizer">
    <vt:lpwstr/>
  </property>
  <property fmtid="{D5CDD505-2E9C-101B-9397-08002B2CF9AE}" pid="16" name="DmsCPVAOtherResponsiblePersons">
    <vt:lpwstr/>
  </property>
  <property fmtid="{D5CDD505-2E9C-101B-9397-08002B2CF9AE}" pid="17" name="DmsRegState">
    <vt:lpwstr>Naujas</vt:lpwstr>
  </property>
  <property fmtid="{D5CDD505-2E9C-101B-9397-08002B2CF9AE}" pid="18" name="DmsApprovers">
    <vt:lpwstr/>
  </property>
  <property fmtid="{D5CDD505-2E9C-101B-9397-08002B2CF9AE}" pid="19" name="DmsSendingType">
    <vt:lpwstr>8</vt:lpwstr>
  </property>
  <property fmtid="{D5CDD505-2E9C-101B-9397-08002B2CF9AE}" pid="20" name="DmsResponsiblePerson">
    <vt:lpwstr/>
  </property>
  <property fmtid="{D5CDD505-2E9C-101B-9397-08002B2CF9AE}" pid="21" name="DmsDocPrepAdocType">
    <vt:lpwstr>-</vt:lpwstr>
  </property>
  <property fmtid="{D5CDD505-2E9C-101B-9397-08002B2CF9AE}" pid="22" name="DmsSigners">
    <vt:lpwstr/>
  </property>
  <property fmtid="{D5CDD505-2E9C-101B-9397-08002B2CF9AE}" pid="23" name="DmsRegPerson">
    <vt:lpwstr/>
  </property>
  <property fmtid="{D5CDD505-2E9C-101B-9397-08002B2CF9AE}" pid="24" name="DmsCoordinators">
    <vt:lpwstr/>
  </property>
  <property fmtid="{D5CDD505-2E9C-101B-9397-08002B2CF9AE}" pid="25" name="OLD_DMSPERMISSIONSCONFID_VALUE">
    <vt:lpwstr>False_</vt:lpwstr>
  </property>
  <property fmtid="{D5CDD505-2E9C-101B-9397-08002B2CF9AE}" pid="26" name="e60ee4271ca74d28a1640aed29de29ee">
    <vt:lpwstr/>
  </property>
  <property fmtid="{D5CDD505-2E9C-101B-9397-08002B2CF9AE}" pid="27" name="h5d7dfff98a247c1954587ec9b17d55b">
    <vt:lpwstr/>
  </property>
  <property fmtid="{D5CDD505-2E9C-101B-9397-08002B2CF9AE}" pid="28" name="bef85333021544dbbbb8b847b70284cc">
    <vt:lpwstr/>
  </property>
  <property fmtid="{D5CDD505-2E9C-101B-9397-08002B2CF9AE}" pid="29" name="DmsCase">
    <vt:lpwstr>110855</vt:lpwstr>
  </property>
  <property fmtid="{D5CDD505-2E9C-101B-9397-08002B2CF9AE}" pid="30" name="o3cb2451d6904553a72e202c291dd6d8">
    <vt:lpwstr/>
  </property>
  <property fmtid="{D5CDD505-2E9C-101B-9397-08002B2CF9AE}" pid="31" name="b1f23dead1274c488d632b6cb8d4aba0">
    <vt:lpwstr/>
  </property>
  <property fmtid="{D5CDD505-2E9C-101B-9397-08002B2CF9AE}" pid="32" name="DmsRegister">
    <vt:lpwstr>110453</vt:lpwstr>
  </property>
</Properties>
</file>