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7B785007"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005A42">
        <w:rPr>
          <w:rFonts w:ascii="Arial" w:hAnsi="Arial" w:cs="Arial"/>
          <w:b/>
          <w:lang w:val="lt-LT"/>
        </w:rPr>
        <w:t>5</w:t>
      </w:r>
      <w:r w:rsidR="007B6EDE">
        <w:rPr>
          <w:rFonts w:ascii="Arial" w:hAnsi="Arial" w:cs="Arial"/>
          <w:b/>
          <w:lang w:val="lt-LT"/>
        </w:rPr>
        <w:t>383</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51A325E3"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(I</w:t>
      </w:r>
      <w:r w:rsidR="007B6EDE">
        <w:rPr>
          <w:rFonts w:ascii="Arial" w:eastAsia="Calibri" w:hAnsi="Arial" w:cs="Arial"/>
          <w:b/>
          <w:bCs/>
          <w:iCs/>
          <w:lang w:val="lt-LT"/>
        </w:rPr>
        <w:t>V</w:t>
      </w:r>
      <w:r w:rsidR="001E45A2">
        <w:rPr>
          <w:rFonts w:ascii="Arial" w:eastAsia="Calibri" w:hAnsi="Arial" w:cs="Arial"/>
          <w:b/>
          <w:bCs/>
          <w:iCs/>
          <w:lang w:val="lt-LT"/>
        </w:rPr>
        <w:t>)</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CEC106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5A7277">
              <w:rPr>
                <w:webHidden/>
              </w:rPr>
              <w:t>3</w:t>
            </w:r>
            <w:r w:rsidR="005A7277">
              <w:rPr>
                <w:webHidden/>
              </w:rPr>
              <w:fldChar w:fldCharType="end"/>
            </w:r>
          </w:hyperlink>
        </w:p>
        <w:p w14:paraId="1482FC93" w14:textId="72A9BE2D"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Pr>
                <w:webHidden/>
              </w:rPr>
              <w:t>3</w:t>
            </w:r>
            <w:r>
              <w:rPr>
                <w:webHidden/>
              </w:rPr>
              <w:fldChar w:fldCharType="end"/>
            </w:r>
          </w:hyperlink>
        </w:p>
        <w:p w14:paraId="00204456" w14:textId="7581FB6B"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Pr>
                <w:webHidden/>
              </w:rPr>
              <w:t>3</w:t>
            </w:r>
            <w:r>
              <w:rPr>
                <w:webHidden/>
              </w:rPr>
              <w:fldChar w:fldCharType="end"/>
            </w:r>
          </w:hyperlink>
        </w:p>
        <w:p w14:paraId="70EA3BCE" w14:textId="41800BF6"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Pr>
                <w:webHidden/>
              </w:rPr>
              <w:t>3</w:t>
            </w:r>
            <w:r>
              <w:rPr>
                <w:webHidden/>
              </w:rPr>
              <w:fldChar w:fldCharType="end"/>
            </w:r>
          </w:hyperlink>
        </w:p>
        <w:p w14:paraId="65054040" w14:textId="07690744"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Pr>
                <w:webHidden/>
              </w:rPr>
              <w:t>3</w:t>
            </w:r>
            <w:r>
              <w:rPr>
                <w:webHidden/>
              </w:rPr>
              <w:fldChar w:fldCharType="end"/>
            </w:r>
          </w:hyperlink>
        </w:p>
        <w:p w14:paraId="157ECD91" w14:textId="6E50D8B2"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Pr>
                <w:webHidden/>
              </w:rPr>
              <w:t>4</w:t>
            </w:r>
            <w:r>
              <w:rPr>
                <w:webHidden/>
              </w:rPr>
              <w:fldChar w:fldCharType="end"/>
            </w:r>
          </w:hyperlink>
        </w:p>
        <w:p w14:paraId="3CA0DFE2" w14:textId="51D1C1CE"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Pr>
                <w:webHidden/>
              </w:rPr>
              <w:t>4</w:t>
            </w:r>
            <w:r>
              <w:rPr>
                <w:webHidden/>
              </w:rPr>
              <w:fldChar w:fldCharType="end"/>
            </w:r>
          </w:hyperlink>
        </w:p>
        <w:p w14:paraId="02B9C163" w14:textId="1069354E"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Pr>
                <w:webHidden/>
              </w:rPr>
              <w:t>4</w:t>
            </w:r>
            <w:r>
              <w:rPr>
                <w:webHidden/>
              </w:rPr>
              <w:fldChar w:fldCharType="end"/>
            </w:r>
          </w:hyperlink>
        </w:p>
        <w:p w14:paraId="2B3CB61A" w14:textId="2E5B2FDF"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Pr>
                <w:webHidden/>
              </w:rPr>
              <w:t>5</w:t>
            </w:r>
            <w:r>
              <w:rPr>
                <w:webHidden/>
              </w:rPr>
              <w:fldChar w:fldCharType="end"/>
            </w:r>
          </w:hyperlink>
        </w:p>
        <w:p w14:paraId="5322D3B2" w14:textId="1D31C7FB"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Pr>
                <w:webHidden/>
              </w:rPr>
              <w:t>5</w:t>
            </w:r>
            <w:r>
              <w:rPr>
                <w:webHidden/>
              </w:rPr>
              <w:fldChar w:fldCharType="end"/>
            </w:r>
          </w:hyperlink>
        </w:p>
        <w:p w14:paraId="7A2032BF" w14:textId="1908772C"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Pr>
                <w:webHidden/>
              </w:rPr>
              <w:t>5</w:t>
            </w:r>
            <w:r>
              <w:rPr>
                <w:webHidden/>
              </w:rPr>
              <w:fldChar w:fldCharType="end"/>
            </w:r>
          </w:hyperlink>
        </w:p>
        <w:p w14:paraId="4047B67C" w14:textId="0204C90A"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Pr>
                <w:webHidden/>
              </w:rPr>
              <w:t>5</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lastRenderedPageBreak/>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53D9DE02"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005A42">
        <w:rPr>
          <w:rFonts w:ascii="Arial" w:hAnsi="Arial" w:cs="Arial"/>
          <w:bCs/>
          <w:iCs/>
          <w:lang w:val="lt-LT"/>
        </w:rPr>
        <w:t>8</w:t>
      </w:r>
      <w:r w:rsidR="007B6EDE">
        <w:rPr>
          <w:rFonts w:ascii="Arial" w:hAnsi="Arial" w:cs="Arial"/>
          <w:bCs/>
          <w:iCs/>
          <w:lang w:val="lt-LT"/>
        </w:rPr>
        <w:t>7</w:t>
      </w:r>
      <w:r>
        <w:rPr>
          <w:rFonts w:ascii="Arial" w:hAnsi="Arial" w:cs="Arial"/>
          <w:bCs/>
          <w:iCs/>
          <w:lang w:val="lt-LT"/>
        </w:rPr>
        <w:t xml:space="preserve"> (</w:t>
      </w:r>
      <w:r w:rsidR="00005A42">
        <w:rPr>
          <w:rFonts w:ascii="Arial" w:hAnsi="Arial" w:cs="Arial"/>
          <w:bCs/>
          <w:iCs/>
          <w:lang w:val="lt-LT"/>
        </w:rPr>
        <w:t xml:space="preserve">aštuoniasdešimt </w:t>
      </w:r>
      <w:r w:rsidR="007B6EDE">
        <w:rPr>
          <w:rFonts w:ascii="Arial" w:hAnsi="Arial" w:cs="Arial"/>
          <w:bCs/>
          <w:iCs/>
          <w:lang w:val="lt-LT"/>
        </w:rPr>
        <w:t>septynias</w:t>
      </w:r>
      <w:r w:rsidR="00005A42">
        <w:rPr>
          <w:rFonts w:ascii="Arial" w:hAnsi="Arial" w:cs="Arial"/>
          <w:bCs/>
          <w:iCs/>
          <w:lang w:val="lt-LT"/>
        </w:rPr>
        <w:t xml:space="preserve"> </w:t>
      </w:r>
      <w:r>
        <w:rPr>
          <w:rFonts w:ascii="Arial" w:hAnsi="Arial" w:cs="Arial"/>
          <w:bCs/>
          <w:iCs/>
          <w:lang w:val="lt-LT"/>
        </w:rPr>
        <w:t xml:space="preserve">) pirkimo objekto  </w:t>
      </w:r>
      <w:r w:rsidRPr="00A22E68">
        <w:rPr>
          <w:rFonts w:ascii="Arial" w:hAnsi="Arial" w:cs="Arial"/>
          <w:bCs/>
          <w:iCs/>
          <w:lang w:val="lt-LT"/>
        </w:rPr>
        <w:t>dal</w:t>
      </w:r>
      <w:r w:rsidR="007B6EDE">
        <w:rPr>
          <w:rFonts w:ascii="Arial" w:hAnsi="Arial" w:cs="Arial"/>
          <w:bCs/>
          <w:iCs/>
          <w:lang w:val="lt-LT"/>
        </w:rPr>
        <w:t>is</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60B2AF7B"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sidR="00F13EFB">
        <w:rPr>
          <w:rFonts w:ascii="Arial" w:hAnsi="Arial" w:cs="Arial"/>
          <w:sz w:val="22"/>
          <w:szCs w:val="22"/>
        </w:rPr>
        <w:t>D</w:t>
      </w:r>
      <w:r w:rsidR="007B6EDE">
        <w:rPr>
          <w:rFonts w:ascii="Arial" w:hAnsi="Arial" w:cs="Arial"/>
          <w:sz w:val="22"/>
          <w:szCs w:val="22"/>
        </w:rPr>
        <w:t xml:space="preserve">ubravos, Jurbarko, Šakių, Kretingos, Raseinių, Šilutės, Tauragės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lastRenderedPageBreak/>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6E1422A2"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7B6EDE">
        <w:rPr>
          <w:rFonts w:ascii="Arial" w:eastAsia="Calibri" w:hAnsi="Arial" w:cs="Arial"/>
          <w:i/>
          <w:iCs/>
          <w:lang w:val="lt-LT"/>
        </w:rPr>
        <w:t>-</w:t>
      </w:r>
      <w:r w:rsidR="00F13EFB">
        <w:rPr>
          <w:rFonts w:ascii="Arial" w:eastAsia="Calibri" w:hAnsi="Arial" w:cs="Arial"/>
          <w:i/>
          <w:iCs/>
          <w:lang w:val="lt-LT"/>
        </w:rPr>
        <w:t>I</w:t>
      </w:r>
      <w:r w:rsidR="007B6EDE">
        <w:rPr>
          <w:rFonts w:ascii="Arial" w:eastAsia="Calibri" w:hAnsi="Arial" w:cs="Arial"/>
          <w:i/>
          <w:iCs/>
          <w:lang w:val="lt-LT"/>
        </w:rPr>
        <w:t>V</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43684AED"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w:t>
      </w:r>
      <w:r w:rsidR="007E6B47">
        <w:rPr>
          <w:rFonts w:ascii="Arial" w:eastAsia="Calibri" w:hAnsi="Arial" w:cs="Arial"/>
          <w:lang w:val="lt-LT"/>
        </w:rPr>
        <w:t>,</w:t>
      </w:r>
      <w:r w:rsidR="00D8335A">
        <w:rPr>
          <w:rFonts w:ascii="Arial" w:eastAsia="Calibri" w:hAnsi="Arial" w:cs="Arial"/>
          <w:lang w:val="lt-LT"/>
        </w:rPr>
        <w:t>2</w:t>
      </w:r>
      <w:r>
        <w:rPr>
          <w:rFonts w:ascii="Arial" w:eastAsia="Calibri" w:hAnsi="Arial" w:cs="Arial"/>
          <w:lang w:val="lt-LT"/>
        </w:rPr>
        <w:t xml:space="preserve"> </w:t>
      </w:r>
      <w:r w:rsidR="007E6B47">
        <w:rPr>
          <w:rFonts w:ascii="Arial" w:eastAsia="Calibri" w:hAnsi="Arial" w:cs="Arial"/>
          <w:lang w:val="lt-LT"/>
        </w:rPr>
        <w:t xml:space="preserve">ir 6 </w:t>
      </w:r>
      <w:r>
        <w:rPr>
          <w:rFonts w:ascii="Arial" w:eastAsia="Calibri" w:hAnsi="Arial" w:cs="Arial"/>
          <w:lang w:val="lt-LT"/>
        </w:rPr>
        <w:t xml:space="preserve">paslaugų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7FCC2B7D"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specialistų/darbininkų sąrašo  taikomo </w:t>
      </w:r>
      <w:r w:rsidR="007E6B47">
        <w:rPr>
          <w:rFonts w:ascii="Arial" w:eastAsia="Calibri" w:hAnsi="Arial" w:cs="Arial"/>
          <w:lang w:val="lt-LT"/>
        </w:rPr>
        <w:t xml:space="preserve">1,2 ir 6 </w:t>
      </w:r>
      <w:r>
        <w:rPr>
          <w:rFonts w:ascii="Arial" w:hAnsi="Arial" w:cs="Arial"/>
          <w:bCs/>
          <w:lang w:val="lt-LT"/>
        </w:rPr>
        <w:t>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 xml:space="preserve">taikoma </w:t>
      </w:r>
      <w:r w:rsidR="007E6B47">
        <w:rPr>
          <w:rFonts w:ascii="Arial" w:eastAsia="Calibri" w:hAnsi="Arial" w:cs="Arial"/>
          <w:lang w:val="lt-LT"/>
        </w:rPr>
        <w:t xml:space="preserve">1,2 ir 6 </w:t>
      </w:r>
      <w:r>
        <w:rPr>
          <w:rFonts w:ascii="Arial" w:eastAsia="Calibri" w:hAnsi="Arial" w:cs="Arial"/>
          <w:lang w:val="lt-LT"/>
        </w:rPr>
        <w:t xml:space="preserve">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45DEBD3"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 </w:t>
      </w:r>
      <w:proofErr w:type="spellStart"/>
      <w:r w:rsidRPr="00B52432">
        <w:rPr>
          <w:rFonts w:ascii="Arial" w:hAnsi="Arial" w:cs="Arial"/>
          <w:iCs/>
        </w:rPr>
        <w:t>ir</w:t>
      </w:r>
      <w:proofErr w:type="spellEnd"/>
      <w:r w:rsidRPr="00B52432">
        <w:rPr>
          <w:rFonts w:ascii="Arial" w:hAnsi="Arial" w:cs="Arial"/>
          <w:iCs/>
        </w:rPr>
        <w:t xml:space="preserve"> pasirašyt</w:t>
      </w:r>
      <w:r>
        <w:rPr>
          <w:rFonts w:ascii="Arial" w:hAnsi="Arial" w:cs="Arial"/>
          <w:iCs/>
        </w:rPr>
        <w:t xml:space="preserve">ą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E65A178"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40CCB853" w14:textId="51693045" w:rsidR="00D24EBE" w:rsidRPr="006C01CF" w:rsidRDefault="00D24EBE" w:rsidP="00D24EBE">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lastRenderedPageBreak/>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7E6B47"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24CC5"/>
    <w:rsid w:val="001A18C3"/>
    <w:rsid w:val="001D0EE1"/>
    <w:rsid w:val="001E45A2"/>
    <w:rsid w:val="00220239"/>
    <w:rsid w:val="0023472C"/>
    <w:rsid w:val="002350A5"/>
    <w:rsid w:val="00274884"/>
    <w:rsid w:val="00323CB7"/>
    <w:rsid w:val="003A682C"/>
    <w:rsid w:val="003B17CF"/>
    <w:rsid w:val="003D4E9A"/>
    <w:rsid w:val="003D677D"/>
    <w:rsid w:val="004037B4"/>
    <w:rsid w:val="0043002D"/>
    <w:rsid w:val="00450324"/>
    <w:rsid w:val="00474314"/>
    <w:rsid w:val="004C7783"/>
    <w:rsid w:val="005260B3"/>
    <w:rsid w:val="00572E0E"/>
    <w:rsid w:val="00596E54"/>
    <w:rsid w:val="005A7277"/>
    <w:rsid w:val="005F2462"/>
    <w:rsid w:val="0063299A"/>
    <w:rsid w:val="006C01CF"/>
    <w:rsid w:val="007B368B"/>
    <w:rsid w:val="007B6EDE"/>
    <w:rsid w:val="007E6B47"/>
    <w:rsid w:val="008638B9"/>
    <w:rsid w:val="0088592E"/>
    <w:rsid w:val="008A025D"/>
    <w:rsid w:val="00973166"/>
    <w:rsid w:val="009778AD"/>
    <w:rsid w:val="00986017"/>
    <w:rsid w:val="009E4539"/>
    <w:rsid w:val="009F5A95"/>
    <w:rsid w:val="00A40372"/>
    <w:rsid w:val="00A57190"/>
    <w:rsid w:val="00A65621"/>
    <w:rsid w:val="00AB08C5"/>
    <w:rsid w:val="00AD52BF"/>
    <w:rsid w:val="00AE2378"/>
    <w:rsid w:val="00B35C1B"/>
    <w:rsid w:val="00B525F6"/>
    <w:rsid w:val="00B56736"/>
    <w:rsid w:val="00BB4512"/>
    <w:rsid w:val="00BC2E68"/>
    <w:rsid w:val="00BF156F"/>
    <w:rsid w:val="00C04290"/>
    <w:rsid w:val="00CF3EBC"/>
    <w:rsid w:val="00CF6643"/>
    <w:rsid w:val="00D24EBE"/>
    <w:rsid w:val="00D75E42"/>
    <w:rsid w:val="00D8335A"/>
    <w:rsid w:val="00E21301"/>
    <w:rsid w:val="00E302E6"/>
    <w:rsid w:val="00E54BB9"/>
    <w:rsid w:val="00E87B85"/>
    <w:rsid w:val="00EB53CA"/>
    <w:rsid w:val="00F13EFB"/>
    <w:rsid w:val="00F7143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9108</Words>
  <Characters>5193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2025-11-21T12:28:00Z</dcterms:created>
  <dcterms:modified xsi:type="dcterms:W3CDTF">2025-11-21T12:28:00Z</dcterms:modified>
</cp:coreProperties>
</file>