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Ref38539939"/>
      <w:bookmarkStart w:id="1" w:name="_Ref38541068"/>
      <w:bookmarkStart w:id="2" w:name="_Ref38885053"/>
      <w:bookmarkStart w:id="3" w:name="_Ref38899023"/>
      <w:bookmarkStart w:id="4" w:name="_Toc124404957"/>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ĮVADINĖ INFORMACIJA APIE PROJEKTĄ</w:t>
      </w:r>
    </w:p>
    <w:p>
      <w:pPr>
        <w:pStyle w:val="Normal"/>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 w:asciiTheme="majorBidi" w:cstheme="majorBidi" w:hAnsiTheme="majorBidi"/>
          <w:color w:val="000000"/>
          <w:sz w:val="24"/>
          <w:szCs w:val="24"/>
          <w:shd w:fill="FFFFFF" w:val="clear"/>
        </w:rPr>
        <w:t>Nr. 09-018-P-0001 (toliau – Projektas).</w:t>
      </w:r>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5"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7"/>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6" w:name="_Hlk205286575"/>
      <w:r>
        <w:rPr>
          <w:rFonts w:cs="Times New Roman" w:ascii="Times New Roman" w:hAnsi="Times New Roman"/>
          <w:color w:themeColor="text1" w:val="000000"/>
          <w:sz w:val="24"/>
          <w:szCs w:val="24"/>
        </w:rPr>
        <w:t xml:space="preserve">Mokymai aktualiais visuomenės sveikatos stiprinimo klausimais. </w:t>
      </w:r>
      <w:bookmarkEnd w:id="5"/>
      <w:bookmarkEnd w:id="6"/>
    </w:p>
    <w:p>
      <w:pPr>
        <w:pStyle w:val="ListParagraph"/>
        <w:widowControl w:val="false"/>
        <w:numPr>
          <w:ilvl w:val="0"/>
          <w:numId w:val="7"/>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7"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7"/>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8" w:name="_Hlk159083609"/>
      <w:bookmarkStart w:id="9" w:name="_Hlk159083609"/>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PIRKIMO DALIS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sz w:val="24"/>
          <w:szCs w:val="24"/>
        </w:rPr>
      </w:pPr>
      <w:r>
        <w:rPr>
          <w:rFonts w:cs="Times New Roman" w:ascii="Times New Roman" w:hAnsi="Times New Roman"/>
          <w:b/>
          <w:bCs/>
          <w:sz w:val="24"/>
          <w:szCs w:val="24"/>
        </w:rPr>
        <w:t>MOKYMŲ VISUOMENĖS SVEIKATOS SPECIALISTAMS TEMA „UŽKREČIAMŲJŲ LIGŲ VALDYMAS UGDYMO ĮSTAIGOJE: VISUOMENĖS SVEIKATOS SPECIALISTŲ VAIDMUO“ ORGANIZAVIMO IR VYKDYMO PASLAUGOS</w:t>
      </w:r>
    </w:p>
    <w:p>
      <w:pPr>
        <w:pStyle w:val="ListParagraph"/>
        <w:spacing w:lineRule="auto" w:line="240" w:before="0" w:after="0"/>
        <w:ind w:left="360"/>
        <w:contextualSpacing/>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08107, Vilnius, tel. + 370 5 262 4583, el. p. institutas@hi.lt, įmonės kodas 111958286.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Pirkimo objektas – mokymų organizavimo ir vykdymo, paslaugos (toliau – Mokymai).</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w:t>
      </w:r>
      <w:r>
        <w:rPr>
          <w:rFonts w:cs="Times New Roman" w:ascii="Times New Roman" w:hAnsi="Times New Roman"/>
          <w:sz w:val="24"/>
          <w:szCs w:val="24"/>
        </w:rPr>
        <w:t xml:space="preserve">suteikti visuomenės sveikatos specialistams naujausias teorines ir praktines žinias apie užkrečiamųjų ligų prevenciją, kontrolę ir valdymą ugdymo įstaigose, stiprinant jų gebėjimus savalaikiai reaguoti į ligų židinius ar protrūkius, efektyviai bendradarbiauti su Nacionaliniu visuomenės sveikatos centru (toliau – NVSC), ugdymo įstaigų bendruomenėmis, bei taikyti aktualias metodines rekomendacijas kasdienėje veikloje.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Mokymų tikslinė grupė (toliau – tikslinė grupė): savivaldybių visuomenės sveikatos biurų darbuotojai, Nacionalinio visuomenės sveikatos centro prie Sveikatos apsaugos ministerijos darbuotojai.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Paslaugų teikėjas turi įgyvendinti Techninėje specifikacijoje numatytus reikalavimus per </w:t>
      </w:r>
      <w:r>
        <w:rPr>
          <w:rFonts w:eastAsia="Times New Roman" w:cs="Times New Roman" w:ascii="Times New Roman" w:hAnsi="Times New Roman"/>
          <w:b/>
          <w:bCs/>
          <w:sz w:val="24"/>
          <w:szCs w:val="24"/>
        </w:rPr>
        <w:t>15</w:t>
      </w:r>
      <w:r>
        <w:rPr>
          <w:rFonts w:eastAsia="Times New Roman" w:cs="Times New Roman" w:ascii="Times New Roman" w:hAnsi="Times New Roman"/>
          <w:sz w:val="24"/>
          <w:szCs w:val="24"/>
        </w:rPr>
        <w:t xml:space="preserve"> </w:t>
      </w:r>
      <w:r>
        <w:rPr>
          <w:rFonts w:eastAsia="Times New Roman" w:cs="Times New Roman" w:ascii="Times New Roman" w:hAnsi="Times New Roman"/>
          <w:b/>
          <w:bCs/>
          <w:sz w:val="24"/>
          <w:szCs w:val="24"/>
        </w:rPr>
        <w:t>(penkiolika)</w:t>
      </w:r>
      <w:r>
        <w:rPr>
          <w:rFonts w:eastAsia="Times New Roman" w:cs="Times New Roman" w:ascii="Times New Roman" w:hAnsi="Times New Roman"/>
          <w:sz w:val="24"/>
          <w:szCs w:val="24"/>
        </w:rPr>
        <w:t xml:space="preserve"> mėnesių nuo sutarties įsigaliojimo dienos.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Paslaugų teikėjas turi pravesti ne mažiau nei </w:t>
      </w:r>
      <w:r>
        <w:rPr>
          <w:rFonts w:cs="Times New Roman" w:ascii="Times New Roman" w:hAnsi="Times New Roman"/>
          <w:b/>
          <w:sz w:val="24"/>
          <w:szCs w:val="24"/>
          <w:u w:val="single"/>
        </w:rPr>
        <w:t>20</w:t>
      </w:r>
      <w:r>
        <w:rPr>
          <w:rFonts w:cs="Times New Roman" w:ascii="Times New Roman" w:hAnsi="Times New Roman"/>
          <w:b/>
          <w:bCs/>
          <w:sz w:val="24"/>
          <w:szCs w:val="24"/>
          <w:u w:val="single"/>
        </w:rPr>
        <w:t xml:space="preserve"> mokymo grupių</w:t>
      </w:r>
      <w:r>
        <w:rPr>
          <w:rFonts w:cs="Times New Roman" w:ascii="Times New Roman" w:hAnsi="Times New Roman"/>
          <w:bCs/>
          <w:sz w:val="24"/>
          <w:szCs w:val="24"/>
        </w:rPr>
        <w:t xml:space="preserve"> </w:t>
      </w:r>
      <w:r>
        <w:rPr>
          <w:rFonts w:cs="Times New Roman" w:ascii="Times New Roman" w:hAnsi="Times New Roman"/>
          <w:bCs/>
          <w:color w:val="000000"/>
          <w:sz w:val="24"/>
          <w:szCs w:val="24"/>
        </w:rPr>
        <w:t>gyvai</w:t>
      </w:r>
      <w:r>
        <w:rPr>
          <w:rFonts w:cs="Times New Roman" w:ascii="Times New Roman" w:hAnsi="Times New Roman"/>
          <w:sz w:val="24"/>
          <w:szCs w:val="24"/>
        </w:rPr>
        <w:t xml:space="preserve"> </w:t>
      </w:r>
      <w:r>
        <w:rPr>
          <w:rFonts w:cs="Times New Roman" w:ascii="Times New Roman" w:hAnsi="Times New Roman"/>
          <w:bCs/>
          <w:color w:val="000000"/>
          <w:sz w:val="24"/>
          <w:szCs w:val="24"/>
        </w:rPr>
        <w:t xml:space="preserve">bei apmokyti </w:t>
      </w:r>
      <w:r>
        <w:rPr>
          <w:rFonts w:cs="Times New Roman" w:ascii="Times New Roman" w:hAnsi="Times New Roman"/>
          <w:b/>
          <w:color w:val="000000"/>
          <w:sz w:val="24"/>
          <w:szCs w:val="24"/>
        </w:rPr>
        <w:t>ne mažiau nei 3 mokymo grupes</w:t>
      </w:r>
      <w:r>
        <w:rPr>
          <w:rFonts w:cs="Times New Roman" w:ascii="Times New Roman" w:hAnsi="Times New Roman"/>
          <w:bCs/>
          <w:color w:val="000000"/>
          <w:sz w:val="24"/>
          <w:szCs w:val="24"/>
        </w:rPr>
        <w:t xml:space="preserve"> (6</w:t>
      </w:r>
      <w:r>
        <w:rPr>
          <w:rFonts w:cs="Times New Roman" w:ascii="Times New Roman" w:hAnsi="Times New Roman"/>
          <w:color w:val="000000"/>
          <w:sz w:val="24"/>
          <w:szCs w:val="24"/>
        </w:rPr>
        <w:t>0</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 xml:space="preserve">specialistų) </w:t>
      </w:r>
      <w:r>
        <w:rPr>
          <w:rFonts w:cs="Times New Roman" w:ascii="Times New Roman" w:hAnsi="Times New Roman"/>
          <w:b/>
          <w:color w:val="000000"/>
          <w:sz w:val="24"/>
          <w:szCs w:val="24"/>
        </w:rPr>
        <w:t xml:space="preserve">Sostinės regione (Vilniaus apskritis) ir ne mažiau nei 17 mokymo grupių </w:t>
      </w:r>
      <w:r>
        <w:rPr>
          <w:rFonts w:cs="Times New Roman" w:ascii="Times New Roman" w:hAnsi="Times New Roman"/>
          <w:bCs/>
          <w:color w:val="000000"/>
          <w:sz w:val="24"/>
          <w:szCs w:val="24"/>
        </w:rPr>
        <w:t>(340 tikslinės grupės</w:t>
      </w:r>
      <w:r>
        <w:rPr>
          <w:rFonts w:cs="Times New Roman" w:ascii="Times New Roman" w:hAnsi="Times New Roman"/>
          <w:b/>
          <w:bCs/>
          <w:color w:val="000000"/>
          <w:sz w:val="24"/>
          <w:szCs w:val="24"/>
        </w:rPr>
        <w:t xml:space="preserve"> </w:t>
      </w:r>
      <w:r>
        <w:rPr>
          <w:rFonts w:cs="Times New Roman" w:ascii="Times New Roman" w:hAnsi="Times New Roman"/>
          <w:bCs/>
          <w:color w:val="000000"/>
          <w:sz w:val="24"/>
          <w:szCs w:val="24"/>
        </w:rPr>
        <w:t>specialistų)</w:t>
      </w:r>
      <w:r>
        <w:rPr>
          <w:rFonts w:cs="Times New Roman" w:ascii="Times New Roman" w:hAnsi="Times New Roman"/>
          <w:b/>
          <w:color w:val="000000"/>
          <w:sz w:val="24"/>
          <w:szCs w:val="24"/>
        </w:rPr>
        <w:t xml:space="preserve"> Vidurio ir vakarų Lietuvos regione (visos apskritys, išskyrus Vilniaus apskritį)</w:t>
      </w:r>
      <w:r>
        <w:rPr>
          <w:rFonts w:eastAsia="" w:cs="Times New Roman" w:ascii="Times New Roman" w:hAnsi="Times New Roman" w:eastAsiaTheme="minorEastAsia"/>
          <w:b/>
          <w:color w:val="000000"/>
          <w:sz w:val="24"/>
          <w:szCs w:val="24"/>
          <w:lang w:eastAsia="lt-LT"/>
        </w:rPr>
        <w:t>.</w:t>
      </w:r>
      <w:r>
        <w:rPr>
          <w:rFonts w:cs="Times New Roman" w:ascii="Times New Roman" w:hAnsi="Times New Roman"/>
          <w:b/>
          <w:color w:val="000000"/>
          <w:sz w:val="24"/>
          <w:szCs w:val="24"/>
        </w:rPr>
        <w:t xml:space="preserve"> </w:t>
      </w:r>
      <w:bookmarkStart w:id="10" w:name="_Hlk178240899"/>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bCs/>
          <w:color w:val="000000"/>
          <w:sz w:val="24"/>
          <w:szCs w:val="24"/>
        </w:rPr>
      </w:pPr>
      <w:r>
        <w:rPr>
          <w:rFonts w:eastAsia="" w:cs="Times New Roman" w:ascii="Times New Roman" w:hAnsi="Times New Roman" w:eastAsiaTheme="minorEastAsia"/>
          <w:bCs/>
          <w:color w:val="000000"/>
          <w:sz w:val="24"/>
          <w:szCs w:val="24"/>
          <w:lang w:eastAsia="lt-LT"/>
        </w:rPr>
        <w:t>Vieną mokymosi grupę sudaro ne daugiau kaip 25 tikslinės grupės</w:t>
      </w:r>
      <w:r>
        <w:rPr>
          <w:rFonts w:cs="Times New Roman" w:ascii="Times New Roman" w:hAnsi="Times New Roman"/>
          <w:bCs/>
          <w:color w:val="000000"/>
          <w:sz w:val="24"/>
          <w:szCs w:val="24"/>
        </w:rPr>
        <w:t xml:space="preserve"> specialistai.</w:t>
      </w:r>
      <w:bookmarkEnd w:id="10"/>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 xml:space="preserve">Pirmieji mokymai turi būti įvykdyti ne vėliau kaip </w:t>
      </w:r>
      <w:r>
        <w:rPr>
          <w:rFonts w:cs="Times New Roman" w:ascii="Times New Roman" w:hAnsi="Times New Roman"/>
          <w:color w:val="000000"/>
          <w:sz w:val="24"/>
          <w:szCs w:val="24"/>
        </w:rPr>
        <w:t xml:space="preserve">20 </w:t>
      </w:r>
      <w:r>
        <w:rPr>
          <w:rFonts w:cs="Times New Roman" w:ascii="Times New Roman" w:hAnsi="Times New Roman"/>
          <w:bCs/>
          <w:color w:val="000000"/>
          <w:sz w:val="24"/>
          <w:szCs w:val="24"/>
        </w:rPr>
        <w:t xml:space="preserve">(dvidešimt) </w:t>
      </w:r>
      <w:r>
        <w:rPr>
          <w:rFonts w:cs="Times New Roman" w:ascii="Times New Roman" w:hAnsi="Times New Roman"/>
          <w:color w:val="000000"/>
          <w:sz w:val="24"/>
          <w:szCs w:val="24"/>
        </w:rPr>
        <w:t>d. d. nuo</w:t>
      </w:r>
      <w:r>
        <w:rPr>
          <w:rFonts w:cs="Times New Roman" w:ascii="Times New Roman" w:hAnsi="Times New Roman"/>
          <w:bCs/>
          <w:color w:val="000000"/>
          <w:sz w:val="24"/>
          <w:szCs w:val="24"/>
        </w:rPr>
        <w:t xml:space="preserve"> programos patvirtinimo dienos. Ne mažiau kaip pusė mokymų grupių turi būti įvykdytos ne ilgiau kaip per 5 (penkis) mėnesius nuo programos patvirtinimo dienos. Visi mokymai turi būti užbaigti ne vėliau kaip per 10 (dešimt) mėnesių nuo programos patvirtinimo dienos.</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r>
        <w:rPr>
          <w:rFonts w:cs="Times New Roman" w:ascii="Times New Roman" w:hAnsi="Times New Roman"/>
          <w:sz w:val="24"/>
          <w:szCs w:val="24"/>
        </w:rPr>
        <w:t xml:space="preserve">Vienų mokymų trukmė – </w:t>
      </w:r>
      <w:r>
        <w:rPr>
          <w:rFonts w:cs="Times New Roman" w:ascii="Times New Roman" w:hAnsi="Times New Roman"/>
          <w:b/>
          <w:sz w:val="24"/>
          <w:szCs w:val="24"/>
        </w:rPr>
        <w:t>8 akad. val.</w:t>
      </w:r>
      <w:r>
        <w:rPr>
          <w:rFonts w:cs="Times New Roman" w:ascii="Times New Roman" w:hAnsi="Times New Roman"/>
          <w:sz w:val="24"/>
          <w:szCs w:val="24"/>
        </w:rPr>
        <w:t xml:space="preserve"> (viena diena).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color w:val="000000"/>
          <w:sz w:val="24"/>
          <w:szCs w:val="24"/>
        </w:rPr>
      </w:pPr>
      <w:r>
        <w:rPr>
          <w:rFonts w:cs="Times New Roman" w:ascii="Times New Roman" w:hAnsi="Times New Roman"/>
          <w:sz w:val="24"/>
          <w:szCs w:val="24"/>
        </w:rPr>
        <w:t xml:space="preserve">Mokymų vieta – </w:t>
      </w:r>
      <w:r>
        <w:rPr>
          <w:rFonts w:cs="Times New Roman" w:ascii="Times New Roman" w:hAnsi="Times New Roman"/>
          <w:b/>
          <w:bCs/>
          <w:color w:val="000000"/>
          <w:sz w:val="24"/>
          <w:szCs w:val="24"/>
        </w:rPr>
        <w:t>Sostinės regionas (Vilniaus apskritis)</w:t>
      </w:r>
      <w:r>
        <w:rPr>
          <w:rFonts w:cs="Times New Roman" w:ascii="Times New Roman" w:hAnsi="Times New Roman"/>
          <w:b/>
          <w:color w:val="000000"/>
          <w:sz w:val="24"/>
          <w:szCs w:val="24"/>
        </w:rPr>
        <w:t xml:space="preserve"> ir</w:t>
      </w:r>
      <w:r>
        <w:rPr>
          <w:rFonts w:cs="Times New Roman" w:ascii="Times New Roman" w:hAnsi="Times New Roman"/>
          <w:b/>
          <w:bCs/>
          <w:color w:val="000000"/>
          <w:sz w:val="24"/>
          <w:szCs w:val="24"/>
        </w:rPr>
        <w:t xml:space="preserve"> Vidurio ir vakarų Lietuvos regionas (visos apskritys, išskyrus Vilniaus apskritį)</w:t>
      </w:r>
      <w:r>
        <w:rPr>
          <w:rFonts w:cs="Times New Roman" w:ascii="Times New Roman" w:hAnsi="Times New Roman"/>
          <w:b/>
          <w:color w:val="000000"/>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cs="Times New Roman"/>
          <w:sz w:val="24"/>
          <w:szCs w:val="24"/>
        </w:rPr>
      </w:pPr>
      <w:r>
        <w:rPr>
          <w:rFonts w:ascii="Times New Roman" w:hAnsi="Times New Roman"/>
          <w:sz w:val="24"/>
          <w:szCs w:val="24"/>
        </w:rPr>
        <w:t>Užkrečiamųjų ligų aktualumas Lietuvoje ir pasaulyje.</w:t>
      </w:r>
      <w:r>
        <w:rPr>
          <w:rFonts w:cs="Times New Roman" w:ascii="Times New Roman" w:hAnsi="Times New Roman"/>
          <w:sz w:val="24"/>
          <w:szCs w:val="24"/>
        </w:rPr>
        <w:t xml:space="preserve"> </w:t>
      </w:r>
      <w:r>
        <w:rPr>
          <w:rFonts w:ascii="Times New Roman" w:hAnsi="Times New Roman"/>
          <w:sz w:val="24"/>
          <w:szCs w:val="24"/>
        </w:rPr>
        <w:t>Valstybinės užkrečiamųjų ligų programos, užkrečiamųjų ligų ir jų plitimo profilaktikos priemonės, įgyvendinant užkrečiamosios ligos židinio ar protrūkio kontrolės priemones ugdymo įstaigose, metodinės rekomendacijos, jų taikymas.</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NVSC ir Visuomenės sveikatos biuro vaidmuo ir užduotys, specialisto, vykdančio sveikatos priežiūrą mokykloje, vaidmuo ir užduotys, reagavimo į užkrečiamąsias ligas algoritmai.</w:t>
      </w:r>
    </w:p>
    <w:p>
      <w:pPr>
        <w:pStyle w:val="Normal"/>
        <w:numPr>
          <w:ilvl w:val="1"/>
          <w:numId w:val="8"/>
        </w:numPr>
        <w:tabs>
          <w:tab w:val="clear" w:pos="1296"/>
          <w:tab w:val="left" w:pos="567" w:leader="none"/>
        </w:tabs>
        <w:spacing w:lineRule="auto" w:line="240" w:before="0" w:after="0"/>
        <w:ind w:hanging="0" w:left="0"/>
        <w:jc w:val="both"/>
        <w:rPr>
          <w:rFonts w:ascii="Times New Roman" w:hAnsi="Times New Roman"/>
          <w:sz w:val="24"/>
          <w:szCs w:val="24"/>
        </w:rPr>
      </w:pPr>
      <w:r>
        <w:rPr>
          <w:rFonts w:ascii="Times New Roman" w:hAnsi="Times New Roman"/>
          <w:sz w:val="24"/>
          <w:szCs w:val="24"/>
        </w:rPr>
        <w:t>Tarpinstitucinis bendradarbiavimas su NVSC, komunikacija ir efektyvus informacijos perdavimas mokyklos darbuotojams, vaikų tėvams.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Mokymo programa turi būti parengta ir suderinta su Lietuvos Respublikos sveikatos apsaugos ministerija Sveikatos specialistų tobulinimo programų derinimo taisyklių, patvirtintų Lietuvos Respublikos sveikatos apsaugos ministro 2011 m. birželio 28 d. įsakymu Nr. V-645 „Dėl Sveikatos specialistų tobulinimo programų derinimo taisyklių ir Tobulinimo programų vertinimo komisijos nuostatų patvirtinimo“  (toliau – Taisyklės) nustatyta tvarka.</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8"/>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sz w:val="24"/>
          <w:szCs w:val="24"/>
        </w:rPr>
        <w:t xml:space="preserve">pateikia kito mėnesio </w:t>
      </w:r>
      <w:r>
        <w:rPr>
          <w:rFonts w:cs="Times New Roman" w:ascii="Times New Roman" w:hAnsi="Times New Roman"/>
          <w:bCs/>
          <w:color w:val="000000"/>
          <w:sz w:val="24"/>
          <w:szCs w:val="24"/>
        </w:rPr>
        <w:t>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Normal"/>
        <w:numPr>
          <w:ilvl w:val="0"/>
          <w:numId w:val="8"/>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mokymo programos parengimą ir vertinimo rekomendacijų pateikimą teisės aktų nustatyta tvarka;</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patalpas mokymams</w:t>
      </w:r>
      <w:r>
        <w:rPr>
          <w:rFonts w:cs="Times New Roman" w:ascii="Times New Roman" w:hAnsi="Times New Roman"/>
          <w:bCs/>
          <w:color w:val="000000"/>
          <w:sz w:val="24"/>
          <w:szCs w:val="24"/>
        </w:rPr>
        <w:t>;</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mitybą mokymų metu (2 kavos pertraukos ir pietūs);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mokymo dalyvių surinkimą;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mokymų tvarkaraščio sudarymą;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duomenų </w:t>
      </w:r>
      <w:r>
        <w:rPr>
          <w:rFonts w:cs="Times New Roman" w:ascii="Times New Roman" w:hAnsi="Times New Roman"/>
          <w:bCs/>
          <w:sz w:val="24"/>
          <w:szCs w:val="24"/>
        </w:rPr>
        <w:t>surinkimą pagal Perkančiosios organizacijos pateiktą Projekto dalyvio anketą;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 xml:space="preserve">Perkančiosios organizacijos pateikto pranešimo apie asmens duomenų tvarkymą įteikimą mokymų dalyviams, </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w:t>
      </w:r>
      <w:r>
        <w:rPr>
          <w:rFonts w:cs="Times New Roman" w:ascii="Times New Roman" w:hAnsi="Times New Roman"/>
          <w:bCs/>
          <w:color w:val="000000"/>
          <w:sz w:val="24"/>
          <w:szCs w:val="24"/>
        </w:rPr>
        <w:t xml:space="preserve">edžiagos parengimą ir pateikimą dalyviams; </w:t>
      </w:r>
    </w:p>
    <w:p>
      <w:pPr>
        <w:pStyle w:val="ListParagraph"/>
        <w:numPr>
          <w:ilvl w:val="1"/>
          <w:numId w:val="8"/>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8"/>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8"/>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9 punkte nurodytą dalyvių skaičių;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8"/>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8"/>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8"/>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8"/>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bCs/>
          <w:color w:val="000000"/>
          <w:sz w:val="24"/>
          <w:szCs w:val="24"/>
        </w:rPr>
      </w:pPr>
      <w:bookmarkStart w:id="11"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sąrašą</w:t>
      </w:r>
      <w:r>
        <w:rPr>
          <w:rFonts w:cs="Times New Roman" w:ascii="Times New Roman" w:hAnsi="Times New Roman"/>
          <w:bCs/>
          <w:sz w:val="24"/>
          <w:szCs w:val="24"/>
        </w:rPr>
        <w:t xml:space="preserve">; </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Projekto dalyvio anketas;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tvarkaraštį;</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pažymas, patvirtinančias, kad</w:t>
      </w:r>
      <w:r>
        <w:rPr>
          <w:rFonts w:cs="Times New Roman" w:ascii="Times New Roman" w:hAnsi="Times New Roman"/>
          <w:sz w:val="24"/>
          <w:szCs w:val="24"/>
        </w:rPr>
        <w:t>, jog asmuo dirba 7 punkte nurodytoje įstaigoje</w:t>
      </w:r>
      <w:r>
        <w:rPr>
          <w:rFonts w:cs="Times New Roman" w:ascii="Times New Roman" w:hAnsi="Times New Roman"/>
          <w:bCs/>
          <w:sz w:val="24"/>
          <w:szCs w:val="24"/>
        </w:rPr>
        <w:t>;</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mokymo medžiagą, kuri gali būti viešai publikuojama Perkančiosios organizacijos interneto svetainėje;</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baigiamojo dalyvių žinių bei praktinių įgūdžių vertinimo priemones bei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kokybės vertinimo rezultatus;</w:t>
      </w:r>
    </w:p>
    <w:p>
      <w:pPr>
        <w:pStyle w:val="ListParagraph"/>
        <w:numPr>
          <w:ilvl w:val="1"/>
          <w:numId w:val="8"/>
        </w:numPr>
        <w:tabs>
          <w:tab w:val="clear" w:pos="1296"/>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8"/>
        </w:numPr>
        <w:tabs>
          <w:tab w:val="clear" w:pos="1296"/>
          <w:tab w:val="left" w:pos="426"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 xml:space="preserve">Po visų mokymų Paslaugų teikėjas turi pateikti detalią paslaugų </w:t>
      </w:r>
      <w:r>
        <w:rPr>
          <w:rFonts w:cs="Times New Roman" w:ascii="Times New Roman" w:hAnsi="Times New Roman"/>
          <w:color w:val="000000"/>
          <w:sz w:val="24"/>
          <w:szCs w:val="24"/>
        </w:rPr>
        <w:t>įvykdymo ataskaitą</w:t>
      </w:r>
      <w:r>
        <w:rPr>
          <w:rFonts w:cs="Times New Roman" w:ascii="Times New Roman" w:hAnsi="Times New Roman"/>
          <w:sz w:val="24"/>
          <w:szCs w:val="24"/>
        </w:rPr>
        <w:t>.</w:t>
      </w:r>
      <w:bookmarkEnd w:id="11"/>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27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8"/>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29–36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8"/>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w:t>
      </w:r>
      <w:bookmarkStart w:id="12" w:name="_Hlk193064098"/>
      <w:r>
        <w:rPr>
          <w:rFonts w:cs="Times New Roman" w:ascii="Times New Roman" w:hAnsi="Times New Roman"/>
          <w:sz w:val="24"/>
          <w:szCs w:val="24"/>
        </w:rPr>
        <w:t xml:space="preserve">kaip savarankiškas duomenų valdytojas ir savarankiškai atsako už Reglamento (ES) 2016/679, kitų asmens duomenų tvarkymą ir jų apsaugą reglamentuojančių teisės aktų reikalavimų įgyvendinimą. </w:t>
      </w:r>
      <w:bookmarkEnd w:id="9"/>
      <w:bookmarkEnd w:id="12"/>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rPr>
          <w:rFonts w:ascii="Times New Roman" w:hAnsi="Times New Roman" w:eastAsia="Times New Roman" w:cs="Times New Roman"/>
          <w:sz w:val="24"/>
          <w:szCs w:val="24"/>
        </w:rPr>
      </w:pPr>
      <w:r>
        <w:rPr>
          <w:rFonts w:eastAsia="Times New Roman" w:cs="Times New Roman" w:ascii="Times New Roman" w:hAnsi="Times New Roman"/>
          <w:sz w:val="24"/>
          <w:szCs w:val="24"/>
        </w:rPr>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4"/>
      <w:numFmt w:val="decimal"/>
      <w:lvlText w:val="%1."/>
      <w:lvlJc w:val="left"/>
      <w:pPr>
        <w:tabs>
          <w:tab w:val="num" w:pos="0"/>
        </w:tabs>
        <w:ind w:left="360" w:hanging="360"/>
      </w:pPr>
      <w:rPr>
        <w:b w:val="false"/>
      </w:rPr>
    </w:lvl>
    <w:lvl w:ilvl="1">
      <w:start w:val="4"/>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7">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4"/>
      <w:numFmt w:val="decimal"/>
      <w:lvlText w:val="%1."/>
      <w:lvlJc w:val="left"/>
      <w:pPr>
        <w:tabs>
          <w:tab w:val="num" w:pos="0"/>
        </w:tabs>
        <w:ind w:left="360" w:hanging="360"/>
      </w:pPr>
      <w:rPr>
        <w:b w:val="false"/>
      </w:rPr>
    </w:lvl>
    <w:lvl w:ilvl="1">
      <w:start w:val="1"/>
      <w:numFmt w:val="decimal"/>
      <w:lvlText w:val="%1.%2."/>
      <w:lvlJc w:val="left"/>
      <w:pPr>
        <w:tabs>
          <w:tab w:val="num" w:pos="0"/>
        </w:tabs>
        <w:ind w:left="840" w:hanging="48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suppressAutoHyphens w:val="true"/>
      <w:bidi w:val="0"/>
      <w:spacing w:lineRule="auto" w:line="276" w:before="0" w:after="160"/>
      <w:jc w:val="left"/>
    </w:pPr>
    <w:rPr>
      <w:rFonts w:ascii="Calibri" w:hAnsi="Calibri" w:eastAsia="" w:cs="Arial" w:eastAsiaTheme="minorEastAsia"/>
      <w:color w:val="auto"/>
      <w:kern w:val="0"/>
      <w:sz w:val="21"/>
      <w:szCs w:val="21"/>
      <w:lang w:val="lt-LT" w:eastAsia="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suppressAutoHyphens w:val="true"/>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lineRule="auto" w:line="240"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suppressAutoHyphens w:val="true"/>
      <w:bidi w:val="0"/>
      <w:spacing w:lineRule="auto" w:line="240" w:before="0" w:after="0"/>
      <w:jc w:val="left"/>
    </w:pPr>
    <w:rPr>
      <w:rFonts w:ascii="Calibri" w:hAnsi="Calibri" w:eastAsia="" w:cs="Arial" w:eastAsiaTheme="minorEastAsia"/>
      <w:color w:val="auto"/>
      <w:kern w:val="0"/>
      <w:sz w:val="21"/>
      <w:szCs w:val="21"/>
      <w:lang w:val="lt-LT" w:eastAsia="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suppressAutoHyphens w:val="true"/>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f63fd6-598b-4ec0-b1e4-39d72de850dc" xsi:nil="true"/>
    <lcf76f155ced4ddcb4097134ff3c332f xmlns="3b231011-8813-4cd1-9ea9-dbba38d1908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7710C310E69DBB4FB87D82EC90E9E5CE" ma:contentTypeVersion="12" ma:contentTypeDescription="Kurkite naują dokumentą." ma:contentTypeScope="" ma:versionID="ca0ac7c287fd43e7859f1588844da52b">
  <xsd:schema xmlns:xsd="http://www.w3.org/2001/XMLSchema" xmlns:xs="http://www.w3.org/2001/XMLSchema" xmlns:p="http://schemas.microsoft.com/office/2006/metadata/properties" xmlns:ns2="3b231011-8813-4cd1-9ea9-dbba38d19084" xmlns:ns3="06f63fd6-598b-4ec0-b1e4-39d72de850dc" targetNamespace="http://schemas.microsoft.com/office/2006/metadata/properties" ma:root="true" ma:fieldsID="a8f59a08e7044d83f1c6377cce9e1a7a" ns2:_="" ns3:_="">
    <xsd:import namespace="3b231011-8813-4cd1-9ea9-dbba38d19084"/>
    <xsd:import namespace="06f63fd6-598b-4ec0-b1e4-39d72de850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31011-8813-4cd1-9ea9-dbba38d19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6f63fd6-598b-4ec0-b1e4-39d72de850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07ef4b-315d-4379-b67b-0234e2e70260}" ma:internalName="TaxCatchAll" ma:showField="CatchAllData" ma:web="06f63fd6-598b-4ec0-b1e4-39d72de850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29CDD-48AA-4239-864E-FE85AFFDC82B}">
  <ds:schemaRefs>
    <ds:schemaRef ds:uri="http://schemas.openxmlformats.org/officeDocument/2006/bibliography"/>
  </ds:schemaRefs>
</ds:datastoreItem>
</file>

<file path=customXml/itemProps2.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3.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7FD6BA-EEB6-414A-A613-B5C410422D3C}"/>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6</Pages>
  <Words>2181</Words>
  <Characters>15554</Characters>
  <CharactersWithSpaces>17609</CharactersWithSpaces>
  <Paragraphs>101</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2025-08-08T12:33:00Z</dcterms:created>
  <dc:creator>Jurgita Nainienė</dc:creator>
  <dc:description/>
  <dc:language>en-US</dc:language>
  <cp:lastModifiedBy>Rimantė Kasiulaitytė</cp:lastModifiedBy>
  <dcterms:modified xsi:type="dcterms:W3CDTF">2025-09-23T06:46:33Z</dcterms:modified>
  <cp:revision>107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0x0101007710C310E69DBB4FB87D82EC90E9E5CE</vt:lpwstr>
  </property>
  <property fmtid="{D5CDD505-2E9C-101B-9397-08002B2CF9AE}" pid="3" name="MediaServiceImageTags">
    <vt:lpwstr/>
  </property>
</Properties>
</file>