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30C4" w14:textId="1D2126BE" w:rsidR="00295A7D" w:rsidRPr="001D2CF1" w:rsidRDefault="001D2CF1" w:rsidP="001D2CF1">
      <w:pPr>
        <w:pStyle w:val="Heading1"/>
        <w:jc w:val="both"/>
        <w:rPr>
          <w:b w:val="0"/>
          <w:bCs w:val="0"/>
        </w:rPr>
      </w:pPr>
      <w:r w:rsidRPr="001D2CF1">
        <w:tab/>
      </w:r>
      <w:r>
        <w:tab/>
      </w:r>
      <w:r>
        <w:tab/>
      </w:r>
      <w:r>
        <w:tab/>
      </w:r>
      <w:r>
        <w:tab/>
      </w:r>
      <w:r w:rsidRPr="001D2CF1">
        <w:rPr>
          <w:b w:val="0"/>
          <w:bCs w:val="0"/>
        </w:rPr>
        <w:t>Pirkimo sąlygų</w:t>
      </w:r>
    </w:p>
    <w:p w14:paraId="5474F1C1" w14:textId="44E6C988" w:rsidR="001D2CF1" w:rsidRDefault="001D2CF1" w:rsidP="001D2CF1">
      <w:pPr>
        <w:ind w:left="5184" w:firstLine="1296"/>
        <w:jc w:val="both"/>
        <w:rPr>
          <w:lang w:val="lt-LT"/>
        </w:rPr>
      </w:pPr>
      <w:r w:rsidRPr="001D2CF1">
        <w:rPr>
          <w:lang w:val="lt-LT"/>
        </w:rPr>
        <w:t>1 priedas</w:t>
      </w:r>
    </w:p>
    <w:p w14:paraId="6E3CABF2" w14:textId="77777777" w:rsidR="00D70C8F" w:rsidRPr="001D2CF1" w:rsidRDefault="00D70C8F" w:rsidP="001D2CF1">
      <w:pPr>
        <w:ind w:left="5184" w:firstLine="1296"/>
        <w:jc w:val="both"/>
        <w:rPr>
          <w:lang w:val="lt-LT"/>
        </w:rPr>
      </w:pPr>
    </w:p>
    <w:p w14:paraId="32EC9390" w14:textId="77777777" w:rsidR="00A60049" w:rsidRDefault="00295A7D" w:rsidP="00295A7D">
      <w:pPr>
        <w:pStyle w:val="Heading1"/>
      </w:pPr>
      <w:r w:rsidRPr="00843EBB">
        <w:t xml:space="preserve">TECHNINĖ SPECIFIKACIJA </w:t>
      </w:r>
    </w:p>
    <w:p w14:paraId="611BA6B8" w14:textId="3FCCAE08" w:rsidR="00295A7D" w:rsidRDefault="00CE6CD6" w:rsidP="00295A7D">
      <w:pPr>
        <w:pStyle w:val="Heading1"/>
      </w:pPr>
      <w:r>
        <w:t>ATŠVAITUI</w:t>
      </w:r>
    </w:p>
    <w:p w14:paraId="57CE3F32" w14:textId="72F45C58" w:rsidR="001D2CF1" w:rsidRPr="00853163" w:rsidRDefault="001D2CF1" w:rsidP="001D2CF1">
      <w:pPr>
        <w:jc w:val="center"/>
        <w:rPr>
          <w:i/>
          <w:iCs/>
          <w:lang w:val="lt-LT"/>
        </w:rPr>
      </w:pPr>
      <w:r w:rsidRPr="00853163">
        <w:rPr>
          <w:i/>
          <w:iCs/>
          <w:lang w:val="lt-LT"/>
        </w:rPr>
        <w:t>(</w:t>
      </w:r>
      <w:r w:rsidR="00CE6CD6">
        <w:rPr>
          <w:i/>
          <w:iCs/>
          <w:lang w:val="lt-LT"/>
        </w:rPr>
        <w:t>3</w:t>
      </w:r>
      <w:r w:rsidRPr="00853163">
        <w:rPr>
          <w:i/>
          <w:iCs/>
          <w:lang w:val="lt-LT"/>
        </w:rPr>
        <w:t>-</w:t>
      </w:r>
      <w:r w:rsidR="00CE6CD6">
        <w:rPr>
          <w:i/>
          <w:iCs/>
          <w:lang w:val="lt-LT"/>
        </w:rPr>
        <w:t>i</w:t>
      </w:r>
      <w:r w:rsidRPr="00853163">
        <w:rPr>
          <w:i/>
          <w:iCs/>
          <w:lang w:val="lt-LT"/>
        </w:rPr>
        <w:t>a pirkimo dalis)</w:t>
      </w:r>
    </w:p>
    <w:p w14:paraId="76C2FE88" w14:textId="77777777" w:rsidR="008D638F" w:rsidRDefault="008D638F" w:rsidP="00CB64B4">
      <w:pPr>
        <w:tabs>
          <w:tab w:val="left" w:pos="993"/>
        </w:tabs>
        <w:ind w:firstLine="709"/>
        <w:rPr>
          <w:lang w:val="lt-LT"/>
        </w:rPr>
      </w:pPr>
    </w:p>
    <w:p w14:paraId="6435EBDA" w14:textId="13783284" w:rsidR="009E4541" w:rsidRPr="00A60049" w:rsidRDefault="009E4541" w:rsidP="00A60049">
      <w:pPr>
        <w:pStyle w:val="ListParagraph"/>
        <w:numPr>
          <w:ilvl w:val="0"/>
          <w:numId w:val="5"/>
        </w:numPr>
        <w:tabs>
          <w:tab w:val="left" w:pos="993"/>
        </w:tabs>
        <w:jc w:val="center"/>
        <w:rPr>
          <w:b/>
          <w:bCs/>
          <w:lang w:val="lt-LT"/>
        </w:rPr>
      </w:pPr>
      <w:r w:rsidRPr="00A60049">
        <w:rPr>
          <w:b/>
          <w:bCs/>
          <w:lang w:val="lt-LT"/>
        </w:rPr>
        <w:t>BENDROSIOS NUOSTATOS</w:t>
      </w:r>
    </w:p>
    <w:p w14:paraId="133C82F2" w14:textId="77777777" w:rsidR="009E4541" w:rsidRPr="009E4541" w:rsidRDefault="009E4541" w:rsidP="009E4541">
      <w:pPr>
        <w:pStyle w:val="ListParagraph"/>
        <w:tabs>
          <w:tab w:val="left" w:pos="993"/>
        </w:tabs>
        <w:ind w:left="1429"/>
        <w:rPr>
          <w:lang w:val="lt-LT"/>
        </w:rPr>
      </w:pPr>
    </w:p>
    <w:p w14:paraId="1715103B" w14:textId="4F0D3A58" w:rsidR="006E48D7" w:rsidRP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1. Atšvaitas skirtas vizualiai įspėti apie karį transporto priemonių žibintų šviesoje tamsiuoju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paros metu, esant bet kokioms oro sąlygoms. Atšvaitas turi atspindėti šviesą tik jį apšvietus.</w:t>
      </w:r>
    </w:p>
    <w:p w14:paraId="01017C1B" w14:textId="783CB4E3" w:rsid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2. Atšvaito kokybės garantijos terminas – 12 mėnesių aktyvios eksploatacijos sąlygomis,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kuris skaičiuojamas nuo prekių išdavimo iš Pirkėjo sandėlio dienos, ir 24 mėnesiai nuo prekių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 xml:space="preserve">priėmimo į sandėlį dokumentų pasirašymo dienos. </w:t>
      </w:r>
    </w:p>
    <w:p w14:paraId="2459B77D" w14:textId="77777777" w:rsidR="00CE6CD6" w:rsidRPr="00CE6CD6" w:rsidRDefault="00CE6CD6" w:rsidP="006E48D7">
      <w:pPr>
        <w:jc w:val="center"/>
        <w:rPr>
          <w:b/>
          <w:bCs/>
          <w:lang w:val="lt-LT"/>
        </w:rPr>
      </w:pPr>
    </w:p>
    <w:p w14:paraId="3102BE06" w14:textId="07919BD9" w:rsidR="006E48D7" w:rsidRPr="00CE6CD6" w:rsidRDefault="006E48D7" w:rsidP="00CE6CD6">
      <w:pPr>
        <w:pStyle w:val="ListParagraph"/>
        <w:numPr>
          <w:ilvl w:val="0"/>
          <w:numId w:val="5"/>
        </w:numPr>
        <w:jc w:val="center"/>
        <w:rPr>
          <w:b/>
          <w:bCs/>
          <w:lang w:val="lt-LT"/>
        </w:rPr>
      </w:pPr>
      <w:r w:rsidRPr="00CE6CD6">
        <w:rPr>
          <w:b/>
          <w:bCs/>
          <w:lang w:val="lt-LT"/>
        </w:rPr>
        <w:t>TECHNINIAI REIKALAVIMAI</w:t>
      </w:r>
    </w:p>
    <w:p w14:paraId="7C0C8685" w14:textId="77777777" w:rsidR="00CE6CD6" w:rsidRPr="00CE6CD6" w:rsidRDefault="00CE6CD6" w:rsidP="00CE6CD6">
      <w:pPr>
        <w:pStyle w:val="ListParagraph"/>
        <w:ind w:left="1429"/>
        <w:rPr>
          <w:b/>
          <w:bCs/>
          <w:lang w:val="lt-LT"/>
        </w:rPr>
      </w:pPr>
    </w:p>
    <w:p w14:paraId="3308CA44" w14:textId="545D4C75" w:rsidR="006E48D7" w:rsidRP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3. Atšvaitas – tai ant sintetinės tekstilinės juostelės prisiūta atgalinio atspindžio medžiaga.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Atšvaitas užsegamas kibiu užsegimu, simetriškai prisiūtu iš abiejų tekstilinės juostos galų. Atšvaito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modelis pateiktas eskize. Eskize išmatavimai nurodyti centimetrais, leidžiamas ± 2% nuokrypis nuo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nurodytųjų.</w:t>
      </w:r>
    </w:p>
    <w:p w14:paraId="21A35214" w14:textId="4C22EF96" w:rsidR="006E48D7" w:rsidRP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4. Tekstilinė juostelė turi būti juodos spalvos, standi. Jos nusidažymo atsparumas balais pagal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LST EN ISO 105 – X12 arba lygiavertį standartą turi būti:</w:t>
      </w:r>
    </w:p>
    <w:p w14:paraId="11908489" w14:textId="77777777" w:rsidR="006E48D7" w:rsidRP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-šlapiai trinčiai &gt; 3;</w:t>
      </w:r>
    </w:p>
    <w:p w14:paraId="7039493E" w14:textId="77777777" w:rsidR="006E48D7" w:rsidRP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-sausai trinčiai &gt; 4.</w:t>
      </w:r>
    </w:p>
    <w:p w14:paraId="1F0EB07A" w14:textId="18533909" w:rsidR="006E48D7" w:rsidRP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5. Atgalinio atspindžio medžiaga turi būti sidabrinės spalvos ir atitikti žemiau išdėstytus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reikalavimus:</w:t>
      </w:r>
    </w:p>
    <w:p w14:paraId="02B9F712" w14:textId="7A9076B9" w:rsidR="006E48D7" w:rsidRP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5.1. naujos atgalinio atspindžio medžiagos atgalinio atspindžio koeficientas turi atitikti LST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EN ISO 20471 standarto 6.1 punkte (arba lygiaverčio standarto) nurodytus reikalavimus 2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lygmeniui;</w:t>
      </w:r>
    </w:p>
    <w:p w14:paraId="3BC5BFC8" w14:textId="03DEFB3A" w:rsidR="006E48D7" w:rsidRP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5.2. atgalinio atspindžio medžiagos, paveiktos LST EN ISO 20471 standarto 6.2.1 punkte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(arba lygiaverčio standarto) nurodytų bandymų (abrazyvinio dilinimo, lenkimo, lankstymo esant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žemai temperatūrai, temperatūros svyravimų, skalbimo, kritulių įtakos), atgalinio atspindžio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koeficientas turi atitikti LST EN ISO 20471 standarto 6.2.2 punkte (arba lygiaverčio standarto)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>nurodytus reikalavimus.</w:t>
      </w:r>
    </w:p>
    <w:p w14:paraId="40B5EB1B" w14:textId="0C01C078" w:rsidR="006E48D7" w:rsidRDefault="006E48D7" w:rsidP="00CE6CD6">
      <w:pPr>
        <w:ind w:firstLine="567"/>
        <w:jc w:val="both"/>
        <w:rPr>
          <w:lang w:val="lt-LT"/>
        </w:rPr>
      </w:pPr>
      <w:r w:rsidRPr="006E48D7">
        <w:rPr>
          <w:lang w:val="lt-LT"/>
        </w:rPr>
        <w:t>6. Kibus užsegimas turi būti juodos spalvos. Techniniai reikalavimai kibiam užsegimui</w:t>
      </w:r>
      <w:r w:rsidR="00CE6CD6">
        <w:rPr>
          <w:lang w:val="lt-LT"/>
        </w:rPr>
        <w:t xml:space="preserve"> </w:t>
      </w:r>
      <w:r w:rsidRPr="006E48D7">
        <w:rPr>
          <w:lang w:val="lt-LT"/>
        </w:rPr>
        <w:t xml:space="preserve">pateikti lentelėje: </w:t>
      </w:r>
    </w:p>
    <w:p w14:paraId="43F8CEF9" w14:textId="77777777" w:rsidR="00CE6CD6" w:rsidRDefault="00CE6CD6" w:rsidP="00CE6CD6">
      <w:pPr>
        <w:jc w:val="both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CE6CD6" w14:paraId="691CEC3E" w14:textId="77777777" w:rsidTr="00CE6CD6">
        <w:tc>
          <w:tcPr>
            <w:tcW w:w="704" w:type="dxa"/>
          </w:tcPr>
          <w:p w14:paraId="5208292A" w14:textId="77777777" w:rsidR="00CE6CD6" w:rsidRDefault="00CE6CD6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Eil.</w:t>
            </w:r>
          </w:p>
          <w:p w14:paraId="3C2B02B9" w14:textId="06E5C665" w:rsidR="00CE6CD6" w:rsidRDefault="00CE6CD6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4110" w:type="dxa"/>
          </w:tcPr>
          <w:p w14:paraId="59143B10" w14:textId="0266BC31" w:rsidR="00CE6CD6" w:rsidRDefault="00CE6CD6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Rodiklio pavadinimas, dimensija</w:t>
            </w:r>
          </w:p>
        </w:tc>
        <w:tc>
          <w:tcPr>
            <w:tcW w:w="2407" w:type="dxa"/>
          </w:tcPr>
          <w:p w14:paraId="782AB611" w14:textId="15442179" w:rsidR="00CE6CD6" w:rsidRDefault="00CE6CD6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Rodiklio reikšmė</w:t>
            </w:r>
          </w:p>
        </w:tc>
        <w:tc>
          <w:tcPr>
            <w:tcW w:w="2407" w:type="dxa"/>
          </w:tcPr>
          <w:p w14:paraId="1997A18A" w14:textId="2BD33871" w:rsidR="00CE6CD6" w:rsidRDefault="00CE6CD6" w:rsidP="00CE6C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Bandymų metodo žymuo</w:t>
            </w:r>
          </w:p>
        </w:tc>
      </w:tr>
      <w:tr w:rsidR="00CE6CD6" w14:paraId="7539F5DB" w14:textId="77777777" w:rsidTr="00CE6CD6">
        <w:tc>
          <w:tcPr>
            <w:tcW w:w="704" w:type="dxa"/>
          </w:tcPr>
          <w:p w14:paraId="7E2FEB72" w14:textId="4515BC9B" w:rsidR="00CE6CD6" w:rsidRDefault="00CE6CD6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110" w:type="dxa"/>
          </w:tcPr>
          <w:p w14:paraId="0F6882B5" w14:textId="759671FF" w:rsidR="00CE6CD6" w:rsidRPr="00CE6CD6" w:rsidRDefault="00CE6CD6" w:rsidP="00CE6CD6">
            <w:pPr>
              <w:jc w:val="both"/>
              <w:rPr>
                <w:lang w:val="lt-LT"/>
              </w:rPr>
            </w:pPr>
            <w:r w:rsidRPr="00CE6CD6">
              <w:rPr>
                <w:lang w:val="lt-LT"/>
              </w:rPr>
              <w:t>Atskiriamoji jėga, N/cm</w:t>
            </w:r>
          </w:p>
        </w:tc>
        <w:tc>
          <w:tcPr>
            <w:tcW w:w="2407" w:type="dxa"/>
          </w:tcPr>
          <w:p w14:paraId="376B165F" w14:textId="77777777" w:rsidR="00CE6CD6" w:rsidRDefault="00CE6CD6" w:rsidP="00CE6CD6">
            <w:pPr>
              <w:jc w:val="both"/>
              <w:rPr>
                <w:lang w:val="lt-LT"/>
              </w:rPr>
            </w:pPr>
          </w:p>
        </w:tc>
        <w:tc>
          <w:tcPr>
            <w:tcW w:w="2407" w:type="dxa"/>
          </w:tcPr>
          <w:p w14:paraId="3F6EC9A3" w14:textId="77777777" w:rsidR="00CE6CD6" w:rsidRPr="00CE6CD6" w:rsidRDefault="00CE6CD6" w:rsidP="00CE6CD6">
            <w:pPr>
              <w:jc w:val="center"/>
              <w:rPr>
                <w:lang w:val="lt-LT"/>
              </w:rPr>
            </w:pPr>
            <w:r w:rsidRPr="00CE6CD6">
              <w:rPr>
                <w:lang w:val="lt-LT"/>
              </w:rPr>
              <w:t xml:space="preserve">LST EN 12242 arba </w:t>
            </w:r>
          </w:p>
          <w:p w14:paraId="22461254" w14:textId="183A3C66" w:rsidR="00CE6CD6" w:rsidRDefault="00CE6CD6" w:rsidP="00CE6CD6">
            <w:pPr>
              <w:jc w:val="center"/>
              <w:rPr>
                <w:lang w:val="lt-LT"/>
              </w:rPr>
            </w:pPr>
            <w:r w:rsidRPr="00CE6CD6">
              <w:rPr>
                <w:lang w:val="lt-LT"/>
              </w:rPr>
              <w:t>lygiavertis</w:t>
            </w:r>
          </w:p>
        </w:tc>
      </w:tr>
      <w:tr w:rsidR="00CE6CD6" w14:paraId="4FD8086E" w14:textId="77777777" w:rsidTr="00CE6CD6">
        <w:trPr>
          <w:trHeight w:val="279"/>
        </w:trPr>
        <w:tc>
          <w:tcPr>
            <w:tcW w:w="704" w:type="dxa"/>
          </w:tcPr>
          <w:p w14:paraId="4B5E8145" w14:textId="4BF63402" w:rsidR="00CE6CD6" w:rsidRDefault="00CE6CD6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1.1.</w:t>
            </w:r>
          </w:p>
        </w:tc>
        <w:tc>
          <w:tcPr>
            <w:tcW w:w="4110" w:type="dxa"/>
          </w:tcPr>
          <w:p w14:paraId="0392109B" w14:textId="3F6EF932" w:rsidR="00CE6CD6" w:rsidRDefault="00CE6CD6" w:rsidP="00CE6CD6">
            <w:pPr>
              <w:jc w:val="both"/>
              <w:rPr>
                <w:lang w:val="lt-LT"/>
              </w:rPr>
            </w:pPr>
            <w:r w:rsidRPr="00CE6CD6">
              <w:rPr>
                <w:lang w:val="lt-LT"/>
              </w:rPr>
              <w:t>po skalbimo</w:t>
            </w:r>
            <w:r>
              <w:rPr>
                <w:lang w:val="lt-LT"/>
              </w:rPr>
              <w:t>*</w:t>
            </w:r>
          </w:p>
        </w:tc>
        <w:tc>
          <w:tcPr>
            <w:tcW w:w="2407" w:type="dxa"/>
          </w:tcPr>
          <w:p w14:paraId="1593CA4D" w14:textId="44C1BC92" w:rsidR="00CE6CD6" w:rsidRDefault="00CE6CD6" w:rsidP="00CE6CD6">
            <w:pPr>
              <w:jc w:val="both"/>
              <w:rPr>
                <w:lang w:val="lt-LT"/>
              </w:rPr>
            </w:pPr>
            <w:r>
              <w:sym w:font="Symbol" w:char="F0B3"/>
            </w:r>
            <w:r>
              <w:t xml:space="preserve"> 1,3</w:t>
            </w:r>
          </w:p>
        </w:tc>
        <w:tc>
          <w:tcPr>
            <w:tcW w:w="2407" w:type="dxa"/>
          </w:tcPr>
          <w:p w14:paraId="61C4A418" w14:textId="350618DA" w:rsidR="00CE6CD6" w:rsidRDefault="00CE6CD6" w:rsidP="00CE6CD6">
            <w:pPr>
              <w:jc w:val="center"/>
              <w:rPr>
                <w:lang w:val="lt-LT"/>
              </w:rPr>
            </w:pPr>
          </w:p>
        </w:tc>
      </w:tr>
      <w:tr w:rsidR="00CE6CD6" w14:paraId="26736C15" w14:textId="77777777" w:rsidTr="00CE6CD6">
        <w:tc>
          <w:tcPr>
            <w:tcW w:w="704" w:type="dxa"/>
          </w:tcPr>
          <w:p w14:paraId="6AD9D4AC" w14:textId="48EDA029" w:rsidR="00CE6CD6" w:rsidRDefault="00CE6CD6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1.2.</w:t>
            </w:r>
          </w:p>
        </w:tc>
        <w:tc>
          <w:tcPr>
            <w:tcW w:w="4110" w:type="dxa"/>
          </w:tcPr>
          <w:p w14:paraId="41C0AB4B" w14:textId="2FAF5A72" w:rsidR="00CE6CD6" w:rsidRDefault="00CE6CD6" w:rsidP="00CE6CD6">
            <w:pPr>
              <w:jc w:val="both"/>
              <w:rPr>
                <w:lang w:val="lt-LT"/>
              </w:rPr>
            </w:pPr>
            <w:r w:rsidRPr="00CE6CD6">
              <w:rPr>
                <w:lang w:val="lt-LT"/>
              </w:rPr>
              <w:t>po 5 000 atidarymo - uždarymo ciklų</w:t>
            </w:r>
          </w:p>
        </w:tc>
        <w:tc>
          <w:tcPr>
            <w:tcW w:w="2407" w:type="dxa"/>
          </w:tcPr>
          <w:p w14:paraId="177829CD" w14:textId="50FC5ACB" w:rsidR="00CE6CD6" w:rsidRDefault="00CE6CD6" w:rsidP="00CE6CD6">
            <w:pPr>
              <w:jc w:val="both"/>
              <w:rPr>
                <w:lang w:val="lt-LT"/>
              </w:rPr>
            </w:pPr>
            <w:r>
              <w:sym w:font="Symbol" w:char="F0B3"/>
            </w:r>
            <w:r>
              <w:t xml:space="preserve"> 0,65</w:t>
            </w:r>
          </w:p>
        </w:tc>
        <w:tc>
          <w:tcPr>
            <w:tcW w:w="2407" w:type="dxa"/>
          </w:tcPr>
          <w:p w14:paraId="77E850DF" w14:textId="77777777" w:rsidR="00CE6CD6" w:rsidRDefault="00CE6CD6" w:rsidP="00CE6CD6">
            <w:pPr>
              <w:jc w:val="center"/>
              <w:rPr>
                <w:lang w:val="lt-LT"/>
              </w:rPr>
            </w:pPr>
          </w:p>
        </w:tc>
      </w:tr>
      <w:tr w:rsidR="00CE6CD6" w14:paraId="3BF8B487" w14:textId="77777777" w:rsidTr="00CE6CD6">
        <w:tc>
          <w:tcPr>
            <w:tcW w:w="704" w:type="dxa"/>
          </w:tcPr>
          <w:p w14:paraId="64F0F4CD" w14:textId="5DCA4DFB" w:rsidR="00CE6CD6" w:rsidRDefault="00CE6CD6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4110" w:type="dxa"/>
          </w:tcPr>
          <w:p w14:paraId="0AEC459A" w14:textId="1DF1F63E" w:rsidR="00CE6CD6" w:rsidRPr="00CE6CD6" w:rsidRDefault="00C064FA" w:rsidP="00CE6CD6">
            <w:pPr>
              <w:jc w:val="both"/>
              <w:rPr>
                <w:lang w:val="lt-LT"/>
              </w:rPr>
            </w:pPr>
            <w:r>
              <w:t>Šlyties jėga, N/cm2</w:t>
            </w:r>
          </w:p>
        </w:tc>
        <w:tc>
          <w:tcPr>
            <w:tcW w:w="2407" w:type="dxa"/>
          </w:tcPr>
          <w:p w14:paraId="2536D25B" w14:textId="77777777" w:rsidR="00CE6CD6" w:rsidRDefault="00CE6CD6" w:rsidP="00CE6CD6">
            <w:pPr>
              <w:jc w:val="both"/>
            </w:pPr>
          </w:p>
        </w:tc>
        <w:tc>
          <w:tcPr>
            <w:tcW w:w="2407" w:type="dxa"/>
          </w:tcPr>
          <w:p w14:paraId="4AF207E0" w14:textId="77777777" w:rsidR="00C064FA" w:rsidRPr="00C064FA" w:rsidRDefault="00C064FA" w:rsidP="00C064FA">
            <w:pPr>
              <w:jc w:val="center"/>
              <w:rPr>
                <w:lang w:val="lt-LT"/>
              </w:rPr>
            </w:pPr>
            <w:r w:rsidRPr="00C064FA">
              <w:rPr>
                <w:lang w:val="lt-LT"/>
              </w:rPr>
              <w:t xml:space="preserve">LST EN 13780 arba </w:t>
            </w:r>
          </w:p>
          <w:p w14:paraId="4330A362" w14:textId="6607BF55" w:rsidR="00CE6CD6" w:rsidRDefault="00C064FA" w:rsidP="00C064FA">
            <w:pPr>
              <w:jc w:val="center"/>
              <w:rPr>
                <w:lang w:val="lt-LT"/>
              </w:rPr>
            </w:pPr>
            <w:r w:rsidRPr="00C064FA">
              <w:rPr>
                <w:lang w:val="lt-LT"/>
              </w:rPr>
              <w:t>L</w:t>
            </w:r>
            <w:r w:rsidRPr="00C064FA">
              <w:rPr>
                <w:lang w:val="lt-LT"/>
              </w:rPr>
              <w:t>ygiavertis</w:t>
            </w:r>
          </w:p>
        </w:tc>
      </w:tr>
      <w:tr w:rsidR="00C064FA" w14:paraId="21585B07" w14:textId="77777777" w:rsidTr="00CE6CD6">
        <w:tc>
          <w:tcPr>
            <w:tcW w:w="704" w:type="dxa"/>
          </w:tcPr>
          <w:p w14:paraId="4BDD78F3" w14:textId="2F263DE8" w:rsidR="00C064FA" w:rsidRDefault="00C064FA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2.1.</w:t>
            </w:r>
          </w:p>
        </w:tc>
        <w:tc>
          <w:tcPr>
            <w:tcW w:w="4110" w:type="dxa"/>
          </w:tcPr>
          <w:p w14:paraId="0A75DD2B" w14:textId="5039066D" w:rsidR="00C064FA" w:rsidRDefault="00C064FA" w:rsidP="00CE6CD6">
            <w:pPr>
              <w:jc w:val="both"/>
            </w:pPr>
            <w:r w:rsidRPr="00C064FA">
              <w:t>po skalbimo*</w:t>
            </w:r>
          </w:p>
        </w:tc>
        <w:tc>
          <w:tcPr>
            <w:tcW w:w="2407" w:type="dxa"/>
          </w:tcPr>
          <w:p w14:paraId="66B27AC2" w14:textId="07B146E4" w:rsidR="00C064FA" w:rsidRDefault="00C064FA" w:rsidP="00CE6CD6">
            <w:pPr>
              <w:jc w:val="both"/>
            </w:pPr>
            <w:r>
              <w:sym w:font="Symbol" w:char="F0B3"/>
            </w:r>
            <w:r>
              <w:t xml:space="preserve"> 6</w:t>
            </w:r>
          </w:p>
        </w:tc>
        <w:tc>
          <w:tcPr>
            <w:tcW w:w="2407" w:type="dxa"/>
          </w:tcPr>
          <w:p w14:paraId="681C50E5" w14:textId="77777777" w:rsidR="00C064FA" w:rsidRPr="00C064FA" w:rsidRDefault="00C064FA" w:rsidP="00C064FA">
            <w:pPr>
              <w:jc w:val="center"/>
              <w:rPr>
                <w:lang w:val="lt-LT"/>
              </w:rPr>
            </w:pPr>
          </w:p>
        </w:tc>
      </w:tr>
      <w:tr w:rsidR="00C064FA" w14:paraId="2A0758F9" w14:textId="77777777" w:rsidTr="00CE6CD6">
        <w:tc>
          <w:tcPr>
            <w:tcW w:w="704" w:type="dxa"/>
          </w:tcPr>
          <w:p w14:paraId="7166149C" w14:textId="4C30FF92" w:rsidR="00C064FA" w:rsidRDefault="00C064FA" w:rsidP="00CE6CD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2.2.</w:t>
            </w:r>
          </w:p>
        </w:tc>
        <w:tc>
          <w:tcPr>
            <w:tcW w:w="4110" w:type="dxa"/>
          </w:tcPr>
          <w:p w14:paraId="74318DB8" w14:textId="1AAF8CCC" w:rsidR="00C064FA" w:rsidRDefault="00C064FA" w:rsidP="00CE6CD6">
            <w:pPr>
              <w:jc w:val="both"/>
            </w:pPr>
            <w:r>
              <w:t>po 5 000 atidarymo - uždarymo ciklų</w:t>
            </w:r>
          </w:p>
        </w:tc>
        <w:tc>
          <w:tcPr>
            <w:tcW w:w="2407" w:type="dxa"/>
          </w:tcPr>
          <w:p w14:paraId="2C16BF29" w14:textId="64A39F33" w:rsidR="00C064FA" w:rsidRDefault="00C064FA" w:rsidP="00CE6CD6">
            <w:pPr>
              <w:jc w:val="both"/>
            </w:pPr>
            <w:r>
              <w:sym w:font="Symbol" w:char="F0B3"/>
            </w:r>
            <w:r>
              <w:t xml:space="preserve"> 4</w:t>
            </w:r>
          </w:p>
        </w:tc>
        <w:tc>
          <w:tcPr>
            <w:tcW w:w="2407" w:type="dxa"/>
          </w:tcPr>
          <w:p w14:paraId="7FB05059" w14:textId="77777777" w:rsidR="00C064FA" w:rsidRPr="00C064FA" w:rsidRDefault="00C064FA" w:rsidP="00C064FA">
            <w:pPr>
              <w:jc w:val="center"/>
              <w:rPr>
                <w:lang w:val="lt-LT"/>
              </w:rPr>
            </w:pPr>
          </w:p>
        </w:tc>
      </w:tr>
    </w:tbl>
    <w:p w14:paraId="4EDD2FEE" w14:textId="77777777" w:rsidR="006E48D7" w:rsidRPr="006E48D7" w:rsidRDefault="006E48D7" w:rsidP="00C064FA">
      <w:pPr>
        <w:rPr>
          <w:lang w:val="lt-LT"/>
        </w:rPr>
      </w:pPr>
      <w:r w:rsidRPr="006E48D7">
        <w:rPr>
          <w:lang w:val="lt-LT"/>
        </w:rPr>
        <w:t>Pastaba. * Skalbimas turi būti atliekamas prie ne mažesnės kaip 40º C temperatūros.</w:t>
      </w:r>
    </w:p>
    <w:p w14:paraId="1A7508AD" w14:textId="28D0FF47" w:rsidR="006E48D7" w:rsidRPr="006E48D7" w:rsidRDefault="006E48D7" w:rsidP="00C064FA">
      <w:pPr>
        <w:ind w:firstLine="567"/>
        <w:rPr>
          <w:lang w:val="lt-LT"/>
        </w:rPr>
      </w:pPr>
      <w:r w:rsidRPr="006E48D7">
        <w:rPr>
          <w:lang w:val="lt-LT"/>
        </w:rPr>
        <w:t>7. Atšvaite turi būti įstatytos dvi nerūdijančio metalo akutės, kurių vidinis skersmuo</w:t>
      </w:r>
      <w:r w:rsidR="00C064FA">
        <w:rPr>
          <w:lang w:val="lt-LT"/>
        </w:rPr>
        <w:t xml:space="preserve"> </w:t>
      </w:r>
      <w:r w:rsidRPr="006E48D7">
        <w:rPr>
          <w:lang w:val="lt-LT"/>
        </w:rPr>
        <w:t>0,5 – 0,6 cm.</w:t>
      </w:r>
    </w:p>
    <w:p w14:paraId="652F2C2A" w14:textId="5D818094" w:rsidR="006E48D7" w:rsidRPr="006E48D7" w:rsidRDefault="006E48D7" w:rsidP="00C064FA">
      <w:pPr>
        <w:ind w:firstLine="567"/>
        <w:jc w:val="both"/>
        <w:rPr>
          <w:lang w:val="lt-LT"/>
        </w:rPr>
      </w:pPr>
      <w:r w:rsidRPr="006E48D7">
        <w:rPr>
          <w:lang w:val="lt-LT"/>
        </w:rPr>
        <w:t>8. Atšvaitas siuvamas priderintos spalvos armuotais poliesteriniais siūlais arba</w:t>
      </w:r>
      <w:r w:rsidR="00C064FA">
        <w:rPr>
          <w:lang w:val="lt-LT"/>
        </w:rPr>
        <w:t xml:space="preserve"> e</w:t>
      </w:r>
      <w:r w:rsidRPr="006E48D7">
        <w:rPr>
          <w:lang w:val="lt-LT"/>
        </w:rPr>
        <w:t>kvivalentiškos kokybės. Siuvimo siūlų storis turi užtikrinti siūlės stiprumą, siūlių galai turi būti</w:t>
      </w:r>
      <w:r w:rsidR="00C064FA">
        <w:rPr>
          <w:lang w:val="lt-LT"/>
        </w:rPr>
        <w:t xml:space="preserve"> </w:t>
      </w:r>
      <w:r w:rsidRPr="006E48D7">
        <w:rPr>
          <w:lang w:val="lt-LT"/>
        </w:rPr>
        <w:t>užtvirtinti.</w:t>
      </w:r>
    </w:p>
    <w:p w14:paraId="76EC6099" w14:textId="4A9C73C9" w:rsidR="006E48D7" w:rsidRDefault="006E48D7" w:rsidP="00C064FA">
      <w:pPr>
        <w:ind w:firstLine="567"/>
        <w:jc w:val="both"/>
        <w:rPr>
          <w:lang w:val="lt-LT"/>
        </w:rPr>
      </w:pPr>
      <w:r w:rsidRPr="006E48D7">
        <w:rPr>
          <w:lang w:val="lt-LT"/>
        </w:rPr>
        <w:lastRenderedPageBreak/>
        <w:t>9. Atšvaito siuvime panaudotų medžiagų (tekstilinės juostelės, atgalinio atspindžio</w:t>
      </w:r>
      <w:r w:rsidR="00C064FA">
        <w:rPr>
          <w:lang w:val="lt-LT"/>
        </w:rPr>
        <w:t xml:space="preserve"> </w:t>
      </w:r>
      <w:r w:rsidRPr="006E48D7">
        <w:rPr>
          <w:lang w:val="lt-LT"/>
        </w:rPr>
        <w:t>medžiagos, kibaus užsegimo) kraštai turi būti apdirbti, kad neirtų. Gaminių pasiuvimas turi būti</w:t>
      </w:r>
      <w:r w:rsidR="00C064FA">
        <w:rPr>
          <w:lang w:val="lt-LT"/>
        </w:rPr>
        <w:t xml:space="preserve"> </w:t>
      </w:r>
      <w:r w:rsidRPr="006E48D7">
        <w:rPr>
          <w:lang w:val="lt-LT"/>
        </w:rPr>
        <w:t>atliktas kokybiškai: negalimas siūlių suraukimas, iškreivinimas, praleisti, sutankėję, išretėję ir/ar</w:t>
      </w:r>
      <w:r w:rsidR="00C064FA">
        <w:rPr>
          <w:lang w:val="lt-LT"/>
        </w:rPr>
        <w:t xml:space="preserve"> </w:t>
      </w:r>
      <w:r w:rsidRPr="006E48D7">
        <w:rPr>
          <w:lang w:val="lt-LT"/>
        </w:rPr>
        <w:t>neteisingai užveržti dygsniai, nutrūkę siuvimo siūlai, medžiagų pažeidimas siuvimo mašinos adata ir</w:t>
      </w:r>
      <w:r w:rsidR="00C064FA">
        <w:rPr>
          <w:lang w:val="lt-LT"/>
        </w:rPr>
        <w:t xml:space="preserve"> </w:t>
      </w:r>
      <w:r w:rsidRPr="006E48D7">
        <w:rPr>
          <w:lang w:val="lt-LT"/>
        </w:rPr>
        <w:t>pan.</w:t>
      </w:r>
    </w:p>
    <w:p w14:paraId="31DB7185" w14:textId="77777777" w:rsidR="00C064FA" w:rsidRDefault="00C064FA" w:rsidP="006E48D7">
      <w:pPr>
        <w:jc w:val="center"/>
        <w:rPr>
          <w:lang w:val="lt-LT"/>
        </w:rPr>
      </w:pPr>
    </w:p>
    <w:p w14:paraId="4664DF3E" w14:textId="77777777" w:rsidR="00C064FA" w:rsidRPr="006E48D7" w:rsidRDefault="00C064FA" w:rsidP="006E48D7">
      <w:pPr>
        <w:jc w:val="center"/>
        <w:rPr>
          <w:lang w:val="lt-LT"/>
        </w:rPr>
      </w:pPr>
    </w:p>
    <w:p w14:paraId="6542C564" w14:textId="7E418FA5" w:rsidR="006E48D7" w:rsidRPr="00E26F25" w:rsidRDefault="006E48D7" w:rsidP="00E26F25">
      <w:pPr>
        <w:pStyle w:val="ListParagraph"/>
        <w:numPr>
          <w:ilvl w:val="0"/>
          <w:numId w:val="5"/>
        </w:numPr>
        <w:jc w:val="center"/>
        <w:rPr>
          <w:b/>
          <w:bCs/>
          <w:lang w:val="lt-LT"/>
        </w:rPr>
      </w:pPr>
      <w:r w:rsidRPr="00E26F25">
        <w:rPr>
          <w:b/>
          <w:bCs/>
          <w:lang w:val="lt-LT"/>
        </w:rPr>
        <w:t>ŽENKLINIMAS IR PAKAVIMAS</w:t>
      </w:r>
    </w:p>
    <w:p w14:paraId="628E0ACF" w14:textId="77777777" w:rsidR="00E26F25" w:rsidRPr="00E26F25" w:rsidRDefault="00E26F25" w:rsidP="00E26F25">
      <w:pPr>
        <w:pStyle w:val="ListParagraph"/>
        <w:ind w:left="1429"/>
        <w:rPr>
          <w:b/>
          <w:bCs/>
          <w:lang w:val="lt-LT"/>
        </w:rPr>
      </w:pPr>
    </w:p>
    <w:p w14:paraId="4D9B7840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10. Prie atšvaito vidinės pusės prisiūta ženklinimo juostelė, kurioje nurodoma:</w:t>
      </w:r>
    </w:p>
    <w:p w14:paraId="606110CE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gamintojo pavadinimas arba prekės ženklas;</w:t>
      </w:r>
    </w:p>
    <w:p w14:paraId="06CE9BB6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sutarties numeris ir data</w:t>
      </w:r>
    </w:p>
    <w:p w14:paraId="3F3845AC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prekės partijos ir siuntos indeksas;</w:t>
      </w:r>
    </w:p>
    <w:p w14:paraId="6CD5A5EF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pagaminimo data (metai, mėnuo);</w:t>
      </w:r>
    </w:p>
    <w:p w14:paraId="5B4BA27B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priežiūros ženklų simboliai (pagal LST EN ISO 3758).</w:t>
      </w:r>
    </w:p>
    <w:p w14:paraId="7F01AB23" w14:textId="368EA4DD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Ženklinimo juostelė turi būti pagaminta iš atitinkamos medžiagos, kuri būtų ne mažiau atspari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kaip gaminys, ant kurio ji tvirtinama, o informacija būtų lengvai įskaitoma visą jo naudojimo laiką.</w:t>
      </w:r>
    </w:p>
    <w:p w14:paraId="7E0F6C4D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11. Atšvaitai tiekiami supakuoti į polietileninius maišelius po 10 vnt., paženklinus etikete,</w:t>
      </w:r>
    </w:p>
    <w:p w14:paraId="30BAB94A" w14:textId="77777777" w:rsidR="006E48D7" w:rsidRPr="006E48D7" w:rsidRDefault="006E48D7" w:rsidP="00E26F25">
      <w:pPr>
        <w:jc w:val="both"/>
        <w:rPr>
          <w:lang w:val="lt-LT"/>
        </w:rPr>
      </w:pPr>
      <w:r w:rsidRPr="006E48D7">
        <w:rPr>
          <w:lang w:val="lt-LT"/>
        </w:rPr>
        <w:t>kurioje nurodoma:</w:t>
      </w:r>
    </w:p>
    <w:p w14:paraId="06631458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 xml:space="preserve"> - tiekėjo pavadinimas arba prekės ženklas;</w:t>
      </w:r>
    </w:p>
    <w:p w14:paraId="221019E2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gamintojo pavadinimas arba prekės ženklas (jei nesutampa su tiekėju);</w:t>
      </w:r>
    </w:p>
    <w:p w14:paraId="5EBDC97E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gaminio pavadinimas (turi atitikti nurodytą sutartyje);</w:t>
      </w:r>
    </w:p>
    <w:p w14:paraId="31E7D12C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sutarties numeris ir data</w:t>
      </w:r>
    </w:p>
    <w:p w14:paraId="25505C21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prekės partijos ir siuntos indeksas;</w:t>
      </w:r>
    </w:p>
    <w:p w14:paraId="16EB1AFC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kiekis;</w:t>
      </w:r>
    </w:p>
    <w:p w14:paraId="5476E37A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pagaminimo data;</w:t>
      </w:r>
    </w:p>
    <w:p w14:paraId="7001A66B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NSN kodas.</w:t>
      </w:r>
    </w:p>
    <w:p w14:paraId="466F49CA" w14:textId="4EB018E9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12. Etiketė turi būti patikimai pritvirtinta, ženklinimo rekvizitai turi būti pakankamo dydžio,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kad būtų galima lengvai perskaityti ir suprasti pateikiamą informaciją.</w:t>
      </w:r>
    </w:p>
    <w:p w14:paraId="366E952A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13. Atšvaitai sudedami į kartonines dėžes ne daugiau kaip po 100 vnt.</w:t>
      </w:r>
    </w:p>
    <w:p w14:paraId="4B5D2A5F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14. Kartoninės dėžės ženklinamos etiketėmis, kuriose nurodoma:</w:t>
      </w:r>
    </w:p>
    <w:p w14:paraId="502F6E9B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tiekėjo pavadinimas ar prekės ženklas;</w:t>
      </w:r>
    </w:p>
    <w:p w14:paraId="46B2FFF5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gamintojo pavadinimas arba prekės ženklas (jei nesutampa su tiekėju);</w:t>
      </w:r>
    </w:p>
    <w:p w14:paraId="41D75194" w14:textId="42A0E8D5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importuotoms prekėms nurodyti prekės kilmės šalį, jeigu ji nesutampa su šalimi,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kurioje registruota gamintojo buveinė;</w:t>
      </w:r>
    </w:p>
    <w:p w14:paraId="7C6182C3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gaminio pavadinimas (turi atitikt nurodytą sutartyje);</w:t>
      </w:r>
    </w:p>
    <w:p w14:paraId="43E2778A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prekės partijos ir siuntos indeksas;</w:t>
      </w:r>
    </w:p>
    <w:p w14:paraId="6210B6FB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kiekis;</w:t>
      </w:r>
    </w:p>
    <w:p w14:paraId="3648B0D2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sutarties numeris ir data;</w:t>
      </w:r>
    </w:p>
    <w:p w14:paraId="1DB448E0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pagaminimo data;</w:t>
      </w:r>
    </w:p>
    <w:p w14:paraId="285C7206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NSN kodas.</w:t>
      </w:r>
    </w:p>
    <w:p w14:paraId="51E3FBEC" w14:textId="2EF9194A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15. Kartoninės dėžės pristatomos sudėtos ant standartinio dydžio (120 X 80 cm) euro padėklų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(toliau – europaletės). Europaletės turi būti tinkamai paruoštos transportavimui: kartoninės dėžės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transportavimo metu turi išlaikyti savo pradinę formą (nebūtų suspaustos ar kitaip mechaniškai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pažeistos), turi būti sudėtos taip, kad neišsikištų už europaletės ribų ir tolygiai užpildytų europaletės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plotą. Europaletė turi būti tvirtai apvyniota pakavimo plėvele taip, kad transportavimo metu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kartoninių dėžių nebūtų galima atskirti nuo europaletės. Prie kiekvienos europaletės turi būti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pritvirtintas ne mažesnio kaip A4 formato dydžio lapas su tokiais ryškiai matomais rekvizitais:</w:t>
      </w:r>
    </w:p>
    <w:p w14:paraId="324476C2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- tiekėjo pavadinimas;</w:t>
      </w:r>
    </w:p>
    <w:p w14:paraId="3F59F5AD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gamintojo pavadinimas arba prekės ženklas (jei nesutampa su tiekėju);</w:t>
      </w:r>
    </w:p>
    <w:p w14:paraId="7932C044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gaminio pavadinimas (turi atitikti sutartyje nurodytą gaminio pavadinimą);</w:t>
      </w:r>
    </w:p>
    <w:p w14:paraId="2B06E96A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dydis;</w:t>
      </w:r>
    </w:p>
    <w:p w14:paraId="433552F6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dėžių kiekis;</w:t>
      </w:r>
    </w:p>
    <w:p w14:paraId="6FBC7DD5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lastRenderedPageBreak/>
        <w:t>- gaminių kiekis vienoje dėžėje;</w:t>
      </w:r>
    </w:p>
    <w:p w14:paraId="2D3445BF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bendras gaminių kiekis europaletėje;</w:t>
      </w:r>
    </w:p>
    <w:p w14:paraId="4964837B" w14:textId="77777777" w:rsidR="006E48D7" w:rsidRPr="006E48D7" w:rsidRDefault="006E48D7" w:rsidP="00E26F25">
      <w:pPr>
        <w:ind w:firstLine="567"/>
        <w:rPr>
          <w:lang w:val="lt-LT"/>
        </w:rPr>
      </w:pPr>
      <w:r w:rsidRPr="006E48D7">
        <w:rPr>
          <w:lang w:val="lt-LT"/>
        </w:rPr>
        <w:t>- kita informacija (nurodoma esant poreikiui).</w:t>
      </w:r>
    </w:p>
    <w:p w14:paraId="7EBAC6D6" w14:textId="01EA5C91" w:rsid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16. Gaminių pakuotės (kartoninės dėžės) turi atitikti minimalius aplinkos apsaugos kriterijus, nurodytus</w:t>
      </w:r>
      <w:r w:rsidR="00E26F25" w:rsidRPr="00E26F25">
        <w:t xml:space="preserve"> </w:t>
      </w:r>
      <w:r w:rsidR="00E26F25" w:rsidRPr="00E26F25">
        <w:rPr>
          <w:lang w:val="lt-LT"/>
        </w:rPr>
        <w:t>Aplinkos apsaugos kriterijų taikymo, vykdant žaliuosius pirkimus, tvarkos aprašo</w:t>
      </w:r>
      <w:r w:rsidR="00E26F25">
        <w:rPr>
          <w:lang w:val="lt-LT"/>
        </w:rPr>
        <w:t xml:space="preserve">, patvirtinto </w:t>
      </w:r>
      <w:r w:rsidRPr="006E48D7">
        <w:rPr>
          <w:lang w:val="lt-LT"/>
        </w:rPr>
        <w:t xml:space="preserve"> Lietuvos Respublikos aplinkos ministro 2011 m. birželio 28 </w:t>
      </w:r>
      <w:r w:rsidR="00E26F25">
        <w:rPr>
          <w:lang w:val="lt-LT"/>
        </w:rPr>
        <w:t xml:space="preserve">d. </w:t>
      </w:r>
      <w:r w:rsidRPr="006E48D7">
        <w:rPr>
          <w:lang w:val="lt-LT"/>
        </w:rPr>
        <w:t>įsakymu Nr. D1-508</w:t>
      </w:r>
      <w:r w:rsidR="00E26F25">
        <w:rPr>
          <w:lang w:val="lt-LT"/>
        </w:rPr>
        <w:t>,</w:t>
      </w:r>
      <w:r w:rsidRPr="006E48D7">
        <w:rPr>
          <w:lang w:val="lt-LT"/>
        </w:rPr>
        <w:t xml:space="preserve"> 2 priedo II skyriuje „Pakuotės“.</w:t>
      </w:r>
    </w:p>
    <w:p w14:paraId="5DAC5D71" w14:textId="77777777" w:rsidR="00E26F25" w:rsidRPr="00E26F25" w:rsidRDefault="00E26F25" w:rsidP="00E26F25">
      <w:pPr>
        <w:jc w:val="center"/>
        <w:rPr>
          <w:b/>
          <w:bCs/>
          <w:lang w:val="lt-LT"/>
        </w:rPr>
      </w:pPr>
    </w:p>
    <w:p w14:paraId="5E6AFF1E" w14:textId="16621B97" w:rsidR="006E48D7" w:rsidRPr="00E26F25" w:rsidRDefault="006E48D7" w:rsidP="00E26F25">
      <w:pPr>
        <w:pStyle w:val="ListParagraph"/>
        <w:numPr>
          <w:ilvl w:val="0"/>
          <w:numId w:val="5"/>
        </w:numPr>
        <w:tabs>
          <w:tab w:val="left" w:pos="709"/>
          <w:tab w:val="left" w:pos="2835"/>
        </w:tabs>
        <w:ind w:left="0" w:firstLine="0"/>
        <w:jc w:val="center"/>
        <w:rPr>
          <w:b/>
          <w:bCs/>
          <w:lang w:val="lt-LT"/>
        </w:rPr>
      </w:pPr>
      <w:r w:rsidRPr="00E26F25">
        <w:rPr>
          <w:b/>
          <w:bCs/>
          <w:lang w:val="lt-LT"/>
        </w:rPr>
        <w:t>GAMINIŲ PRIĖMIMAS</w:t>
      </w:r>
    </w:p>
    <w:p w14:paraId="3D02256A" w14:textId="77777777" w:rsidR="00E26F25" w:rsidRPr="00E26F25" w:rsidRDefault="00E26F25" w:rsidP="00E26F25">
      <w:pPr>
        <w:pStyle w:val="ListParagraph"/>
        <w:ind w:left="1429"/>
        <w:rPr>
          <w:b/>
          <w:bCs/>
          <w:lang w:val="lt-LT"/>
        </w:rPr>
      </w:pPr>
    </w:p>
    <w:p w14:paraId="49CA1A02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17. Sudarius sutartį derinami ir tvirtinami darbiniai pavyzdžiai.</w:t>
      </w:r>
    </w:p>
    <w:p w14:paraId="69549F15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18. Darbinio pavyzdžio tvirtinimui tiekėjas pristato:</w:t>
      </w:r>
    </w:p>
    <w:p w14:paraId="6E67D918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18.1. du identiškus gaminius;</w:t>
      </w:r>
    </w:p>
    <w:p w14:paraId="1F066C1B" w14:textId="409295E1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18.2. gaminio techninį aprašą (gaminio siuvime panaudotų medžiagų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laboratorinių bandymų protokolus, įrodančius jų atitikimą techninėje specifikacijoje nurodytiems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reikalavimams (protokolai turi būti patvirtinti gamintojo arba laboratorijos ir pateikti originalo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kalba su vertimu į lietuvių kalbą));</w:t>
      </w:r>
    </w:p>
    <w:p w14:paraId="1CC9349D" w14:textId="78D15EC6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18.3. gaminio naudojimo – priežiūros instrukciją (kurią patvirtinus, ji turi būti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pateikiama prie kiekvieno gaminio).</w:t>
      </w:r>
    </w:p>
    <w:p w14:paraId="4AB068D6" w14:textId="5E3CA708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19. Esant poreikiui, derinimo eigoje gaminio išmatavimai, siuvimo technologija ir pan. gali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būti tikslinami.</w:t>
      </w:r>
    </w:p>
    <w:p w14:paraId="6CB2C0EB" w14:textId="77777777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20. Serijinę gamybą leidžiama pradėti tik patvirtinus darbinį pavyzdį.</w:t>
      </w:r>
    </w:p>
    <w:p w14:paraId="5CD5E99A" w14:textId="277C0B3C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21. Gaminiai priimami partijomis ir siuntomis. Kiekviena prekių partija turi būti pažymėta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sutartiniu ženklu, ir jai pateikiama prekės atitikties deklaracija pagal LST EN ISO/IEC 17050 formą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 xml:space="preserve">A.2. </w:t>
      </w:r>
    </w:p>
    <w:p w14:paraId="18063D4B" w14:textId="5F4E05AB" w:rsidR="006E48D7" w:rsidRPr="006E48D7" w:rsidRDefault="006E48D7" w:rsidP="00E26F25">
      <w:pPr>
        <w:ind w:firstLine="567"/>
        <w:jc w:val="both"/>
        <w:rPr>
          <w:lang w:val="lt-LT"/>
        </w:rPr>
      </w:pPr>
      <w:r w:rsidRPr="006E48D7">
        <w:rPr>
          <w:lang w:val="lt-LT"/>
        </w:rPr>
        <w:t>22. Užsakovas iš pasirinktos prekių partijos pagal sutarties sąlygas tikrina prekių kokybę bei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gali atlikti jų laboratorinius bandymus. Tuo atveju, kai gauti rezultatai neatitinka techninių</w:t>
      </w:r>
      <w:r w:rsidR="00E26F25">
        <w:rPr>
          <w:lang w:val="lt-LT"/>
        </w:rPr>
        <w:t xml:space="preserve"> </w:t>
      </w:r>
      <w:r w:rsidRPr="006E48D7">
        <w:rPr>
          <w:lang w:val="lt-LT"/>
        </w:rPr>
        <w:t>reikalavimų, brokuojama visa tuo metu pristatyta prekių partija.</w:t>
      </w:r>
    </w:p>
    <w:p w14:paraId="59A6D36C" w14:textId="77777777" w:rsidR="00E26F25" w:rsidRDefault="00E26F25" w:rsidP="006E48D7">
      <w:pPr>
        <w:jc w:val="center"/>
        <w:rPr>
          <w:lang w:val="lt-LT"/>
        </w:rPr>
      </w:pPr>
    </w:p>
    <w:p w14:paraId="40F0A0D7" w14:textId="77777777" w:rsidR="00E26F25" w:rsidRDefault="00E26F25" w:rsidP="006E48D7">
      <w:pPr>
        <w:jc w:val="center"/>
        <w:rPr>
          <w:lang w:val="lt-LT"/>
        </w:rPr>
      </w:pPr>
    </w:p>
    <w:p w14:paraId="2BEABC32" w14:textId="77777777" w:rsidR="00E26F25" w:rsidRDefault="00E26F25" w:rsidP="006E48D7">
      <w:pPr>
        <w:jc w:val="center"/>
        <w:rPr>
          <w:lang w:val="lt-LT"/>
        </w:rPr>
      </w:pPr>
    </w:p>
    <w:p w14:paraId="7E563D2D" w14:textId="77777777" w:rsidR="00E26F25" w:rsidRDefault="00E26F25" w:rsidP="006E48D7">
      <w:pPr>
        <w:jc w:val="center"/>
        <w:rPr>
          <w:lang w:val="lt-LT"/>
        </w:rPr>
      </w:pPr>
    </w:p>
    <w:p w14:paraId="3E272AA5" w14:textId="77777777" w:rsidR="00E26F25" w:rsidRDefault="00E26F25" w:rsidP="006E48D7">
      <w:pPr>
        <w:jc w:val="center"/>
        <w:rPr>
          <w:lang w:val="lt-LT"/>
        </w:rPr>
      </w:pPr>
    </w:p>
    <w:p w14:paraId="16A79F60" w14:textId="77777777" w:rsidR="00E26F25" w:rsidRDefault="00E26F25" w:rsidP="006E48D7">
      <w:pPr>
        <w:jc w:val="center"/>
        <w:rPr>
          <w:lang w:val="lt-LT"/>
        </w:rPr>
      </w:pPr>
    </w:p>
    <w:p w14:paraId="27E2F8F3" w14:textId="77777777" w:rsidR="00E26F25" w:rsidRDefault="00E26F25" w:rsidP="006E48D7">
      <w:pPr>
        <w:jc w:val="center"/>
        <w:rPr>
          <w:lang w:val="lt-LT"/>
        </w:rPr>
      </w:pPr>
    </w:p>
    <w:p w14:paraId="34F18CDE" w14:textId="77777777" w:rsidR="00E26F25" w:rsidRDefault="00E26F25" w:rsidP="006E48D7">
      <w:pPr>
        <w:jc w:val="center"/>
        <w:rPr>
          <w:lang w:val="lt-LT"/>
        </w:rPr>
      </w:pPr>
    </w:p>
    <w:p w14:paraId="2A99FEA4" w14:textId="77777777" w:rsidR="00E26F25" w:rsidRDefault="00E26F25" w:rsidP="006E48D7">
      <w:pPr>
        <w:jc w:val="center"/>
        <w:rPr>
          <w:lang w:val="lt-LT"/>
        </w:rPr>
      </w:pPr>
    </w:p>
    <w:p w14:paraId="26B75692" w14:textId="77777777" w:rsidR="00E26F25" w:rsidRDefault="00E26F25" w:rsidP="006E48D7">
      <w:pPr>
        <w:jc w:val="center"/>
        <w:rPr>
          <w:lang w:val="lt-LT"/>
        </w:rPr>
      </w:pPr>
    </w:p>
    <w:p w14:paraId="0346E18F" w14:textId="77777777" w:rsidR="00E26F25" w:rsidRDefault="00E26F25" w:rsidP="006E48D7">
      <w:pPr>
        <w:jc w:val="center"/>
        <w:rPr>
          <w:lang w:val="lt-LT"/>
        </w:rPr>
      </w:pPr>
    </w:p>
    <w:p w14:paraId="4EB97B6D" w14:textId="77777777" w:rsidR="00E26F25" w:rsidRDefault="00E26F25" w:rsidP="006E48D7">
      <w:pPr>
        <w:jc w:val="center"/>
        <w:rPr>
          <w:lang w:val="lt-LT"/>
        </w:rPr>
      </w:pPr>
    </w:p>
    <w:p w14:paraId="4CC67002" w14:textId="77777777" w:rsidR="00E26F25" w:rsidRDefault="00E26F25" w:rsidP="006E48D7">
      <w:pPr>
        <w:jc w:val="center"/>
        <w:rPr>
          <w:lang w:val="lt-LT"/>
        </w:rPr>
      </w:pPr>
    </w:p>
    <w:p w14:paraId="3AF72B41" w14:textId="77777777" w:rsidR="00E26F25" w:rsidRDefault="00E26F25" w:rsidP="006E48D7">
      <w:pPr>
        <w:jc w:val="center"/>
        <w:rPr>
          <w:lang w:val="lt-LT"/>
        </w:rPr>
      </w:pPr>
    </w:p>
    <w:p w14:paraId="271162E3" w14:textId="77777777" w:rsidR="00E26F25" w:rsidRDefault="00E26F25" w:rsidP="006E48D7">
      <w:pPr>
        <w:jc w:val="center"/>
        <w:rPr>
          <w:lang w:val="lt-LT"/>
        </w:rPr>
      </w:pPr>
    </w:p>
    <w:p w14:paraId="0B4A911B" w14:textId="77777777" w:rsidR="00E26F25" w:rsidRDefault="00E26F25" w:rsidP="006E48D7">
      <w:pPr>
        <w:jc w:val="center"/>
        <w:rPr>
          <w:lang w:val="lt-LT"/>
        </w:rPr>
      </w:pPr>
    </w:p>
    <w:p w14:paraId="04B00EC0" w14:textId="77777777" w:rsidR="00E26F25" w:rsidRDefault="00E26F25" w:rsidP="006E48D7">
      <w:pPr>
        <w:jc w:val="center"/>
        <w:rPr>
          <w:lang w:val="lt-LT"/>
        </w:rPr>
      </w:pPr>
    </w:p>
    <w:p w14:paraId="3A2C4713" w14:textId="77777777" w:rsidR="00E26F25" w:rsidRDefault="00E26F25" w:rsidP="006E48D7">
      <w:pPr>
        <w:jc w:val="center"/>
        <w:rPr>
          <w:lang w:val="lt-LT"/>
        </w:rPr>
      </w:pPr>
    </w:p>
    <w:p w14:paraId="16EB5C91" w14:textId="77777777" w:rsidR="00E26F25" w:rsidRDefault="00E26F25" w:rsidP="006E48D7">
      <w:pPr>
        <w:jc w:val="center"/>
        <w:rPr>
          <w:lang w:val="lt-LT"/>
        </w:rPr>
      </w:pPr>
    </w:p>
    <w:p w14:paraId="783E203C" w14:textId="77777777" w:rsidR="00E26F25" w:rsidRDefault="00E26F25" w:rsidP="006E48D7">
      <w:pPr>
        <w:jc w:val="center"/>
        <w:rPr>
          <w:lang w:val="lt-LT"/>
        </w:rPr>
      </w:pPr>
    </w:p>
    <w:p w14:paraId="5A144F8B" w14:textId="77777777" w:rsidR="00E26F25" w:rsidRDefault="00E26F25" w:rsidP="006E48D7">
      <w:pPr>
        <w:jc w:val="center"/>
        <w:rPr>
          <w:lang w:val="lt-LT"/>
        </w:rPr>
      </w:pPr>
    </w:p>
    <w:p w14:paraId="1F102D30" w14:textId="77777777" w:rsidR="00E26F25" w:rsidRDefault="00E26F25" w:rsidP="006E48D7">
      <w:pPr>
        <w:jc w:val="center"/>
        <w:rPr>
          <w:lang w:val="lt-LT"/>
        </w:rPr>
      </w:pPr>
    </w:p>
    <w:p w14:paraId="4EE2F806" w14:textId="77777777" w:rsidR="00E26F25" w:rsidRDefault="00E26F25" w:rsidP="006E48D7">
      <w:pPr>
        <w:jc w:val="center"/>
        <w:rPr>
          <w:lang w:val="lt-LT"/>
        </w:rPr>
      </w:pPr>
    </w:p>
    <w:p w14:paraId="00E4DFFF" w14:textId="77777777" w:rsidR="00E26F25" w:rsidRDefault="00E26F25" w:rsidP="006E48D7">
      <w:pPr>
        <w:jc w:val="center"/>
        <w:rPr>
          <w:lang w:val="lt-LT"/>
        </w:rPr>
      </w:pPr>
    </w:p>
    <w:p w14:paraId="7C5B1503" w14:textId="6771E0D2" w:rsidR="006E48D7" w:rsidRPr="006E48D7" w:rsidRDefault="006E48D7" w:rsidP="00E26F25">
      <w:pPr>
        <w:ind w:left="5184" w:firstLine="1296"/>
        <w:jc w:val="center"/>
        <w:rPr>
          <w:lang w:val="lt-LT"/>
        </w:rPr>
      </w:pPr>
      <w:r w:rsidRPr="006E48D7">
        <w:rPr>
          <w:lang w:val="lt-LT"/>
        </w:rPr>
        <w:lastRenderedPageBreak/>
        <w:t>Eskizas</w:t>
      </w:r>
    </w:p>
    <w:p w14:paraId="4D4212F1" w14:textId="77777777" w:rsidR="006E48D7" w:rsidRPr="00E26F25" w:rsidRDefault="006E48D7" w:rsidP="006E48D7">
      <w:pPr>
        <w:jc w:val="center"/>
        <w:rPr>
          <w:b/>
          <w:bCs/>
          <w:lang w:val="lt-LT"/>
        </w:rPr>
      </w:pPr>
      <w:r w:rsidRPr="00E26F25">
        <w:rPr>
          <w:b/>
          <w:bCs/>
          <w:lang w:val="lt-LT"/>
        </w:rPr>
        <w:t>ATŠVAITAS</w:t>
      </w:r>
    </w:p>
    <w:p w14:paraId="2FD9F57E" w14:textId="77777777" w:rsidR="006E48D7" w:rsidRDefault="006E48D7" w:rsidP="006E48D7">
      <w:pPr>
        <w:jc w:val="center"/>
        <w:rPr>
          <w:lang w:val="lt-LT"/>
        </w:rPr>
      </w:pPr>
    </w:p>
    <w:p w14:paraId="71199418" w14:textId="77777777" w:rsidR="006E48D7" w:rsidRDefault="006E48D7" w:rsidP="006E48D7">
      <w:pPr>
        <w:jc w:val="center"/>
        <w:rPr>
          <w:lang w:val="lt-LT"/>
        </w:rPr>
      </w:pPr>
    </w:p>
    <w:p w14:paraId="00D04AB1" w14:textId="77777777" w:rsidR="006E48D7" w:rsidRDefault="006E48D7" w:rsidP="006E48D7">
      <w:pPr>
        <w:jc w:val="center"/>
        <w:rPr>
          <w:lang w:val="lt-LT"/>
        </w:rPr>
      </w:pPr>
    </w:p>
    <w:p w14:paraId="2BB78297" w14:textId="26A1E9E3" w:rsidR="006E48D7" w:rsidRDefault="007B42BD" w:rsidP="006E48D7">
      <w:pPr>
        <w:jc w:val="center"/>
        <w:rPr>
          <w:lang w:val="lt-LT"/>
        </w:rPr>
      </w:pPr>
      <w:r w:rsidRPr="007B42BD">
        <w:rPr>
          <w:lang w:val="lt-LT"/>
        </w:rPr>
        <w:drawing>
          <wp:inline distT="0" distB="0" distL="0" distR="0" wp14:anchorId="2C965EE4" wp14:editId="1FC317DD">
            <wp:extent cx="5048250" cy="526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4B01" w14:textId="77777777" w:rsidR="006E48D7" w:rsidRDefault="006E48D7" w:rsidP="006E48D7">
      <w:pPr>
        <w:jc w:val="center"/>
        <w:rPr>
          <w:lang w:val="lt-LT"/>
        </w:rPr>
      </w:pPr>
    </w:p>
    <w:p w14:paraId="1784D138" w14:textId="0DBA7264" w:rsidR="00195DDD" w:rsidRPr="002460D4" w:rsidRDefault="00CB64B4" w:rsidP="006E48D7">
      <w:pPr>
        <w:jc w:val="center"/>
        <w:rPr>
          <w:lang w:val="lt-LT"/>
        </w:rPr>
      </w:pPr>
      <w:r>
        <w:rPr>
          <w:lang w:val="lt-LT"/>
        </w:rPr>
        <w:t>________________</w:t>
      </w:r>
    </w:p>
    <w:sectPr w:rsidR="00195DDD" w:rsidRPr="002460D4" w:rsidSect="0085534F">
      <w:headerReference w:type="default" r:id="rId9"/>
      <w:footerReference w:type="even" r:id="rId10"/>
      <w:foot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4BAB" w14:textId="77777777" w:rsidR="00A01469" w:rsidRDefault="00A01469">
      <w:r>
        <w:separator/>
      </w:r>
    </w:p>
  </w:endnote>
  <w:endnote w:type="continuationSeparator" w:id="0">
    <w:p w14:paraId="139E513E" w14:textId="77777777" w:rsidR="00A01469" w:rsidRDefault="00A0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C80B" w14:textId="5C9E2C3A" w:rsidR="00AA7F7B" w:rsidRDefault="00295A7D" w:rsidP="00731B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2C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25140E" w14:textId="77777777" w:rsidR="00AA7F7B" w:rsidRDefault="00AA7F7B" w:rsidP="00DF06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9EC2" w14:textId="77777777" w:rsidR="00AA7F7B" w:rsidRDefault="00295A7D" w:rsidP="00731B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B57D3F" w14:textId="77777777" w:rsidR="00AA7F7B" w:rsidRDefault="00AA7F7B" w:rsidP="00DF06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BAD0" w14:textId="77777777" w:rsidR="00A01469" w:rsidRDefault="00A01469">
      <w:r>
        <w:separator/>
      </w:r>
    </w:p>
  </w:footnote>
  <w:footnote w:type="continuationSeparator" w:id="0">
    <w:p w14:paraId="3BC1D8AC" w14:textId="77777777" w:rsidR="00A01469" w:rsidRDefault="00A0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628182"/>
      <w:docPartObj>
        <w:docPartGallery w:val="Page Numbers (Top of Page)"/>
        <w:docPartUnique/>
      </w:docPartObj>
    </w:sdtPr>
    <w:sdtContent>
      <w:p w14:paraId="5CBF4B0E" w14:textId="6906E320" w:rsidR="0085534F" w:rsidRDefault="0085534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7DD683F" w14:textId="77777777" w:rsidR="0085534F" w:rsidRDefault="00855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216E3273"/>
    <w:multiLevelType w:val="multilevel"/>
    <w:tmpl w:val="A6B609CA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3BF7FB6"/>
    <w:multiLevelType w:val="hybridMultilevel"/>
    <w:tmpl w:val="1752F0B2"/>
    <w:lvl w:ilvl="0" w:tplc="89E0DD3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F80FD2"/>
    <w:multiLevelType w:val="hybridMultilevel"/>
    <w:tmpl w:val="EFD4222E"/>
    <w:lvl w:ilvl="0" w:tplc="042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07823821">
    <w:abstractNumId w:val="4"/>
  </w:num>
  <w:num w:numId="2" w16cid:durableId="1111584786">
    <w:abstractNumId w:val="3"/>
  </w:num>
  <w:num w:numId="3" w16cid:durableId="1880817961">
    <w:abstractNumId w:val="0"/>
  </w:num>
  <w:num w:numId="4" w16cid:durableId="409425389">
    <w:abstractNumId w:val="1"/>
  </w:num>
  <w:num w:numId="5" w16cid:durableId="115063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D"/>
    <w:rsid w:val="00022441"/>
    <w:rsid w:val="00071D56"/>
    <w:rsid w:val="000F374A"/>
    <w:rsid w:val="001357FF"/>
    <w:rsid w:val="00195DDD"/>
    <w:rsid w:val="001A4C45"/>
    <w:rsid w:val="001A725E"/>
    <w:rsid w:val="001D2CF1"/>
    <w:rsid w:val="001D4580"/>
    <w:rsid w:val="001F1CF7"/>
    <w:rsid w:val="00214009"/>
    <w:rsid w:val="002460D4"/>
    <w:rsid w:val="0027534D"/>
    <w:rsid w:val="00295A7D"/>
    <w:rsid w:val="003A10CB"/>
    <w:rsid w:val="003B4209"/>
    <w:rsid w:val="003E0508"/>
    <w:rsid w:val="003E0C6B"/>
    <w:rsid w:val="00470CCB"/>
    <w:rsid w:val="004727E6"/>
    <w:rsid w:val="004A410B"/>
    <w:rsid w:val="004B7BE0"/>
    <w:rsid w:val="004F743F"/>
    <w:rsid w:val="00586E93"/>
    <w:rsid w:val="005D3FB1"/>
    <w:rsid w:val="006215F0"/>
    <w:rsid w:val="006E48D7"/>
    <w:rsid w:val="00725036"/>
    <w:rsid w:val="007B42BD"/>
    <w:rsid w:val="007F5802"/>
    <w:rsid w:val="00853163"/>
    <w:rsid w:val="0085534F"/>
    <w:rsid w:val="00877070"/>
    <w:rsid w:val="00885C00"/>
    <w:rsid w:val="008C50B5"/>
    <w:rsid w:val="008D1003"/>
    <w:rsid w:val="008D638F"/>
    <w:rsid w:val="0090218D"/>
    <w:rsid w:val="00932870"/>
    <w:rsid w:val="009860CC"/>
    <w:rsid w:val="009D7E49"/>
    <w:rsid w:val="009E4541"/>
    <w:rsid w:val="009F2492"/>
    <w:rsid w:val="00A003C6"/>
    <w:rsid w:val="00A01469"/>
    <w:rsid w:val="00A02EC6"/>
    <w:rsid w:val="00A60049"/>
    <w:rsid w:val="00AA7F7B"/>
    <w:rsid w:val="00AE01F2"/>
    <w:rsid w:val="00B01F59"/>
    <w:rsid w:val="00B34AE6"/>
    <w:rsid w:val="00B95036"/>
    <w:rsid w:val="00C064FA"/>
    <w:rsid w:val="00C413F0"/>
    <w:rsid w:val="00C41FE2"/>
    <w:rsid w:val="00C6618A"/>
    <w:rsid w:val="00CA2003"/>
    <w:rsid w:val="00CB64B4"/>
    <w:rsid w:val="00CE6CD6"/>
    <w:rsid w:val="00CF692D"/>
    <w:rsid w:val="00D70C8F"/>
    <w:rsid w:val="00DB0EB1"/>
    <w:rsid w:val="00DC2A6A"/>
    <w:rsid w:val="00E173B1"/>
    <w:rsid w:val="00E26F25"/>
    <w:rsid w:val="00E60F79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9227"/>
  <w15:chartTrackingRefBased/>
  <w15:docId w15:val="{EF0233C8-06BD-4274-ADBA-963FE248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95A7D"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5A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295A7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95A7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295A7D"/>
  </w:style>
  <w:style w:type="table" w:styleId="TableGrid">
    <w:name w:val="Table Grid"/>
    <w:basedOn w:val="TableNormal"/>
    <w:uiPriority w:val="39"/>
    <w:rsid w:val="00295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34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3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1D35-B16E-4DFF-BD70-AD461931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4566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Ramunė Skliaustienė</cp:lastModifiedBy>
  <cp:revision>33</cp:revision>
  <dcterms:created xsi:type="dcterms:W3CDTF">2025-10-13T12:09:00Z</dcterms:created>
  <dcterms:modified xsi:type="dcterms:W3CDTF">2025-11-13T12:00:00Z</dcterms:modified>
</cp:coreProperties>
</file>