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97FA" w14:textId="1DD91125" w:rsidR="004E182A" w:rsidRPr="00784F96" w:rsidRDefault="00C234EE" w:rsidP="004E182A">
      <w:pPr>
        <w:spacing w:after="200" w:line="276" w:lineRule="auto"/>
        <w:jc w:val="right"/>
        <w:rPr>
          <w:rFonts w:eastAsia="Calibri"/>
          <w:b/>
          <w:szCs w:val="24"/>
        </w:rPr>
      </w:pPr>
      <w:r>
        <w:rPr>
          <w:lang w:eastAsia="lt-LT"/>
        </w:rPr>
        <w:t>Pirkimo sąlygų 8 priedas</w:t>
      </w:r>
    </w:p>
    <w:p w14:paraId="14D02AFD" w14:textId="77777777" w:rsidR="004E182A" w:rsidRPr="00784F96" w:rsidRDefault="004E182A" w:rsidP="004E182A">
      <w:pPr>
        <w:tabs>
          <w:tab w:val="left" w:pos="9000"/>
          <w:tab w:val="right" w:pos="9360"/>
        </w:tabs>
        <w:suppressAutoHyphens/>
        <w:overflowPunct w:val="0"/>
        <w:autoSpaceDE w:val="0"/>
        <w:autoSpaceDN w:val="0"/>
        <w:adjustRightInd w:val="0"/>
        <w:jc w:val="center"/>
        <w:textAlignment w:val="baseline"/>
        <w:rPr>
          <w:b/>
          <w:caps/>
          <w:szCs w:val="24"/>
        </w:rPr>
      </w:pPr>
      <w:r w:rsidRPr="00784F96">
        <w:rPr>
          <w:b/>
          <w:caps/>
          <w:szCs w:val="24"/>
        </w:rPr>
        <w:t>ĮKAINOTOS Veiklos sąrašas</w:t>
      </w:r>
    </w:p>
    <w:p w14:paraId="110DE53C" w14:textId="77777777" w:rsidR="004E182A" w:rsidRPr="00784F96" w:rsidRDefault="004E182A" w:rsidP="004E182A">
      <w:pPr>
        <w:tabs>
          <w:tab w:val="left" w:pos="9000"/>
          <w:tab w:val="right" w:pos="9360"/>
        </w:tabs>
        <w:suppressAutoHyphens/>
        <w:overflowPunct w:val="0"/>
        <w:autoSpaceDE w:val="0"/>
        <w:autoSpaceDN w:val="0"/>
        <w:adjustRightInd w:val="0"/>
        <w:jc w:val="center"/>
        <w:textAlignment w:val="baseline"/>
        <w:rPr>
          <w:b/>
          <w:caps/>
          <w:szCs w:val="24"/>
        </w:rPr>
      </w:pPr>
    </w:p>
    <w:p w14:paraId="5D1FE08C" w14:textId="77777777" w:rsidR="004E182A" w:rsidRPr="00784F96" w:rsidRDefault="004E182A" w:rsidP="004E182A">
      <w:pPr>
        <w:jc w:val="center"/>
        <w:rPr>
          <w:b/>
          <w:szCs w:val="24"/>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1"/>
        <w:gridCol w:w="2314"/>
        <w:gridCol w:w="961"/>
        <w:gridCol w:w="994"/>
        <w:gridCol w:w="994"/>
        <w:gridCol w:w="992"/>
        <w:gridCol w:w="1096"/>
        <w:gridCol w:w="1600"/>
      </w:tblGrid>
      <w:tr w:rsidR="004E182A" w:rsidRPr="00784F96" w14:paraId="6EF8CDEA" w14:textId="77777777" w:rsidTr="004E182A">
        <w:trPr>
          <w:cantSplit/>
          <w:trHeight w:val="897"/>
        </w:trPr>
        <w:tc>
          <w:tcPr>
            <w:tcW w:w="425" w:type="pct"/>
            <w:vMerge w:val="restart"/>
            <w:tcMar>
              <w:top w:w="0" w:type="dxa"/>
              <w:left w:w="108" w:type="dxa"/>
              <w:bottom w:w="0" w:type="dxa"/>
              <w:right w:w="108" w:type="dxa"/>
            </w:tcMar>
            <w:textDirection w:val="btLr"/>
            <w:vAlign w:val="center"/>
          </w:tcPr>
          <w:p w14:paraId="2AF64C14" w14:textId="77777777" w:rsidR="004E182A" w:rsidRPr="00784F96" w:rsidRDefault="004E182A" w:rsidP="00B0724A">
            <w:pPr>
              <w:spacing w:after="200" w:line="276" w:lineRule="auto"/>
              <w:ind w:right="-113"/>
              <w:jc w:val="center"/>
              <w:rPr>
                <w:lang w:eastAsia="lt-LT"/>
              </w:rPr>
            </w:pPr>
            <w:r w:rsidRPr="00784F96">
              <w:rPr>
                <w:i/>
                <w:iCs/>
                <w:lang w:eastAsia="lt-LT"/>
              </w:rPr>
              <w:t xml:space="preserve">Eil. Nr. </w:t>
            </w:r>
          </w:p>
        </w:tc>
        <w:tc>
          <w:tcPr>
            <w:tcW w:w="1183" w:type="pct"/>
            <w:vMerge w:val="restart"/>
            <w:tcMar>
              <w:top w:w="0" w:type="dxa"/>
              <w:left w:w="108" w:type="dxa"/>
              <w:bottom w:w="0" w:type="dxa"/>
              <w:right w:w="108" w:type="dxa"/>
            </w:tcMar>
            <w:vAlign w:val="center"/>
          </w:tcPr>
          <w:p w14:paraId="45D16059" w14:textId="77777777" w:rsidR="004E182A" w:rsidRPr="00784F96" w:rsidRDefault="004E182A" w:rsidP="00B0724A">
            <w:pPr>
              <w:keepNext/>
              <w:spacing w:after="200" w:line="276" w:lineRule="auto"/>
              <w:rPr>
                <w:b/>
                <w:bCs/>
                <w:lang w:eastAsia="lt-LT"/>
              </w:rPr>
            </w:pPr>
            <w:r w:rsidRPr="00784F96">
              <w:rPr>
                <w:b/>
                <w:bCs/>
                <w:lang w:eastAsia="lt-LT"/>
              </w:rPr>
              <w:t>Nuolatinių Darbų/Paslaugų veiklos pavadinimas</w:t>
            </w:r>
          </w:p>
        </w:tc>
        <w:tc>
          <w:tcPr>
            <w:tcW w:w="2574" w:type="pct"/>
            <w:gridSpan w:val="5"/>
            <w:tcMar>
              <w:top w:w="0" w:type="dxa"/>
              <w:left w:w="108" w:type="dxa"/>
              <w:bottom w:w="0" w:type="dxa"/>
              <w:right w:w="108" w:type="dxa"/>
            </w:tcMar>
            <w:vAlign w:val="center"/>
          </w:tcPr>
          <w:p w14:paraId="0C6A224F" w14:textId="77777777" w:rsidR="004E182A" w:rsidRPr="00784F96" w:rsidRDefault="004E182A" w:rsidP="00B0724A">
            <w:pPr>
              <w:spacing w:line="276" w:lineRule="auto"/>
              <w:jc w:val="center"/>
              <w:rPr>
                <w:b/>
                <w:bCs/>
                <w:lang w:eastAsia="lt-LT"/>
              </w:rPr>
            </w:pPr>
            <w:r w:rsidRPr="00784F96">
              <w:rPr>
                <w:b/>
                <w:bCs/>
                <w:lang w:eastAsia="lt-LT"/>
              </w:rPr>
              <w:t>Darbų atlikimo terminai ir mėnesiniai jo kiekiai be PVM,  EUR</w:t>
            </w:r>
          </w:p>
          <w:p w14:paraId="5EB2DA5C" w14:textId="57D99EAF" w:rsidR="004E182A" w:rsidRPr="00784F96" w:rsidRDefault="004E182A" w:rsidP="00B0724A">
            <w:pPr>
              <w:spacing w:line="276" w:lineRule="auto"/>
              <w:jc w:val="center"/>
              <w:rPr>
                <w:b/>
                <w:bCs/>
                <w:lang w:eastAsia="lt-LT"/>
              </w:rPr>
            </w:pPr>
            <w:r w:rsidRPr="00784F96">
              <w:rPr>
                <w:i/>
                <w:iCs/>
                <w:lang w:eastAsia="lt-LT"/>
              </w:rPr>
              <w:t>[</w:t>
            </w:r>
            <w:r w:rsidRPr="004E182A">
              <w:rPr>
                <w:i/>
                <w:iCs/>
                <w:lang w:eastAsia="lt-LT"/>
              </w:rPr>
              <w:t>Darbų atlikimo terminai ir darbų kiekiai [valiuta] be PVM [Pildo rangovas</w:t>
            </w:r>
            <w:r w:rsidRPr="00784F96">
              <w:rPr>
                <w:i/>
                <w:iCs/>
                <w:lang w:eastAsia="lt-LT"/>
              </w:rPr>
              <w:t>]</w:t>
            </w:r>
          </w:p>
        </w:tc>
        <w:tc>
          <w:tcPr>
            <w:tcW w:w="819" w:type="pct"/>
            <w:tcMar>
              <w:top w:w="0" w:type="dxa"/>
              <w:left w:w="108" w:type="dxa"/>
              <w:bottom w:w="0" w:type="dxa"/>
              <w:right w:w="108" w:type="dxa"/>
            </w:tcMar>
          </w:tcPr>
          <w:p w14:paraId="0E6FD4F7" w14:textId="68B1795D" w:rsidR="004E182A" w:rsidRPr="00784F96" w:rsidRDefault="004E182A" w:rsidP="00B0724A">
            <w:pPr>
              <w:spacing w:line="276" w:lineRule="auto"/>
              <w:jc w:val="center"/>
              <w:rPr>
                <w:b/>
                <w:bCs/>
                <w:lang w:eastAsia="lt-LT"/>
              </w:rPr>
            </w:pPr>
            <w:r w:rsidRPr="00784F96">
              <w:rPr>
                <w:b/>
                <w:bCs/>
                <w:lang w:eastAsia="lt-LT"/>
              </w:rPr>
              <w:t xml:space="preserve">Darbų </w:t>
            </w:r>
            <w:r>
              <w:rPr>
                <w:b/>
                <w:bCs/>
                <w:lang w:eastAsia="lt-LT"/>
              </w:rPr>
              <w:t xml:space="preserve">(etapo) </w:t>
            </w:r>
            <w:r w:rsidRPr="00784F96">
              <w:rPr>
                <w:b/>
                <w:bCs/>
                <w:lang w:eastAsia="lt-LT"/>
              </w:rPr>
              <w:t>kaina be PVM,</w:t>
            </w:r>
          </w:p>
          <w:p w14:paraId="7349BD87" w14:textId="77777777" w:rsidR="004E182A" w:rsidRPr="00784F96" w:rsidRDefault="004E182A" w:rsidP="00B0724A">
            <w:pPr>
              <w:spacing w:line="276" w:lineRule="auto"/>
              <w:jc w:val="center"/>
              <w:rPr>
                <w:b/>
                <w:bCs/>
                <w:i/>
                <w:iCs/>
                <w:lang w:eastAsia="lt-LT"/>
              </w:rPr>
            </w:pPr>
            <w:r w:rsidRPr="00784F96">
              <w:rPr>
                <w:b/>
                <w:bCs/>
                <w:lang w:eastAsia="lt-LT"/>
              </w:rPr>
              <w:t xml:space="preserve">EUR </w:t>
            </w:r>
            <w:r w:rsidRPr="00784F96">
              <w:rPr>
                <w:i/>
                <w:iCs/>
                <w:lang w:eastAsia="lt-LT"/>
              </w:rPr>
              <w:t>[Pildo rangovas]</w:t>
            </w:r>
          </w:p>
        </w:tc>
      </w:tr>
      <w:tr w:rsidR="004E182A" w:rsidRPr="00784F96" w14:paraId="4FB0BC7C" w14:textId="77777777" w:rsidTr="004E182A">
        <w:trPr>
          <w:cantSplit/>
          <w:trHeight w:val="301"/>
        </w:trPr>
        <w:tc>
          <w:tcPr>
            <w:tcW w:w="425" w:type="pct"/>
            <w:vMerge/>
            <w:shd w:val="clear" w:color="auto" w:fill="auto"/>
            <w:tcMar>
              <w:top w:w="0" w:type="dxa"/>
              <w:left w:w="108" w:type="dxa"/>
              <w:bottom w:w="0" w:type="dxa"/>
              <w:right w:w="108" w:type="dxa"/>
            </w:tcMar>
            <w:vAlign w:val="center"/>
          </w:tcPr>
          <w:p w14:paraId="5A007D2C" w14:textId="77777777" w:rsidR="004E182A" w:rsidRPr="00784F96" w:rsidRDefault="004E182A" w:rsidP="00B0724A">
            <w:pPr>
              <w:overflowPunct w:val="0"/>
              <w:autoSpaceDE w:val="0"/>
              <w:autoSpaceDN w:val="0"/>
              <w:spacing w:after="200" w:line="276" w:lineRule="auto"/>
              <w:textAlignment w:val="baseline"/>
              <w:rPr>
                <w:lang w:eastAsia="lt-LT"/>
              </w:rPr>
            </w:pPr>
          </w:p>
        </w:tc>
        <w:tc>
          <w:tcPr>
            <w:tcW w:w="1183" w:type="pct"/>
            <w:vMerge/>
            <w:shd w:val="clear" w:color="auto" w:fill="auto"/>
            <w:tcMar>
              <w:top w:w="0" w:type="dxa"/>
              <w:left w:w="108" w:type="dxa"/>
              <w:bottom w:w="0" w:type="dxa"/>
              <w:right w:w="108" w:type="dxa"/>
            </w:tcMar>
            <w:vAlign w:val="center"/>
          </w:tcPr>
          <w:p w14:paraId="5FCEE1DD" w14:textId="77777777" w:rsidR="004E182A" w:rsidRPr="00784F96" w:rsidRDefault="004E182A" w:rsidP="00B0724A">
            <w:pPr>
              <w:spacing w:after="200" w:line="276" w:lineRule="auto"/>
              <w:rPr>
                <w:lang w:eastAsia="lt-LT"/>
              </w:rPr>
            </w:pPr>
          </w:p>
        </w:tc>
        <w:tc>
          <w:tcPr>
            <w:tcW w:w="491" w:type="pct"/>
            <w:shd w:val="clear" w:color="auto" w:fill="auto"/>
            <w:tcMar>
              <w:top w:w="0" w:type="dxa"/>
              <w:left w:w="108" w:type="dxa"/>
              <w:bottom w:w="0" w:type="dxa"/>
              <w:right w:w="108" w:type="dxa"/>
            </w:tcMar>
            <w:vAlign w:val="center"/>
          </w:tcPr>
          <w:p w14:paraId="1EBBD62B" w14:textId="77777777" w:rsidR="004E182A" w:rsidRPr="00784F96" w:rsidRDefault="004E182A" w:rsidP="00B0724A">
            <w:pPr>
              <w:spacing w:line="276" w:lineRule="auto"/>
              <w:jc w:val="center"/>
              <w:rPr>
                <w:lang w:eastAsia="lt-LT"/>
              </w:rPr>
            </w:pPr>
            <w:r w:rsidRPr="00784F96">
              <w:rPr>
                <w:lang w:eastAsia="lt-LT"/>
              </w:rPr>
              <w:t>1</w:t>
            </w:r>
          </w:p>
        </w:tc>
        <w:tc>
          <w:tcPr>
            <w:tcW w:w="508" w:type="pct"/>
            <w:shd w:val="clear" w:color="auto" w:fill="auto"/>
            <w:vAlign w:val="center"/>
          </w:tcPr>
          <w:p w14:paraId="27140544" w14:textId="77777777" w:rsidR="004E182A" w:rsidRPr="00784F96" w:rsidRDefault="004E182A" w:rsidP="00B0724A">
            <w:pPr>
              <w:spacing w:line="276" w:lineRule="auto"/>
              <w:jc w:val="center"/>
              <w:rPr>
                <w:lang w:eastAsia="lt-LT"/>
              </w:rPr>
            </w:pPr>
            <w:r w:rsidRPr="00784F96">
              <w:rPr>
                <w:lang w:eastAsia="lt-LT"/>
              </w:rPr>
              <w:t>2</w:t>
            </w:r>
          </w:p>
        </w:tc>
        <w:tc>
          <w:tcPr>
            <w:tcW w:w="508" w:type="pct"/>
            <w:shd w:val="clear" w:color="auto" w:fill="auto"/>
            <w:vAlign w:val="center"/>
          </w:tcPr>
          <w:p w14:paraId="461ACCC8" w14:textId="77777777" w:rsidR="004E182A" w:rsidRPr="00784F96" w:rsidRDefault="004E182A" w:rsidP="00B0724A">
            <w:pPr>
              <w:spacing w:line="276" w:lineRule="auto"/>
              <w:jc w:val="center"/>
              <w:rPr>
                <w:lang w:eastAsia="lt-LT"/>
              </w:rPr>
            </w:pPr>
            <w:r w:rsidRPr="00784F96">
              <w:rPr>
                <w:lang w:eastAsia="lt-LT"/>
              </w:rPr>
              <w:t>3</w:t>
            </w:r>
          </w:p>
        </w:tc>
        <w:tc>
          <w:tcPr>
            <w:tcW w:w="507" w:type="pct"/>
            <w:shd w:val="clear" w:color="auto" w:fill="auto"/>
            <w:vAlign w:val="center"/>
          </w:tcPr>
          <w:p w14:paraId="0D2EEEA6" w14:textId="77777777" w:rsidR="004E182A" w:rsidRPr="00784F96" w:rsidRDefault="004E182A" w:rsidP="00B0724A">
            <w:pPr>
              <w:spacing w:line="276" w:lineRule="auto"/>
              <w:jc w:val="center"/>
              <w:rPr>
                <w:lang w:eastAsia="lt-LT"/>
              </w:rPr>
            </w:pPr>
            <w:r w:rsidRPr="00784F96">
              <w:rPr>
                <w:lang w:eastAsia="lt-LT"/>
              </w:rPr>
              <w:t>4</w:t>
            </w:r>
          </w:p>
        </w:tc>
        <w:tc>
          <w:tcPr>
            <w:tcW w:w="559" w:type="pct"/>
            <w:shd w:val="clear" w:color="auto" w:fill="auto"/>
            <w:vAlign w:val="center"/>
          </w:tcPr>
          <w:p w14:paraId="5C860F8C" w14:textId="77777777" w:rsidR="004E182A" w:rsidRPr="00B7410B" w:rsidRDefault="004E182A" w:rsidP="00B0724A">
            <w:pPr>
              <w:spacing w:line="276" w:lineRule="auto"/>
              <w:jc w:val="center"/>
              <w:rPr>
                <w:lang w:eastAsia="lt-LT"/>
              </w:rPr>
            </w:pPr>
            <w:r w:rsidRPr="00784F96">
              <w:rPr>
                <w:lang w:eastAsia="lt-LT"/>
              </w:rPr>
              <w:t>5</w:t>
            </w:r>
          </w:p>
        </w:tc>
        <w:tc>
          <w:tcPr>
            <w:tcW w:w="819" w:type="pct"/>
            <w:shd w:val="clear" w:color="auto" w:fill="auto"/>
            <w:tcMar>
              <w:top w:w="0" w:type="dxa"/>
              <w:left w:w="108" w:type="dxa"/>
              <w:bottom w:w="0" w:type="dxa"/>
              <w:right w:w="108" w:type="dxa"/>
            </w:tcMar>
            <w:vAlign w:val="center"/>
          </w:tcPr>
          <w:p w14:paraId="1E0F655F" w14:textId="77777777" w:rsidR="004E182A" w:rsidRPr="00784F96" w:rsidRDefault="004E182A" w:rsidP="00B0724A">
            <w:pPr>
              <w:spacing w:after="200" w:line="276" w:lineRule="auto"/>
              <w:jc w:val="center"/>
              <w:rPr>
                <w:lang w:eastAsia="lt-LT"/>
              </w:rPr>
            </w:pPr>
          </w:p>
        </w:tc>
      </w:tr>
      <w:tr w:rsidR="004E182A" w:rsidRPr="00784F96" w14:paraId="25128D98" w14:textId="77777777" w:rsidTr="004E182A">
        <w:trPr>
          <w:cantSplit/>
        </w:trPr>
        <w:tc>
          <w:tcPr>
            <w:tcW w:w="425" w:type="pct"/>
            <w:tcMar>
              <w:top w:w="0" w:type="dxa"/>
              <w:left w:w="108" w:type="dxa"/>
              <w:bottom w:w="0" w:type="dxa"/>
              <w:right w:w="108" w:type="dxa"/>
            </w:tcMar>
            <w:vAlign w:val="center"/>
          </w:tcPr>
          <w:p w14:paraId="4A3BCC1E" w14:textId="77777777" w:rsidR="004E182A" w:rsidRPr="00784F96" w:rsidRDefault="004E182A" w:rsidP="00B0724A">
            <w:pPr>
              <w:overflowPunct w:val="0"/>
              <w:autoSpaceDE w:val="0"/>
              <w:snapToGrid w:val="0"/>
              <w:jc w:val="center"/>
              <w:textAlignment w:val="baseline"/>
            </w:pPr>
            <w:r w:rsidRPr="00784F96">
              <w:t>1.</w:t>
            </w:r>
          </w:p>
        </w:tc>
        <w:tc>
          <w:tcPr>
            <w:tcW w:w="1183" w:type="pct"/>
            <w:tcMar>
              <w:top w:w="0" w:type="dxa"/>
              <w:left w:w="108" w:type="dxa"/>
              <w:bottom w:w="0" w:type="dxa"/>
              <w:right w:w="108" w:type="dxa"/>
            </w:tcMar>
            <w:vAlign w:val="center"/>
          </w:tcPr>
          <w:p w14:paraId="73128A64" w14:textId="754388A6" w:rsidR="004E182A" w:rsidRPr="00784F96" w:rsidRDefault="004E182A" w:rsidP="00B0724A">
            <w:r>
              <w:t>Vėdinimo -aušinimo įrangos montavimas (</w:t>
            </w:r>
            <w:proofErr w:type="spellStart"/>
            <w:r>
              <w:t>kompl</w:t>
            </w:r>
            <w:proofErr w:type="spellEnd"/>
            <w:r>
              <w:t>.)</w:t>
            </w:r>
          </w:p>
        </w:tc>
        <w:tc>
          <w:tcPr>
            <w:tcW w:w="491" w:type="pct"/>
            <w:shd w:val="clear" w:color="auto" w:fill="auto"/>
            <w:tcMar>
              <w:top w:w="0" w:type="dxa"/>
              <w:left w:w="108" w:type="dxa"/>
              <w:bottom w:w="0" w:type="dxa"/>
              <w:right w:w="108" w:type="dxa"/>
            </w:tcMar>
            <w:vAlign w:val="center"/>
          </w:tcPr>
          <w:p w14:paraId="295402F5"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170248BF"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4DAD95C3" w14:textId="77777777" w:rsidR="004E182A" w:rsidRPr="00784F96" w:rsidRDefault="004E182A" w:rsidP="00B0724A">
            <w:pPr>
              <w:spacing w:after="200" w:line="276" w:lineRule="auto"/>
              <w:jc w:val="center"/>
              <w:rPr>
                <w:lang w:eastAsia="lt-LT"/>
              </w:rPr>
            </w:pPr>
          </w:p>
        </w:tc>
        <w:tc>
          <w:tcPr>
            <w:tcW w:w="507" w:type="pct"/>
            <w:shd w:val="clear" w:color="auto" w:fill="auto"/>
            <w:vAlign w:val="center"/>
          </w:tcPr>
          <w:p w14:paraId="17573388" w14:textId="77777777" w:rsidR="004E182A" w:rsidRPr="00784F96" w:rsidRDefault="004E182A" w:rsidP="00B0724A">
            <w:pPr>
              <w:spacing w:after="200" w:line="276" w:lineRule="auto"/>
              <w:jc w:val="center"/>
              <w:rPr>
                <w:lang w:eastAsia="lt-LT"/>
              </w:rPr>
            </w:pPr>
          </w:p>
        </w:tc>
        <w:tc>
          <w:tcPr>
            <w:tcW w:w="559" w:type="pct"/>
            <w:shd w:val="clear" w:color="auto" w:fill="auto"/>
            <w:vAlign w:val="center"/>
          </w:tcPr>
          <w:p w14:paraId="0760AC25" w14:textId="77777777" w:rsidR="004E182A" w:rsidRPr="009607E5" w:rsidRDefault="004E182A" w:rsidP="00B0724A">
            <w:pPr>
              <w:spacing w:after="200" w:line="276" w:lineRule="auto"/>
              <w:jc w:val="center"/>
              <w:rPr>
                <w:highlight w:val="yellow"/>
                <w:lang w:eastAsia="lt-LT"/>
              </w:rPr>
            </w:pPr>
          </w:p>
        </w:tc>
        <w:tc>
          <w:tcPr>
            <w:tcW w:w="819" w:type="pct"/>
            <w:shd w:val="clear" w:color="auto" w:fill="auto"/>
            <w:tcMar>
              <w:top w:w="0" w:type="dxa"/>
              <w:left w:w="108" w:type="dxa"/>
              <w:bottom w:w="0" w:type="dxa"/>
              <w:right w:w="108" w:type="dxa"/>
            </w:tcMar>
            <w:vAlign w:val="center"/>
          </w:tcPr>
          <w:p w14:paraId="22B8C2B6" w14:textId="77777777" w:rsidR="004E182A" w:rsidRPr="00784F96" w:rsidRDefault="004E182A" w:rsidP="00B0724A">
            <w:pPr>
              <w:spacing w:after="200" w:line="276" w:lineRule="auto"/>
              <w:jc w:val="center"/>
              <w:rPr>
                <w:lang w:eastAsia="lt-LT"/>
              </w:rPr>
            </w:pPr>
          </w:p>
        </w:tc>
      </w:tr>
      <w:tr w:rsidR="004E182A" w:rsidRPr="00784F96" w14:paraId="59392F03" w14:textId="77777777" w:rsidTr="004E182A">
        <w:trPr>
          <w:cantSplit/>
        </w:trPr>
        <w:tc>
          <w:tcPr>
            <w:tcW w:w="425" w:type="pct"/>
            <w:tcMar>
              <w:top w:w="0" w:type="dxa"/>
              <w:left w:w="108" w:type="dxa"/>
              <w:bottom w:w="0" w:type="dxa"/>
              <w:right w:w="108" w:type="dxa"/>
            </w:tcMar>
            <w:vAlign w:val="center"/>
          </w:tcPr>
          <w:p w14:paraId="53CED303" w14:textId="77777777" w:rsidR="004E182A" w:rsidRPr="00784F96" w:rsidRDefault="004E182A" w:rsidP="00B0724A">
            <w:pPr>
              <w:overflowPunct w:val="0"/>
              <w:autoSpaceDE w:val="0"/>
              <w:snapToGrid w:val="0"/>
              <w:jc w:val="center"/>
              <w:textAlignment w:val="baseline"/>
            </w:pPr>
            <w:r w:rsidRPr="00784F96">
              <w:t>2.</w:t>
            </w:r>
          </w:p>
        </w:tc>
        <w:tc>
          <w:tcPr>
            <w:tcW w:w="1183" w:type="pct"/>
            <w:tcMar>
              <w:top w:w="0" w:type="dxa"/>
              <w:left w:w="108" w:type="dxa"/>
              <w:bottom w:w="0" w:type="dxa"/>
              <w:right w:w="108" w:type="dxa"/>
            </w:tcMar>
            <w:vAlign w:val="center"/>
          </w:tcPr>
          <w:p w14:paraId="40820F47" w14:textId="7B5BC7CD" w:rsidR="004E182A" w:rsidRPr="00784F96" w:rsidRDefault="004E182A" w:rsidP="00B0724A">
            <w:r>
              <w:t>Elektrotechniniai darbai (</w:t>
            </w:r>
            <w:proofErr w:type="spellStart"/>
            <w:r>
              <w:t>kompl</w:t>
            </w:r>
            <w:proofErr w:type="spellEnd"/>
            <w:r>
              <w:t>.)</w:t>
            </w:r>
          </w:p>
        </w:tc>
        <w:tc>
          <w:tcPr>
            <w:tcW w:w="491" w:type="pct"/>
            <w:shd w:val="clear" w:color="auto" w:fill="auto"/>
            <w:tcMar>
              <w:top w:w="0" w:type="dxa"/>
              <w:left w:w="108" w:type="dxa"/>
              <w:bottom w:w="0" w:type="dxa"/>
              <w:right w:w="108" w:type="dxa"/>
            </w:tcMar>
            <w:vAlign w:val="center"/>
          </w:tcPr>
          <w:p w14:paraId="5890F3ED"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4BEAC2D5"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08414943" w14:textId="77777777" w:rsidR="004E182A" w:rsidRPr="00784F96" w:rsidRDefault="004E182A" w:rsidP="00B0724A">
            <w:pPr>
              <w:spacing w:after="200" w:line="276" w:lineRule="auto"/>
              <w:jc w:val="center"/>
              <w:rPr>
                <w:lang w:eastAsia="lt-LT"/>
              </w:rPr>
            </w:pPr>
          </w:p>
        </w:tc>
        <w:tc>
          <w:tcPr>
            <w:tcW w:w="507" w:type="pct"/>
            <w:shd w:val="clear" w:color="auto" w:fill="auto"/>
            <w:vAlign w:val="center"/>
          </w:tcPr>
          <w:p w14:paraId="4BA447AF" w14:textId="77777777" w:rsidR="004E182A" w:rsidRPr="00784F96" w:rsidRDefault="004E182A" w:rsidP="00B0724A">
            <w:pPr>
              <w:spacing w:after="200" w:line="276" w:lineRule="auto"/>
              <w:jc w:val="center"/>
              <w:rPr>
                <w:lang w:eastAsia="lt-LT"/>
              </w:rPr>
            </w:pPr>
          </w:p>
        </w:tc>
        <w:tc>
          <w:tcPr>
            <w:tcW w:w="559" w:type="pct"/>
            <w:shd w:val="clear" w:color="auto" w:fill="auto"/>
            <w:vAlign w:val="center"/>
          </w:tcPr>
          <w:p w14:paraId="785EF530" w14:textId="77777777" w:rsidR="004E182A" w:rsidRPr="009607E5" w:rsidRDefault="004E182A" w:rsidP="00B0724A">
            <w:pPr>
              <w:spacing w:after="200" w:line="276" w:lineRule="auto"/>
              <w:jc w:val="center"/>
              <w:rPr>
                <w:highlight w:val="yellow"/>
                <w:lang w:eastAsia="lt-LT"/>
              </w:rPr>
            </w:pPr>
          </w:p>
        </w:tc>
        <w:tc>
          <w:tcPr>
            <w:tcW w:w="819" w:type="pct"/>
            <w:shd w:val="clear" w:color="auto" w:fill="auto"/>
            <w:tcMar>
              <w:top w:w="0" w:type="dxa"/>
              <w:left w:w="108" w:type="dxa"/>
              <w:bottom w:w="0" w:type="dxa"/>
              <w:right w:w="108" w:type="dxa"/>
            </w:tcMar>
            <w:vAlign w:val="center"/>
          </w:tcPr>
          <w:p w14:paraId="6DF132DD" w14:textId="77777777" w:rsidR="004E182A" w:rsidRPr="00784F96" w:rsidRDefault="004E182A" w:rsidP="00B0724A">
            <w:pPr>
              <w:spacing w:after="200" w:line="276" w:lineRule="auto"/>
              <w:jc w:val="center"/>
              <w:rPr>
                <w:lang w:eastAsia="lt-LT"/>
              </w:rPr>
            </w:pPr>
          </w:p>
        </w:tc>
      </w:tr>
      <w:tr w:rsidR="004E182A" w:rsidRPr="00784F96" w14:paraId="40812D4C" w14:textId="77777777" w:rsidTr="004E182A">
        <w:trPr>
          <w:cantSplit/>
        </w:trPr>
        <w:tc>
          <w:tcPr>
            <w:tcW w:w="425" w:type="pct"/>
            <w:tcMar>
              <w:top w:w="0" w:type="dxa"/>
              <w:left w:w="108" w:type="dxa"/>
              <w:bottom w:w="0" w:type="dxa"/>
              <w:right w:w="108" w:type="dxa"/>
            </w:tcMar>
            <w:vAlign w:val="center"/>
          </w:tcPr>
          <w:p w14:paraId="01CD6122" w14:textId="77777777" w:rsidR="004E182A" w:rsidRPr="00784F96" w:rsidRDefault="004E182A" w:rsidP="00B0724A">
            <w:pPr>
              <w:overflowPunct w:val="0"/>
              <w:autoSpaceDE w:val="0"/>
              <w:snapToGrid w:val="0"/>
              <w:jc w:val="center"/>
              <w:textAlignment w:val="baseline"/>
            </w:pPr>
            <w:r>
              <w:t>3</w:t>
            </w:r>
            <w:r w:rsidRPr="00784F96">
              <w:t>.</w:t>
            </w:r>
          </w:p>
        </w:tc>
        <w:tc>
          <w:tcPr>
            <w:tcW w:w="1183" w:type="pct"/>
            <w:tcMar>
              <w:top w:w="0" w:type="dxa"/>
              <w:left w:w="108" w:type="dxa"/>
              <w:bottom w:w="0" w:type="dxa"/>
              <w:right w:w="108" w:type="dxa"/>
            </w:tcMar>
            <w:vAlign w:val="center"/>
          </w:tcPr>
          <w:p w14:paraId="3F13FD10" w14:textId="5105D214" w:rsidR="004E182A" w:rsidRPr="00784F96" w:rsidRDefault="004E182A" w:rsidP="00B0724A">
            <w:r>
              <w:t>Elektrotechniniai ryšiai (</w:t>
            </w:r>
            <w:proofErr w:type="spellStart"/>
            <w:r>
              <w:t>kompl</w:t>
            </w:r>
            <w:proofErr w:type="spellEnd"/>
            <w:r>
              <w:t>.)</w:t>
            </w:r>
          </w:p>
        </w:tc>
        <w:tc>
          <w:tcPr>
            <w:tcW w:w="491" w:type="pct"/>
            <w:shd w:val="clear" w:color="auto" w:fill="auto"/>
            <w:tcMar>
              <w:top w:w="0" w:type="dxa"/>
              <w:left w:w="108" w:type="dxa"/>
              <w:bottom w:w="0" w:type="dxa"/>
              <w:right w:w="108" w:type="dxa"/>
            </w:tcMar>
            <w:vAlign w:val="center"/>
          </w:tcPr>
          <w:p w14:paraId="7CE032FE"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4011257F"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6CD85047" w14:textId="77777777" w:rsidR="004E182A" w:rsidRPr="00784F96" w:rsidRDefault="004E182A" w:rsidP="00B0724A">
            <w:pPr>
              <w:spacing w:after="200" w:line="276" w:lineRule="auto"/>
              <w:jc w:val="center"/>
              <w:rPr>
                <w:lang w:eastAsia="lt-LT"/>
              </w:rPr>
            </w:pPr>
          </w:p>
        </w:tc>
        <w:tc>
          <w:tcPr>
            <w:tcW w:w="507" w:type="pct"/>
            <w:shd w:val="clear" w:color="auto" w:fill="auto"/>
            <w:vAlign w:val="center"/>
          </w:tcPr>
          <w:p w14:paraId="418C9726" w14:textId="77777777" w:rsidR="004E182A" w:rsidRPr="00784F96" w:rsidRDefault="004E182A" w:rsidP="00B0724A">
            <w:pPr>
              <w:spacing w:after="200" w:line="276" w:lineRule="auto"/>
              <w:jc w:val="center"/>
              <w:rPr>
                <w:lang w:eastAsia="lt-LT"/>
              </w:rPr>
            </w:pPr>
          </w:p>
        </w:tc>
        <w:tc>
          <w:tcPr>
            <w:tcW w:w="559" w:type="pct"/>
            <w:shd w:val="clear" w:color="auto" w:fill="auto"/>
            <w:vAlign w:val="center"/>
          </w:tcPr>
          <w:p w14:paraId="498F6140" w14:textId="77777777" w:rsidR="004E182A" w:rsidRPr="009607E5" w:rsidRDefault="004E182A" w:rsidP="00B0724A">
            <w:pPr>
              <w:spacing w:after="200" w:line="276" w:lineRule="auto"/>
              <w:jc w:val="center"/>
              <w:rPr>
                <w:highlight w:val="yellow"/>
                <w:lang w:eastAsia="lt-LT"/>
              </w:rPr>
            </w:pPr>
          </w:p>
        </w:tc>
        <w:tc>
          <w:tcPr>
            <w:tcW w:w="819" w:type="pct"/>
            <w:shd w:val="clear" w:color="auto" w:fill="auto"/>
            <w:tcMar>
              <w:top w:w="0" w:type="dxa"/>
              <w:left w:w="108" w:type="dxa"/>
              <w:bottom w:w="0" w:type="dxa"/>
              <w:right w:w="108" w:type="dxa"/>
            </w:tcMar>
            <w:vAlign w:val="center"/>
          </w:tcPr>
          <w:p w14:paraId="1C92A2ED" w14:textId="77777777" w:rsidR="004E182A" w:rsidRPr="00784F96" w:rsidRDefault="004E182A" w:rsidP="00B0724A">
            <w:pPr>
              <w:spacing w:after="200" w:line="276" w:lineRule="auto"/>
              <w:jc w:val="center"/>
              <w:rPr>
                <w:lang w:eastAsia="lt-LT"/>
              </w:rPr>
            </w:pPr>
          </w:p>
        </w:tc>
      </w:tr>
      <w:tr w:rsidR="004E182A" w:rsidRPr="00784F96" w14:paraId="4DD1C6FE" w14:textId="77777777" w:rsidTr="004E182A">
        <w:trPr>
          <w:cantSplit/>
        </w:trPr>
        <w:tc>
          <w:tcPr>
            <w:tcW w:w="425" w:type="pct"/>
            <w:tcMar>
              <w:top w:w="0" w:type="dxa"/>
              <w:left w:w="108" w:type="dxa"/>
              <w:bottom w:w="0" w:type="dxa"/>
              <w:right w:w="108" w:type="dxa"/>
            </w:tcMar>
            <w:vAlign w:val="center"/>
          </w:tcPr>
          <w:p w14:paraId="36B39639" w14:textId="77777777" w:rsidR="004E182A" w:rsidRDefault="004E182A" w:rsidP="00B0724A">
            <w:pPr>
              <w:overflowPunct w:val="0"/>
              <w:autoSpaceDE w:val="0"/>
              <w:snapToGrid w:val="0"/>
              <w:jc w:val="center"/>
              <w:textAlignment w:val="baseline"/>
            </w:pPr>
            <w:r>
              <w:t>4.</w:t>
            </w:r>
          </w:p>
        </w:tc>
        <w:tc>
          <w:tcPr>
            <w:tcW w:w="1183" w:type="pct"/>
            <w:tcMar>
              <w:top w:w="0" w:type="dxa"/>
              <w:left w:w="108" w:type="dxa"/>
              <w:bottom w:w="0" w:type="dxa"/>
              <w:right w:w="108" w:type="dxa"/>
            </w:tcMar>
            <w:vAlign w:val="center"/>
          </w:tcPr>
          <w:p w14:paraId="2296EBD7" w14:textId="31013D06" w:rsidR="004E182A" w:rsidRPr="00784F96" w:rsidRDefault="004E182A" w:rsidP="00B0724A">
            <w:r>
              <w:t>Procesų valdymas ir automatizavimas (</w:t>
            </w:r>
            <w:proofErr w:type="spellStart"/>
            <w:r>
              <w:t>kompl</w:t>
            </w:r>
            <w:proofErr w:type="spellEnd"/>
            <w:r>
              <w:t>.)</w:t>
            </w:r>
          </w:p>
        </w:tc>
        <w:tc>
          <w:tcPr>
            <w:tcW w:w="491" w:type="pct"/>
            <w:shd w:val="clear" w:color="auto" w:fill="auto"/>
            <w:tcMar>
              <w:top w:w="0" w:type="dxa"/>
              <w:left w:w="108" w:type="dxa"/>
              <w:bottom w:w="0" w:type="dxa"/>
              <w:right w:w="108" w:type="dxa"/>
            </w:tcMar>
            <w:vAlign w:val="center"/>
          </w:tcPr>
          <w:p w14:paraId="12E2567F"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101D133E"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4677E17A" w14:textId="77777777" w:rsidR="004E182A" w:rsidRPr="00784F96" w:rsidRDefault="004E182A" w:rsidP="00B0724A">
            <w:pPr>
              <w:spacing w:after="200" w:line="276" w:lineRule="auto"/>
              <w:jc w:val="center"/>
              <w:rPr>
                <w:lang w:eastAsia="lt-LT"/>
              </w:rPr>
            </w:pPr>
          </w:p>
        </w:tc>
        <w:tc>
          <w:tcPr>
            <w:tcW w:w="507" w:type="pct"/>
            <w:shd w:val="clear" w:color="auto" w:fill="auto"/>
            <w:vAlign w:val="center"/>
          </w:tcPr>
          <w:p w14:paraId="0011E8C1" w14:textId="77777777" w:rsidR="004E182A" w:rsidRPr="00784F96" w:rsidRDefault="004E182A" w:rsidP="00B0724A">
            <w:pPr>
              <w:spacing w:after="200" w:line="276" w:lineRule="auto"/>
              <w:jc w:val="center"/>
              <w:rPr>
                <w:lang w:eastAsia="lt-LT"/>
              </w:rPr>
            </w:pPr>
          </w:p>
        </w:tc>
        <w:tc>
          <w:tcPr>
            <w:tcW w:w="559" w:type="pct"/>
            <w:shd w:val="clear" w:color="auto" w:fill="auto"/>
            <w:vAlign w:val="center"/>
          </w:tcPr>
          <w:p w14:paraId="4A1AE903" w14:textId="77777777" w:rsidR="004E182A" w:rsidRPr="009607E5" w:rsidRDefault="004E182A" w:rsidP="00B0724A">
            <w:pPr>
              <w:spacing w:after="200" w:line="276" w:lineRule="auto"/>
              <w:jc w:val="center"/>
              <w:rPr>
                <w:highlight w:val="yellow"/>
                <w:lang w:eastAsia="lt-LT"/>
              </w:rPr>
            </w:pPr>
          </w:p>
        </w:tc>
        <w:tc>
          <w:tcPr>
            <w:tcW w:w="819" w:type="pct"/>
            <w:shd w:val="clear" w:color="auto" w:fill="auto"/>
            <w:tcMar>
              <w:top w:w="0" w:type="dxa"/>
              <w:left w:w="108" w:type="dxa"/>
              <w:bottom w:w="0" w:type="dxa"/>
              <w:right w:w="108" w:type="dxa"/>
            </w:tcMar>
            <w:vAlign w:val="center"/>
          </w:tcPr>
          <w:p w14:paraId="0569FB13" w14:textId="77777777" w:rsidR="004E182A" w:rsidRPr="00784F96" w:rsidRDefault="004E182A" w:rsidP="00B0724A">
            <w:pPr>
              <w:spacing w:after="200" w:line="276" w:lineRule="auto"/>
              <w:jc w:val="center"/>
              <w:rPr>
                <w:lang w:eastAsia="lt-LT"/>
              </w:rPr>
            </w:pPr>
          </w:p>
        </w:tc>
      </w:tr>
      <w:tr w:rsidR="004E182A" w:rsidRPr="00784F96" w14:paraId="19C838BB" w14:textId="77777777" w:rsidTr="004E182A">
        <w:trPr>
          <w:cantSplit/>
        </w:trPr>
        <w:tc>
          <w:tcPr>
            <w:tcW w:w="425" w:type="pct"/>
            <w:tcMar>
              <w:top w:w="0" w:type="dxa"/>
              <w:left w:w="108" w:type="dxa"/>
              <w:bottom w:w="0" w:type="dxa"/>
              <w:right w:w="108" w:type="dxa"/>
            </w:tcMar>
            <w:vAlign w:val="center"/>
          </w:tcPr>
          <w:p w14:paraId="03CBD5DE" w14:textId="77777777" w:rsidR="004E182A" w:rsidRDefault="004E182A" w:rsidP="00B0724A">
            <w:pPr>
              <w:overflowPunct w:val="0"/>
              <w:autoSpaceDE w:val="0"/>
              <w:snapToGrid w:val="0"/>
              <w:jc w:val="center"/>
              <w:textAlignment w:val="baseline"/>
            </w:pPr>
            <w:r>
              <w:t>5.</w:t>
            </w:r>
          </w:p>
        </w:tc>
        <w:tc>
          <w:tcPr>
            <w:tcW w:w="1183" w:type="pct"/>
            <w:tcMar>
              <w:top w:w="0" w:type="dxa"/>
              <w:left w:w="108" w:type="dxa"/>
              <w:bottom w:w="0" w:type="dxa"/>
              <w:right w:w="108" w:type="dxa"/>
            </w:tcMar>
            <w:vAlign w:val="center"/>
          </w:tcPr>
          <w:p w14:paraId="3DD86616" w14:textId="7F009363" w:rsidR="004E182A" w:rsidRPr="00784F96" w:rsidRDefault="004E182A" w:rsidP="00B0724A">
            <w:r>
              <w:t>Vidaus vandentiekio, infiltracinio rezervuaro įrengimas (</w:t>
            </w:r>
            <w:proofErr w:type="spellStart"/>
            <w:r>
              <w:t>kompl</w:t>
            </w:r>
            <w:proofErr w:type="spellEnd"/>
            <w:r>
              <w:t>.)</w:t>
            </w:r>
          </w:p>
        </w:tc>
        <w:tc>
          <w:tcPr>
            <w:tcW w:w="491" w:type="pct"/>
            <w:shd w:val="clear" w:color="auto" w:fill="auto"/>
            <w:tcMar>
              <w:top w:w="0" w:type="dxa"/>
              <w:left w:w="108" w:type="dxa"/>
              <w:bottom w:w="0" w:type="dxa"/>
              <w:right w:w="108" w:type="dxa"/>
            </w:tcMar>
            <w:vAlign w:val="center"/>
          </w:tcPr>
          <w:p w14:paraId="31D13BED"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42F4B615" w14:textId="77777777" w:rsidR="004E182A" w:rsidRPr="00784F96" w:rsidRDefault="004E182A" w:rsidP="00B0724A">
            <w:pPr>
              <w:spacing w:after="200" w:line="276" w:lineRule="auto"/>
              <w:jc w:val="center"/>
              <w:rPr>
                <w:lang w:eastAsia="lt-LT"/>
              </w:rPr>
            </w:pPr>
          </w:p>
        </w:tc>
        <w:tc>
          <w:tcPr>
            <w:tcW w:w="508" w:type="pct"/>
            <w:shd w:val="clear" w:color="auto" w:fill="auto"/>
            <w:vAlign w:val="center"/>
          </w:tcPr>
          <w:p w14:paraId="40FA2C4E" w14:textId="77777777" w:rsidR="004E182A" w:rsidRPr="00784F96" w:rsidRDefault="004E182A" w:rsidP="00B0724A">
            <w:pPr>
              <w:spacing w:after="200" w:line="276" w:lineRule="auto"/>
              <w:jc w:val="center"/>
              <w:rPr>
                <w:lang w:eastAsia="lt-LT"/>
              </w:rPr>
            </w:pPr>
          </w:p>
        </w:tc>
        <w:tc>
          <w:tcPr>
            <w:tcW w:w="507" w:type="pct"/>
            <w:shd w:val="clear" w:color="auto" w:fill="auto"/>
            <w:vAlign w:val="center"/>
          </w:tcPr>
          <w:p w14:paraId="58827CA8" w14:textId="77777777" w:rsidR="004E182A" w:rsidRPr="00784F96" w:rsidRDefault="004E182A" w:rsidP="00B0724A">
            <w:pPr>
              <w:spacing w:after="200" w:line="276" w:lineRule="auto"/>
              <w:jc w:val="center"/>
              <w:rPr>
                <w:lang w:eastAsia="lt-LT"/>
              </w:rPr>
            </w:pPr>
          </w:p>
        </w:tc>
        <w:tc>
          <w:tcPr>
            <w:tcW w:w="559" w:type="pct"/>
            <w:shd w:val="clear" w:color="auto" w:fill="auto"/>
            <w:vAlign w:val="center"/>
          </w:tcPr>
          <w:p w14:paraId="20F52E72" w14:textId="77777777" w:rsidR="004E182A" w:rsidRPr="009607E5" w:rsidRDefault="004E182A" w:rsidP="00B0724A">
            <w:pPr>
              <w:spacing w:after="200" w:line="276" w:lineRule="auto"/>
              <w:jc w:val="center"/>
              <w:rPr>
                <w:highlight w:val="yellow"/>
                <w:lang w:eastAsia="lt-LT"/>
              </w:rPr>
            </w:pPr>
          </w:p>
        </w:tc>
        <w:tc>
          <w:tcPr>
            <w:tcW w:w="819" w:type="pct"/>
            <w:shd w:val="clear" w:color="auto" w:fill="auto"/>
            <w:tcMar>
              <w:top w:w="0" w:type="dxa"/>
              <w:left w:w="108" w:type="dxa"/>
              <w:bottom w:w="0" w:type="dxa"/>
              <w:right w:w="108" w:type="dxa"/>
            </w:tcMar>
            <w:vAlign w:val="center"/>
          </w:tcPr>
          <w:p w14:paraId="79039717" w14:textId="77777777" w:rsidR="004E182A" w:rsidRPr="00784F96" w:rsidRDefault="004E182A" w:rsidP="00B0724A">
            <w:pPr>
              <w:spacing w:after="200" w:line="276" w:lineRule="auto"/>
              <w:jc w:val="center"/>
              <w:rPr>
                <w:lang w:eastAsia="lt-LT"/>
              </w:rPr>
            </w:pPr>
          </w:p>
        </w:tc>
      </w:tr>
      <w:tr w:rsidR="004E182A" w:rsidRPr="00784F96" w14:paraId="4DF2C8EA" w14:textId="77777777" w:rsidTr="004E182A">
        <w:trPr>
          <w:cantSplit/>
          <w:trHeight w:val="155"/>
        </w:trPr>
        <w:tc>
          <w:tcPr>
            <w:tcW w:w="4181" w:type="pct"/>
            <w:gridSpan w:val="7"/>
            <w:tcMar>
              <w:top w:w="0" w:type="dxa"/>
              <w:left w:w="108" w:type="dxa"/>
              <w:bottom w:w="0" w:type="dxa"/>
              <w:right w:w="108" w:type="dxa"/>
            </w:tcMar>
            <w:vAlign w:val="bottom"/>
          </w:tcPr>
          <w:p w14:paraId="31351CA6" w14:textId="77777777" w:rsidR="004E182A" w:rsidRPr="00784F96" w:rsidRDefault="004E182A" w:rsidP="00B0724A">
            <w:pPr>
              <w:spacing w:after="200" w:line="276" w:lineRule="auto"/>
              <w:jc w:val="right"/>
              <w:rPr>
                <w:lang w:eastAsia="lt-LT"/>
              </w:rPr>
            </w:pPr>
            <w:r w:rsidRPr="00784F96">
              <w:rPr>
                <w:b/>
                <w:bCs/>
                <w:lang w:eastAsia="lt-LT"/>
              </w:rPr>
              <w:t xml:space="preserve">Suma </w:t>
            </w:r>
            <w:r w:rsidRPr="00784F96">
              <w:rPr>
                <w:b/>
                <w:lang w:eastAsia="lt-LT"/>
              </w:rPr>
              <w:t>be PVM:</w:t>
            </w:r>
          </w:p>
        </w:tc>
        <w:tc>
          <w:tcPr>
            <w:tcW w:w="819" w:type="pct"/>
            <w:tcMar>
              <w:top w:w="0" w:type="dxa"/>
              <w:left w:w="108" w:type="dxa"/>
              <w:bottom w:w="0" w:type="dxa"/>
              <w:right w:w="108" w:type="dxa"/>
            </w:tcMar>
            <w:vAlign w:val="center"/>
          </w:tcPr>
          <w:p w14:paraId="5D98E76A" w14:textId="77777777" w:rsidR="004E182A" w:rsidRPr="00784F96" w:rsidRDefault="004E182A" w:rsidP="00B0724A">
            <w:pPr>
              <w:spacing w:after="200" w:line="276" w:lineRule="auto"/>
              <w:rPr>
                <w:lang w:eastAsia="lt-LT"/>
              </w:rPr>
            </w:pPr>
          </w:p>
        </w:tc>
      </w:tr>
      <w:tr w:rsidR="004E182A" w:rsidRPr="00784F96" w14:paraId="4E8F6341" w14:textId="77777777" w:rsidTr="004E182A">
        <w:trPr>
          <w:cantSplit/>
          <w:trHeight w:val="233"/>
        </w:trPr>
        <w:tc>
          <w:tcPr>
            <w:tcW w:w="4181" w:type="pct"/>
            <w:gridSpan w:val="7"/>
            <w:tcMar>
              <w:top w:w="0" w:type="dxa"/>
              <w:left w:w="108" w:type="dxa"/>
              <w:bottom w:w="0" w:type="dxa"/>
              <w:right w:w="108" w:type="dxa"/>
            </w:tcMar>
            <w:vAlign w:val="bottom"/>
          </w:tcPr>
          <w:p w14:paraId="76129910" w14:textId="77777777" w:rsidR="004E182A" w:rsidRPr="00784F96" w:rsidRDefault="004E182A" w:rsidP="00B0724A">
            <w:pPr>
              <w:spacing w:after="200" w:line="276" w:lineRule="auto"/>
              <w:jc w:val="right"/>
              <w:rPr>
                <w:lang w:eastAsia="lt-LT"/>
              </w:rPr>
            </w:pPr>
            <w:r w:rsidRPr="00784F96">
              <w:rPr>
                <w:b/>
                <w:bCs/>
                <w:lang w:eastAsia="lt-LT"/>
              </w:rPr>
              <w:t>PVM [tarifas] suma:</w:t>
            </w:r>
          </w:p>
        </w:tc>
        <w:tc>
          <w:tcPr>
            <w:tcW w:w="819" w:type="pct"/>
            <w:tcMar>
              <w:top w:w="0" w:type="dxa"/>
              <w:left w:w="108" w:type="dxa"/>
              <w:bottom w:w="0" w:type="dxa"/>
              <w:right w:w="108" w:type="dxa"/>
            </w:tcMar>
            <w:vAlign w:val="center"/>
          </w:tcPr>
          <w:p w14:paraId="4286F5C5" w14:textId="77777777" w:rsidR="004E182A" w:rsidRPr="00784F96" w:rsidRDefault="004E182A" w:rsidP="00B0724A">
            <w:pPr>
              <w:spacing w:after="200" w:line="276" w:lineRule="auto"/>
              <w:jc w:val="center"/>
              <w:rPr>
                <w:lang w:eastAsia="lt-LT"/>
              </w:rPr>
            </w:pPr>
          </w:p>
        </w:tc>
      </w:tr>
      <w:tr w:rsidR="004E182A" w:rsidRPr="00784F96" w14:paraId="3557456A" w14:textId="77777777" w:rsidTr="004E182A">
        <w:trPr>
          <w:cantSplit/>
          <w:trHeight w:val="142"/>
        </w:trPr>
        <w:tc>
          <w:tcPr>
            <w:tcW w:w="4181" w:type="pct"/>
            <w:gridSpan w:val="7"/>
            <w:tcMar>
              <w:top w:w="0" w:type="dxa"/>
              <w:left w:w="108" w:type="dxa"/>
              <w:bottom w:w="0" w:type="dxa"/>
              <w:right w:w="108" w:type="dxa"/>
            </w:tcMar>
            <w:vAlign w:val="bottom"/>
          </w:tcPr>
          <w:p w14:paraId="6DDF8289" w14:textId="77777777" w:rsidR="004E182A" w:rsidRPr="00784F96" w:rsidRDefault="004E182A" w:rsidP="00B0724A">
            <w:pPr>
              <w:spacing w:after="200" w:line="276" w:lineRule="auto"/>
              <w:jc w:val="right"/>
              <w:rPr>
                <w:lang w:eastAsia="lt-LT"/>
              </w:rPr>
            </w:pPr>
            <w:r w:rsidRPr="00784F96">
              <w:rPr>
                <w:b/>
                <w:bCs/>
                <w:lang w:eastAsia="lt-LT"/>
              </w:rPr>
              <w:t>BENDRA SUMA su PVM:</w:t>
            </w:r>
          </w:p>
        </w:tc>
        <w:tc>
          <w:tcPr>
            <w:tcW w:w="819" w:type="pct"/>
            <w:tcMar>
              <w:top w:w="0" w:type="dxa"/>
              <w:left w:w="108" w:type="dxa"/>
              <w:bottom w:w="0" w:type="dxa"/>
              <w:right w:w="108" w:type="dxa"/>
            </w:tcMar>
            <w:vAlign w:val="center"/>
          </w:tcPr>
          <w:p w14:paraId="329FBE60" w14:textId="77777777" w:rsidR="004E182A" w:rsidRPr="00784F96" w:rsidRDefault="004E182A" w:rsidP="00B0724A">
            <w:pPr>
              <w:spacing w:after="200" w:line="276" w:lineRule="auto"/>
              <w:rPr>
                <w:lang w:eastAsia="lt-LT"/>
              </w:rPr>
            </w:pPr>
          </w:p>
        </w:tc>
      </w:tr>
    </w:tbl>
    <w:p w14:paraId="7DD75434" w14:textId="1FE0A7B4" w:rsidR="004E182A" w:rsidRDefault="004E182A" w:rsidP="004E182A">
      <w:pPr>
        <w:rPr>
          <w:b/>
          <w:lang w:eastAsia="lt-LT"/>
        </w:rPr>
      </w:pPr>
      <w:r>
        <w:rPr>
          <w:b/>
          <w:lang w:eastAsia="lt-LT"/>
        </w:rPr>
        <w:t>Pastabos:</w:t>
      </w:r>
    </w:p>
    <w:p w14:paraId="34595B88" w14:textId="42AB0254" w:rsidR="004E182A" w:rsidRDefault="004E182A" w:rsidP="004E182A">
      <w:pPr>
        <w:jc w:val="both"/>
      </w:pPr>
      <w:r>
        <w:t>- kainos pasiūlyme nurodomos paliekant du skaitmenis po kablelio;</w:t>
      </w:r>
    </w:p>
    <w:p w14:paraId="63193736" w14:textId="77777777" w:rsidR="004E182A" w:rsidRDefault="004E182A" w:rsidP="004E182A">
      <w:pPr>
        <w:jc w:val="both"/>
      </w:pPr>
      <w:r>
        <w:t>- bendra kaina turi atitikti pateiktų jos sudėtinių dalių sumą;</w:t>
      </w:r>
    </w:p>
    <w:p w14:paraId="59680568" w14:textId="77777777" w:rsidR="004E182A" w:rsidRDefault="004E182A" w:rsidP="004E182A">
      <w:pPr>
        <w:jc w:val="both"/>
      </w:pPr>
      <w:r>
        <w:t>- tais  atvejais, kai pagal galiojančius teisės aktus  rangovui nereikia mokėti PVM, jis atitinkamų skilčių  nepildo ir nurodo priežastis, dėl kurių PVM nemoka;</w:t>
      </w:r>
    </w:p>
    <w:p w14:paraId="0EBA353F" w14:textId="77777777" w:rsidR="003646FB" w:rsidRDefault="004E182A" w:rsidP="004E182A">
      <w:pPr>
        <w:jc w:val="both"/>
      </w:pPr>
      <w:r>
        <w:t xml:space="preserve">- techninėje užduotyje ir kituose pridedamuose dokumentuose, darbų kiekių paprastojo remonto apraše nurodyti dydžiai – statybos produktų kiekis, įrenginių, mechanizmų skaičius ir paprastojo remonto darbų (statinio, jo elementų baigtinių darbų ir jiems atlikti reikalingų resursų) apimtis (išreikšta statybos darbų vienetais) – yra apytikriai ir neturi būti laikomi faktiniu ir tiksliu darbų, kuriuos tiekėjui reikia atlikti, kiekiu, o yra tik orientacinė, pagalbinė medžiaga. Tiekėjas, teikdamas pasiūlymą, turi įsivertinti tikslius kiekius, įskaitant visus reikalingus darbus, kurie užtikrintų, kad visos pagal įkainotą veiklos sąrašą įrengtos sistemos (mazgai, moduliai ar pan.) tinkamai, nepertraukiamai ir kokybiškai funkcionuotų, jas būtų galima naudoti pagal tikslinę jų paskirtį.  </w:t>
      </w:r>
    </w:p>
    <w:p w14:paraId="4F203A79" w14:textId="77777777" w:rsidR="003646FB" w:rsidRDefault="003646FB" w:rsidP="004E182A">
      <w:pPr>
        <w:jc w:val="both"/>
      </w:pPr>
    </w:p>
    <w:p w14:paraId="227026AD" w14:textId="77777777" w:rsidR="003646FB" w:rsidRPr="006A6C2F" w:rsidRDefault="004E182A" w:rsidP="003646FB">
      <w:pPr>
        <w:shd w:val="clear" w:color="auto" w:fill="FFFFFF"/>
        <w:jc w:val="both"/>
        <w:rPr>
          <w:rFonts w:eastAsia="Calibri"/>
          <w:szCs w:val="24"/>
        </w:rPr>
      </w:pPr>
      <w:r>
        <w:t xml:space="preserve">         </w:t>
      </w:r>
      <w:r w:rsidR="003646FB" w:rsidRPr="006A6C2F">
        <w:rPr>
          <w:rFonts w:eastAsia="Calibri"/>
          <w:szCs w:val="24"/>
        </w:rPr>
        <w:t>_________________________________________________</w:t>
      </w:r>
    </w:p>
    <w:p w14:paraId="438871D8" w14:textId="77777777" w:rsidR="003646FB" w:rsidRPr="006A6C2F" w:rsidRDefault="003646FB" w:rsidP="003646FB">
      <w:pPr>
        <w:shd w:val="clear" w:color="auto" w:fill="FFFFFF"/>
        <w:jc w:val="both"/>
        <w:rPr>
          <w:rFonts w:eastAsia="Calibri"/>
          <w:szCs w:val="24"/>
        </w:rPr>
      </w:pPr>
      <w:r w:rsidRPr="006A6C2F">
        <w:rPr>
          <w:rFonts w:eastAsia="Calibri"/>
          <w:szCs w:val="24"/>
        </w:rPr>
        <w:t>(Tiekėjo arba jo įgalioto asmens pareigos vardas, pavardė, pareigos, parašas)</w:t>
      </w:r>
    </w:p>
    <w:p w14:paraId="648451BE" w14:textId="77777777" w:rsidR="003646FB" w:rsidRPr="00C47D13" w:rsidRDefault="003646FB" w:rsidP="003646FB">
      <w:pPr>
        <w:tabs>
          <w:tab w:val="left" w:pos="9000"/>
          <w:tab w:val="right" w:pos="9360"/>
        </w:tabs>
        <w:suppressAutoHyphens/>
        <w:overflowPunct w:val="0"/>
        <w:autoSpaceDE w:val="0"/>
        <w:autoSpaceDN w:val="0"/>
        <w:adjustRightInd w:val="0"/>
        <w:jc w:val="both"/>
        <w:textAlignment w:val="baseline"/>
        <w:rPr>
          <w:szCs w:val="24"/>
        </w:rPr>
      </w:pPr>
    </w:p>
    <w:p w14:paraId="02865E0C" w14:textId="4340E3E7" w:rsidR="00C554AF" w:rsidRDefault="004E182A" w:rsidP="004E182A">
      <w:pPr>
        <w:jc w:val="both"/>
      </w:pPr>
      <w:r>
        <w:t xml:space="preserve">                            </w:t>
      </w:r>
    </w:p>
    <w:sectPr w:rsidR="00C554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2A"/>
    <w:rsid w:val="003646FB"/>
    <w:rsid w:val="003E2E83"/>
    <w:rsid w:val="004E182A"/>
    <w:rsid w:val="006124DD"/>
    <w:rsid w:val="00A2082F"/>
    <w:rsid w:val="00A214F8"/>
    <w:rsid w:val="00A470AB"/>
    <w:rsid w:val="00B60A26"/>
    <w:rsid w:val="00C234EE"/>
    <w:rsid w:val="00C554AF"/>
    <w:rsid w:val="00E80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A180"/>
  <w15:chartTrackingRefBased/>
  <w15:docId w15:val="{EB776DDB-0178-4DD2-81E2-2770F445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82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1212</Words>
  <Characters>691</Characters>
  <Application>Microsoft Office Word</Application>
  <DocSecurity>0</DocSecurity>
  <Lines>5</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VRCP</cp:lastModifiedBy>
  <cp:revision>8</cp:revision>
  <dcterms:created xsi:type="dcterms:W3CDTF">2024-12-05T07:43:00Z</dcterms:created>
  <dcterms:modified xsi:type="dcterms:W3CDTF">2024-12-17T14:06:00Z</dcterms:modified>
</cp:coreProperties>
</file>