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7BF58EDF" w14:textId="77777777" w:rsidR="0041367E" w:rsidRPr="0041367E" w:rsidRDefault="00830852" w:rsidP="0041367E">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41367E" w:rsidRPr="0041367E">
            <w:rPr>
              <w:rFonts w:ascii="Arial" w:hAnsi="Arial" w:cs="Arial"/>
              <w:b/>
              <w:bCs/>
              <w:sz w:val="28"/>
              <w:szCs w:val="28"/>
            </w:rPr>
            <w:t>GYVENAMOJO NAMO DRAUGYSTĖS G. 20, VISAGINAS,</w:t>
          </w:r>
        </w:p>
        <w:p w14:paraId="3E30A41A" w14:textId="1676FDEC" w:rsidR="00C723D9" w:rsidRDefault="0041367E" w:rsidP="0041367E">
          <w:pPr>
            <w:spacing w:after="120" w:line="20" w:lineRule="atLeast"/>
            <w:contextualSpacing/>
            <w:jc w:val="center"/>
            <w:rPr>
              <w:rFonts w:ascii="Arial" w:hAnsi="Arial" w:cs="Arial"/>
              <w:b/>
              <w:bCs/>
              <w:sz w:val="28"/>
              <w:szCs w:val="28"/>
            </w:rPr>
          </w:pPr>
          <w:r w:rsidRPr="0041367E">
            <w:rPr>
              <w:rFonts w:ascii="Arial" w:hAnsi="Arial" w:cs="Arial"/>
              <w:b/>
              <w:bCs/>
              <w:sz w:val="28"/>
              <w:szCs w:val="28"/>
            </w:rPr>
            <w:t>KANALIZACIJOS IR LAUKO VAMZDŽIŲ PAKEITIMAS NUO REVIZIJOS NAMO RŪSYJE IKI ŠULINIŲ LAUKE</w:t>
          </w:r>
        </w:p>
        <w:p w14:paraId="0B9F7687" w14:textId="77777777" w:rsidR="0041367E" w:rsidRPr="002B586F" w:rsidRDefault="0041367E" w:rsidP="0041367E">
          <w:pPr>
            <w:spacing w:after="120" w:line="20" w:lineRule="atLeast"/>
            <w:contextualSpacing/>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59F263A3"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sidRPr="00C723D9">
        <w:rPr>
          <w:rFonts w:ascii="Times New Roman" w:hAnsi="Times New Roman" w:cs="Times New Roman"/>
          <w:b/>
          <w:bCs/>
          <w:sz w:val="24"/>
          <w:szCs w:val="24"/>
        </w:rPr>
        <w:t>UAB „</w:t>
      </w:r>
      <w:r w:rsidRPr="00C723D9">
        <w:rPr>
          <w:rFonts w:ascii="Times New Roman" w:hAnsi="Times New Roman" w:cs="Times New Roman"/>
          <w:b/>
          <w:bCs/>
          <w:sz w:val="24"/>
          <w:szCs w:val="24"/>
        </w:rPr>
        <w:t>Visagino</w:t>
      </w:r>
      <w:r w:rsidR="00841E63" w:rsidRPr="00C723D9">
        <w:rPr>
          <w:rFonts w:ascii="Times New Roman" w:hAnsi="Times New Roman" w:cs="Times New Roman"/>
          <w:b/>
          <w:bCs/>
          <w:sz w:val="24"/>
          <w:szCs w:val="24"/>
        </w:rPr>
        <w:t xml:space="preserve"> būstas“</w:t>
      </w:r>
      <w:r w:rsidRPr="00C723D9">
        <w:rPr>
          <w:rFonts w:ascii="Times New Roman" w:hAnsi="Times New Roman" w:cs="Times New Roman"/>
          <w:b/>
          <w:bCs/>
          <w:sz w:val="24"/>
          <w:szCs w:val="24"/>
        </w:rPr>
        <w:t xml:space="preserve">, Viešųjų pirkimų specialistė </w:t>
      </w:r>
      <w:r w:rsidR="00C723D9" w:rsidRPr="00C723D9">
        <w:rPr>
          <w:rFonts w:ascii="Times New Roman" w:hAnsi="Times New Roman" w:cs="Times New Roman"/>
          <w:b/>
          <w:bCs/>
          <w:sz w:val="24"/>
          <w:szCs w:val="24"/>
        </w:rPr>
        <w:t>Irma Daukantienė</w:t>
      </w:r>
      <w:r w:rsidRPr="00C723D9">
        <w:rPr>
          <w:rFonts w:ascii="Times New Roman" w:hAnsi="Times New Roman" w:cs="Times New Roman"/>
          <w:b/>
          <w:bCs/>
          <w:sz w:val="24"/>
          <w:szCs w:val="24"/>
        </w:rPr>
        <w:t xml:space="preserve">, el. p. </w:t>
      </w:r>
      <w:hyperlink r:id="rId14" w:history="1">
        <w:r w:rsidR="00C723D9" w:rsidRPr="00C723D9">
          <w:rPr>
            <w:rStyle w:val="Hipersaitas"/>
            <w:rFonts w:ascii="Times New Roman" w:hAnsi="Times New Roman" w:cs="Times New Roman"/>
            <w:b/>
            <w:bCs/>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1C87B11C"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D81AB7">
        <w:rPr>
          <w:rFonts w:ascii="Times New Roman" w:eastAsia="Arial" w:hAnsi="Times New Roman" w:cs="Times New Roman"/>
          <w:b/>
          <w:bCs/>
          <w:sz w:val="24"/>
          <w:szCs w:val="24"/>
        </w:rPr>
        <w:t>3674,89</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0714" w14:textId="77777777" w:rsidR="00257314" w:rsidRDefault="00257314" w:rsidP="00D05666">
      <w:r>
        <w:separator/>
      </w:r>
    </w:p>
  </w:endnote>
  <w:endnote w:type="continuationSeparator" w:id="0">
    <w:p w14:paraId="3C427C07" w14:textId="77777777" w:rsidR="00257314" w:rsidRDefault="00257314" w:rsidP="00D05666">
      <w:r>
        <w:continuationSeparator/>
      </w:r>
    </w:p>
  </w:endnote>
  <w:endnote w:type="continuationNotice" w:id="1">
    <w:p w14:paraId="6AF1356A" w14:textId="77777777" w:rsidR="00257314" w:rsidRDefault="00257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7825" w14:textId="77777777" w:rsidR="00257314" w:rsidRDefault="00257314" w:rsidP="00D05666">
      <w:r>
        <w:separator/>
      </w:r>
    </w:p>
  </w:footnote>
  <w:footnote w:type="continuationSeparator" w:id="0">
    <w:p w14:paraId="024DB999" w14:textId="77777777" w:rsidR="00257314" w:rsidRDefault="00257314" w:rsidP="00D05666">
      <w:r>
        <w:continuationSeparator/>
      </w:r>
    </w:p>
  </w:footnote>
  <w:footnote w:type="continuationNotice" w:id="1">
    <w:p w14:paraId="77739B47" w14:textId="77777777" w:rsidR="00257314" w:rsidRDefault="00257314">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A31"/>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5CF"/>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0639"/>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314"/>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67E"/>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5C9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191E"/>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18A"/>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D9"/>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1AB7"/>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32749</Words>
  <Characters>18667</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51314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Admin</cp:lastModifiedBy>
  <cp:revision>2</cp:revision>
  <dcterms:created xsi:type="dcterms:W3CDTF">2025-12-01T19:38:00Z</dcterms:created>
  <dcterms:modified xsi:type="dcterms:W3CDTF">2025-12-01T19:38:00Z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